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AA" w:rsidRDefault="00FC09AA" w:rsidP="00FC09AA">
      <w:pPr>
        <w:pStyle w:val="Titre"/>
      </w:pPr>
      <w:r>
        <w:t>Exercice SISR2</w:t>
      </w:r>
    </w:p>
    <w:p w:rsidR="00FC09AA" w:rsidRDefault="00FC09AA" w:rsidP="00FC09AA">
      <w:pPr>
        <w:pStyle w:val="Titre1"/>
      </w:pPr>
      <w:r>
        <w:t>Énoncé</w:t>
      </w:r>
    </w:p>
    <w:p w:rsidR="00FC09AA" w:rsidRDefault="00FC09AA" w:rsidP="00FC09AA">
      <w:pPr>
        <w:pStyle w:val="Titre2"/>
      </w:pPr>
      <w:r>
        <w:t>Contexte de travail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FC09AA" w:rsidTr="00340C05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FC09AA" w:rsidRDefault="00FC09AA" w:rsidP="00340C05">
            <w:r>
              <w:t>Un établissement scolaire utilise un serveur mandataire (Proxy) nommé KIKA-AKC dans le DNS, pour contrôler les accès à Internet.</w:t>
            </w:r>
          </w:p>
          <w:p w:rsidR="00FC09AA" w:rsidRDefault="00FC09AA" w:rsidP="00340C05">
            <w:r>
              <w:t>Ce Proxy permet entre autre d'autoriser ou pas l'accès à Internet en fonction de l'adresse IP du réseau auquel appartient la machine.</w:t>
            </w:r>
          </w:p>
          <w:p w:rsidR="00FC09AA" w:rsidRDefault="00FC09AA" w:rsidP="00340C05">
            <w:r>
              <w:t>L'administrateur du réseau a organisé son plan d'adressage en fonction des salles.</w:t>
            </w:r>
          </w:p>
          <w:p w:rsidR="00FC09AA" w:rsidRDefault="00FC09AA" w:rsidP="00340C05">
            <w:r>
              <w:t>Chaque salle dispose d’une plage d'adresses spécifique qui va permettre au niveau du Proxy d'interdire ou d'autoriser l'accès à Internet à tous les postes de la salle.</w:t>
            </w:r>
          </w:p>
          <w:p w:rsidR="00FC09AA" w:rsidRDefault="00FC09AA" w:rsidP="00340C05">
            <w:r>
              <w:t>L'annexe 1 donne le plan d'adressage utilisé.</w:t>
            </w:r>
          </w:p>
          <w:p w:rsidR="00FC09AA" w:rsidRDefault="00FC09AA" w:rsidP="00340C05">
            <w:r>
              <w:t>L'annexe 2 donne les règles d'accès à Internet pour la journée du 28 janvier 2002</w:t>
            </w:r>
          </w:p>
        </w:tc>
      </w:tr>
    </w:tbl>
    <w:p w:rsidR="00FC09AA" w:rsidRDefault="00FC09AA" w:rsidP="00FC09AA">
      <w:pPr>
        <w:pStyle w:val="Titre2"/>
      </w:pPr>
      <w:r>
        <w:t>Travail à Réaliser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FC09AA" w:rsidTr="00340C05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FC09AA" w:rsidRDefault="00FC09AA" w:rsidP="00FC09AA">
            <w:pPr>
              <w:numPr>
                <w:ilvl w:val="0"/>
                <w:numId w:val="1"/>
              </w:numPr>
            </w:pPr>
            <w:r>
              <w:t>Déterminer quelles sont les salles qui n’ont pas accès à Internet le 28 janvier.</w:t>
            </w:r>
          </w:p>
          <w:p w:rsidR="00FC09AA" w:rsidRDefault="00FC09AA" w:rsidP="00FC09AA">
            <w:pPr>
              <w:numPr>
                <w:ilvl w:val="0"/>
                <w:numId w:val="1"/>
              </w:numPr>
            </w:pPr>
            <w:r>
              <w:t>Expliquer pourquoi le Proxy peut appliquer des masques différents alors que les postes sont tous configurés avec le même masque et la même adresse réseau.</w:t>
            </w:r>
          </w:p>
          <w:p w:rsidR="00FC09AA" w:rsidRDefault="00FC09AA" w:rsidP="00FC09AA">
            <w:pPr>
              <w:numPr>
                <w:ilvl w:val="0"/>
                <w:numId w:val="1"/>
              </w:numPr>
            </w:pPr>
            <w:r>
              <w:t>Donner la ou les règles à appliquer pour interdire l'accès à la salle 204 et 208.</w:t>
            </w:r>
          </w:p>
          <w:p w:rsidR="00FC09AA" w:rsidRDefault="00FC09AA" w:rsidP="00FC09AA">
            <w:pPr>
              <w:numPr>
                <w:ilvl w:val="0"/>
                <w:numId w:val="1"/>
              </w:numPr>
            </w:pPr>
            <w:r>
              <w:t>Donner la règle à appliquer pour interdire l'accès à la salle 201 et 202.</w:t>
            </w:r>
          </w:p>
          <w:p w:rsidR="00FC09AA" w:rsidRDefault="00FC09AA" w:rsidP="00FC09AA">
            <w:pPr>
              <w:numPr>
                <w:ilvl w:val="0"/>
                <w:numId w:val="1"/>
              </w:numPr>
            </w:pPr>
            <w:r>
              <w:t>Expliquer les autres fonctions d'un Proxy.</w:t>
            </w:r>
          </w:p>
        </w:tc>
      </w:tr>
    </w:tbl>
    <w:p w:rsidR="00FC09AA" w:rsidRDefault="00FC09AA" w:rsidP="00FC09AA">
      <w:pPr>
        <w:pStyle w:val="Titre1"/>
      </w:pPr>
    </w:p>
    <w:p w:rsidR="00FC09AA" w:rsidRDefault="00FC09AA" w:rsidP="00FC09AA">
      <w:pPr>
        <w:pStyle w:val="Titre1"/>
      </w:pPr>
      <w:r>
        <w:t>Annexes</w:t>
      </w:r>
    </w:p>
    <w:p w:rsidR="00FC09AA" w:rsidRDefault="00FC09AA" w:rsidP="00FC09AA">
      <w:pPr>
        <w:pStyle w:val="Titre2"/>
      </w:pPr>
      <w:r>
        <w:t>Annexe 1 : Plan d'adressage</w:t>
      </w:r>
    </w:p>
    <w:p w:rsidR="00FC09AA" w:rsidRDefault="00FC09AA" w:rsidP="00FC09AA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rPr>
          <w:b/>
          <w:bCs/>
        </w:rPr>
        <w:t>Adresse IP du réseau de l'établissement</w:t>
      </w:r>
      <w:r>
        <w:t xml:space="preserve"> : </w:t>
      </w:r>
    </w:p>
    <w:p w:rsidR="00FC09AA" w:rsidRDefault="00FC09AA" w:rsidP="00FC09AA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10.100.40.0</w:t>
      </w:r>
    </w:p>
    <w:p w:rsidR="00FC09AA" w:rsidRDefault="00FC09AA" w:rsidP="00FC09A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Masque du réseau :</w:t>
      </w:r>
    </w:p>
    <w:p w:rsidR="00FC09AA" w:rsidRDefault="00FC09AA" w:rsidP="00FC09AA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255.255.255.0</w:t>
      </w:r>
    </w:p>
    <w:p w:rsidR="00FC09AA" w:rsidRDefault="00FC09AA" w:rsidP="00FC09A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Plage d'adresses par salle :</w:t>
      </w:r>
    </w:p>
    <w:tbl>
      <w:tblPr>
        <w:tblW w:w="0" w:type="auto"/>
        <w:tblInd w:w="-38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43"/>
        <w:gridCol w:w="4643"/>
      </w:tblGrid>
      <w:tr w:rsidR="00FC09AA" w:rsidTr="00340C05">
        <w:tblPrEx>
          <w:tblCellMar>
            <w:top w:w="0" w:type="dxa"/>
            <w:bottom w:w="0" w:type="dxa"/>
          </w:tblCellMar>
        </w:tblPrEx>
        <w:tc>
          <w:tcPr>
            <w:tcW w:w="4643" w:type="dxa"/>
            <w:tcBorders>
              <w:top w:val="nil"/>
              <w:bottom w:val="single" w:sz="4" w:space="0" w:color="auto"/>
              <w:right w:val="nil"/>
            </w:tcBorders>
          </w:tcPr>
          <w:p w:rsidR="00FC09AA" w:rsidRDefault="00FC09AA" w:rsidP="00340C05">
            <w:r>
              <w:rPr>
                <w:b/>
                <w:bCs/>
              </w:rPr>
              <w:t>Salle 201 :</w:t>
            </w:r>
            <w:r>
              <w:t xml:space="preserve"> 10.100.40.1 à 10.100.40.15</w:t>
            </w:r>
          </w:p>
          <w:p w:rsidR="00FC09AA" w:rsidRDefault="00FC09AA" w:rsidP="00340C05">
            <w:r>
              <w:rPr>
                <w:b/>
                <w:bCs/>
              </w:rPr>
              <w:t>Salle 202 :</w:t>
            </w:r>
            <w:r>
              <w:t xml:space="preserve"> 10.100.40.17 à 10.100.40.31</w:t>
            </w:r>
          </w:p>
          <w:p w:rsidR="00FC09AA" w:rsidRDefault="00FC09AA" w:rsidP="00340C05">
            <w:r>
              <w:rPr>
                <w:b/>
                <w:bCs/>
              </w:rPr>
              <w:t>Salle 203 :</w:t>
            </w:r>
            <w:r>
              <w:t xml:space="preserve"> 10.100.40.33 à 10.100.40.62</w:t>
            </w:r>
          </w:p>
          <w:p w:rsidR="00FC09AA" w:rsidRDefault="00FC09AA" w:rsidP="00340C05">
            <w:r>
              <w:rPr>
                <w:b/>
                <w:bCs/>
              </w:rPr>
              <w:t>Salle 204 :</w:t>
            </w:r>
            <w:r>
              <w:t xml:space="preserve"> 10.100.40.65 à 10.100.40.70</w:t>
            </w:r>
          </w:p>
          <w:p w:rsidR="00FC09AA" w:rsidRDefault="00FC09AA" w:rsidP="00340C05">
            <w:r>
              <w:rPr>
                <w:b/>
                <w:bCs/>
              </w:rPr>
              <w:t>Salle 205 :</w:t>
            </w:r>
            <w:r>
              <w:t xml:space="preserve"> 10.100.40.96 à 10.100.126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</w:tcBorders>
          </w:tcPr>
          <w:p w:rsidR="00FC09AA" w:rsidRDefault="00FC09AA" w:rsidP="00340C05">
            <w:r>
              <w:rPr>
                <w:b/>
                <w:bCs/>
              </w:rPr>
              <w:t>Salle 206 :</w:t>
            </w:r>
            <w:r>
              <w:t xml:space="preserve"> 10.100.40.129 à 10.100.40.142</w:t>
            </w:r>
          </w:p>
          <w:p w:rsidR="00FC09AA" w:rsidRDefault="00FC09AA" w:rsidP="00340C05">
            <w:r>
              <w:rPr>
                <w:b/>
                <w:bCs/>
              </w:rPr>
              <w:t>Salle 207 :</w:t>
            </w:r>
            <w:r>
              <w:t xml:space="preserve"> 10.100.40.145 à 10.100.40.158</w:t>
            </w:r>
          </w:p>
          <w:p w:rsidR="00FC09AA" w:rsidRDefault="00FC09AA" w:rsidP="00340C05">
            <w:r>
              <w:rPr>
                <w:b/>
                <w:bCs/>
              </w:rPr>
              <w:t>Salle 208 :</w:t>
            </w:r>
            <w:r>
              <w:t xml:space="preserve"> 10.100.40.161 à 10.100.40.174</w:t>
            </w:r>
          </w:p>
          <w:p w:rsidR="00FC09AA" w:rsidRDefault="00FC09AA" w:rsidP="00340C05">
            <w:r>
              <w:rPr>
                <w:b/>
                <w:bCs/>
              </w:rPr>
              <w:t>Salle 209 :</w:t>
            </w:r>
            <w:r>
              <w:t xml:space="preserve"> 10.100.40.177 à 10.100.40.190</w:t>
            </w:r>
          </w:p>
          <w:p w:rsidR="00FC09AA" w:rsidRDefault="00FC09AA" w:rsidP="00340C05">
            <w:r>
              <w:rPr>
                <w:b/>
                <w:bCs/>
              </w:rPr>
              <w:t>Salle 210</w:t>
            </w:r>
            <w:r>
              <w:t xml:space="preserve"> : 10.100.40.73 à 10.100.40.78</w:t>
            </w:r>
          </w:p>
        </w:tc>
      </w:tr>
    </w:tbl>
    <w:p w:rsidR="00FC09AA" w:rsidRDefault="00FC09AA" w:rsidP="00FC09AA">
      <w:pPr>
        <w:pStyle w:val="Titre2"/>
      </w:pPr>
    </w:p>
    <w:p w:rsidR="00FC09AA" w:rsidRDefault="00FC09AA" w:rsidP="00FC09AA">
      <w:pPr>
        <w:pStyle w:val="Titre2"/>
      </w:pPr>
    </w:p>
    <w:p w:rsidR="00FC09AA" w:rsidRDefault="00FC09AA" w:rsidP="00FC09AA">
      <w:pPr>
        <w:pStyle w:val="Titre2"/>
      </w:pPr>
      <w:r>
        <w:t>Annexe 2 : Règles du 28 Janvier 2002</w:t>
      </w:r>
    </w:p>
    <w:p w:rsidR="00FC09AA" w:rsidRDefault="00FC09AA" w:rsidP="00FC0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Accès autorisé </w:t>
      </w:r>
      <w:r>
        <w:rPr>
          <w:u w:val="single"/>
        </w:rPr>
        <w:t>à tous sauf</w:t>
      </w:r>
      <w:r>
        <w:t xml:space="preserve"> aux réseaux ci-dessous :</w:t>
      </w:r>
    </w:p>
    <w:p w:rsidR="00FC09AA" w:rsidRDefault="00FC09AA" w:rsidP="00FC0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10.100.40.32 masque 255.255.255.224</w:t>
      </w:r>
    </w:p>
    <w:p w:rsidR="00FC09AA" w:rsidRDefault="00FC09AA" w:rsidP="00FC0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10.100.40.128 masque 255.255.255.192</w:t>
      </w:r>
    </w:p>
    <w:p w:rsidR="00CF73FC" w:rsidRDefault="00CF73FC"/>
    <w:sectPr w:rsidR="00CF73FC" w:rsidSect="00CF7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455F"/>
    <w:multiLevelType w:val="multilevel"/>
    <w:tmpl w:val="93B88F5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/>
  <w:defaultTabStop w:val="708"/>
  <w:hyphenationZone w:val="425"/>
  <w:characterSpacingControl w:val="doNotCompress"/>
  <w:compat/>
  <w:rsids>
    <w:rsidRoot w:val="00FC09AA"/>
    <w:rsid w:val="00CF73FC"/>
    <w:rsid w:val="00FC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AA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FC09AA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FC09AA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C09AA"/>
    <w:rPr>
      <w:rFonts w:ascii="Arial" w:eastAsiaTheme="minorEastAsia" w:hAnsi="Arial" w:cs="Arial"/>
      <w:b/>
      <w:bCs/>
      <w:kern w:val="28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FC09AA"/>
    <w:rPr>
      <w:rFonts w:ascii="Arial" w:eastAsiaTheme="minorEastAsia" w:hAnsi="Arial" w:cs="Arial"/>
      <w:b/>
      <w:bCs/>
      <w:i/>
      <w:iCs/>
      <w:sz w:val="24"/>
      <w:szCs w:val="24"/>
      <w:lang w:eastAsia="fr-FR"/>
    </w:rPr>
  </w:style>
  <w:style w:type="paragraph" w:styleId="Titre">
    <w:name w:val="Title"/>
    <w:basedOn w:val="Normal"/>
    <w:link w:val="TitreCar"/>
    <w:uiPriority w:val="99"/>
    <w:qFormat/>
    <w:rsid w:val="00FC09AA"/>
    <w:pPr>
      <w:widowControl w:val="0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FC09AA"/>
    <w:rPr>
      <w:rFonts w:ascii="Arial" w:eastAsiaTheme="minorEastAsia" w:hAnsi="Arial" w:cs="Arial"/>
      <w:b/>
      <w:bCs/>
      <w:sz w:val="32"/>
      <w:szCs w:val="32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jmele</dc:creator>
  <cp:lastModifiedBy>jmele</cp:lastModifiedBy>
  <cp:revision>1</cp:revision>
  <dcterms:created xsi:type="dcterms:W3CDTF">2015-04-27T12:02:00Z</dcterms:created>
  <dcterms:modified xsi:type="dcterms:W3CDTF">2015-04-27T12:02:00Z</dcterms:modified>
</cp:coreProperties>
</file>