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003" w:rsidRPr="006D0668" w:rsidRDefault="00EA5D71" w:rsidP="006D0668">
      <w:pPr>
        <w:jc w:val="center"/>
        <w:rPr>
          <w:rFonts w:ascii="Cooper Black" w:hAnsi="Cooper Black"/>
          <w:sz w:val="28"/>
          <w:szCs w:val="28"/>
        </w:rPr>
      </w:pPr>
      <w:r w:rsidRPr="006D0668">
        <w:rPr>
          <w:rFonts w:ascii="Cooper Black" w:hAnsi="Cooper Black"/>
          <w:sz w:val="28"/>
          <w:szCs w:val="28"/>
        </w:rPr>
        <w:t>CHAPITRE 5</w:t>
      </w:r>
      <w:r w:rsidR="006D0668">
        <w:rPr>
          <w:rFonts w:ascii="Cooper Black" w:hAnsi="Cooper Black"/>
          <w:sz w:val="28"/>
          <w:szCs w:val="28"/>
        </w:rPr>
        <w:t xml:space="preserve"> DROIT : </w:t>
      </w:r>
      <w:r w:rsidRPr="006D0668">
        <w:rPr>
          <w:rFonts w:ascii="Cooper Black" w:hAnsi="Cooper Black"/>
          <w:sz w:val="28"/>
          <w:szCs w:val="28"/>
        </w:rPr>
        <w:t>LES CONDITIONS DE TRAVAIL</w:t>
      </w:r>
    </w:p>
    <w:p w:rsidR="00EA5D71" w:rsidRPr="006D0668" w:rsidRDefault="00EA5D71" w:rsidP="006D0668">
      <w:pPr>
        <w:rPr>
          <w:rFonts w:ascii="Cooper Black" w:hAnsi="Cooper Black"/>
          <w:sz w:val="28"/>
          <w:szCs w:val="28"/>
        </w:rPr>
      </w:pPr>
      <w:r w:rsidRPr="006D0668">
        <w:rPr>
          <w:rFonts w:ascii="Cooper Black" w:hAnsi="Cooper Black"/>
          <w:sz w:val="28"/>
          <w:szCs w:val="28"/>
        </w:rPr>
        <w:t xml:space="preserve">1 Les conditions de travail sont précisées </w:t>
      </w:r>
    </w:p>
    <w:p w:rsidR="00EA5D71" w:rsidRPr="006D0668" w:rsidRDefault="00EA5D71" w:rsidP="00EA5D71">
      <w:pPr>
        <w:pStyle w:val="Paragraphedeliste"/>
        <w:numPr>
          <w:ilvl w:val="0"/>
          <w:numId w:val="1"/>
        </w:numPr>
        <w:rPr>
          <w:sz w:val="24"/>
          <w:szCs w:val="24"/>
        </w:rPr>
      </w:pPr>
      <w:r w:rsidRPr="006D0668">
        <w:rPr>
          <w:sz w:val="24"/>
          <w:szCs w:val="24"/>
        </w:rPr>
        <w:t>Par la loi (ex nombre d’heures maximum par jour)</w:t>
      </w:r>
    </w:p>
    <w:p w:rsidR="00EA5D71" w:rsidRPr="006D0668" w:rsidRDefault="00EA5D71" w:rsidP="00EA5D71">
      <w:pPr>
        <w:pStyle w:val="Paragraphedeliste"/>
        <w:numPr>
          <w:ilvl w:val="0"/>
          <w:numId w:val="1"/>
        </w:numPr>
        <w:rPr>
          <w:sz w:val="24"/>
          <w:szCs w:val="24"/>
        </w:rPr>
      </w:pPr>
      <w:r w:rsidRPr="006D0668">
        <w:rPr>
          <w:sz w:val="24"/>
          <w:szCs w:val="24"/>
        </w:rPr>
        <w:t>Par les conventions collectives (ex rémunération minimale)</w:t>
      </w:r>
    </w:p>
    <w:p w:rsidR="00EA5D71" w:rsidRPr="006D0668" w:rsidRDefault="00EA5D71" w:rsidP="00EA5D71">
      <w:pPr>
        <w:pStyle w:val="Paragraphedeliste"/>
        <w:numPr>
          <w:ilvl w:val="0"/>
          <w:numId w:val="1"/>
        </w:numPr>
        <w:rPr>
          <w:sz w:val="24"/>
          <w:szCs w:val="24"/>
        </w:rPr>
      </w:pPr>
      <w:r w:rsidRPr="006D0668">
        <w:rPr>
          <w:sz w:val="24"/>
          <w:szCs w:val="24"/>
        </w:rPr>
        <w:t>Par le contrat de travail</w:t>
      </w:r>
    </w:p>
    <w:p w:rsidR="00EA5D71" w:rsidRPr="006D0668" w:rsidRDefault="00EA5D71">
      <w:pPr>
        <w:rPr>
          <w:rFonts w:ascii="Cooper Black" w:hAnsi="Cooper Black"/>
          <w:sz w:val="28"/>
          <w:szCs w:val="28"/>
        </w:rPr>
      </w:pPr>
      <w:r w:rsidRPr="006D0668">
        <w:rPr>
          <w:rFonts w:ascii="Cooper Black" w:hAnsi="Cooper Black"/>
          <w:sz w:val="28"/>
          <w:szCs w:val="28"/>
        </w:rPr>
        <w:t>2 Le contrat de travail définit les modalités de travail</w:t>
      </w:r>
    </w:p>
    <w:p w:rsidR="00EA5D71" w:rsidRDefault="00EA5D71">
      <w:r>
        <w:rPr>
          <w:noProof/>
          <w:lang w:eastAsia="fr-FR"/>
        </w:rPr>
        <w:drawing>
          <wp:inline distT="0" distB="0" distL="0" distR="0">
            <wp:extent cx="5486400" cy="37338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A5D71" w:rsidRPr="006D0668" w:rsidRDefault="00EA5D71" w:rsidP="006D0668">
      <w:pPr>
        <w:pStyle w:val="Paragraphedeliste"/>
        <w:numPr>
          <w:ilvl w:val="0"/>
          <w:numId w:val="2"/>
        </w:numPr>
        <w:rPr>
          <w:sz w:val="24"/>
          <w:szCs w:val="24"/>
        </w:rPr>
      </w:pPr>
      <w:r w:rsidRPr="006D0668">
        <w:rPr>
          <w:sz w:val="24"/>
          <w:szCs w:val="24"/>
        </w:rPr>
        <w:t>L’employeur est responsable de la sécurité de ses salariés : sa responsabilité peut être engagée en cas de faute inexcusable (ex : ne pas fournir de chaussures de sécurité)</w:t>
      </w:r>
    </w:p>
    <w:p w:rsidR="00EA5D71" w:rsidRPr="006D0668" w:rsidRDefault="00EA5D71">
      <w:pPr>
        <w:rPr>
          <w:rFonts w:ascii="Cooper Black" w:hAnsi="Cooper Black"/>
          <w:sz w:val="28"/>
          <w:szCs w:val="28"/>
        </w:rPr>
      </w:pPr>
      <w:r w:rsidRPr="006D0668">
        <w:rPr>
          <w:rFonts w:ascii="Cooper Black" w:hAnsi="Cooper Black"/>
          <w:sz w:val="28"/>
          <w:szCs w:val="28"/>
        </w:rPr>
        <w:t>3. Certaines clauses peuvent venir préciser certaines modalités</w:t>
      </w:r>
    </w:p>
    <w:p w:rsidR="00EA5D71" w:rsidRPr="006D0668" w:rsidRDefault="00EA5D71" w:rsidP="00EA5D71">
      <w:pPr>
        <w:pStyle w:val="Paragraphedeliste"/>
        <w:numPr>
          <w:ilvl w:val="0"/>
          <w:numId w:val="2"/>
        </w:numPr>
        <w:rPr>
          <w:sz w:val="24"/>
          <w:szCs w:val="24"/>
        </w:rPr>
      </w:pPr>
      <w:r w:rsidRPr="006D0668">
        <w:rPr>
          <w:sz w:val="24"/>
          <w:szCs w:val="24"/>
        </w:rPr>
        <w:t>Clause de mobilité : clause prévoyant qu’un salarié pourra être muté. Cette clause doit définir précisément le périmètre géographique concerné</w:t>
      </w:r>
    </w:p>
    <w:p w:rsidR="00EA5D71" w:rsidRPr="006D0668" w:rsidRDefault="00EA5D71" w:rsidP="00EA5D71">
      <w:pPr>
        <w:pStyle w:val="Paragraphedeliste"/>
        <w:numPr>
          <w:ilvl w:val="0"/>
          <w:numId w:val="2"/>
        </w:numPr>
        <w:rPr>
          <w:sz w:val="24"/>
          <w:szCs w:val="24"/>
        </w:rPr>
      </w:pPr>
      <w:r w:rsidRPr="006D0668">
        <w:rPr>
          <w:sz w:val="24"/>
          <w:szCs w:val="24"/>
        </w:rPr>
        <w:t>Clause de non concurrence : clause interdisant à un salarié en cas de départ de l’entreprise de travailler chez un concurrent. Pour être valable, cette clause doit être limitée dans le temps et sur un lieu déterminé et être assortie d’une compensation financière</w:t>
      </w:r>
    </w:p>
    <w:sectPr w:rsidR="00EA5D71" w:rsidRPr="006D0668" w:rsidSect="00D610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11"/>
    <w:multiLevelType w:val="hybridMultilevel"/>
    <w:tmpl w:val="04B4AE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7E203A"/>
    <w:multiLevelType w:val="hybridMultilevel"/>
    <w:tmpl w:val="669874D6"/>
    <w:lvl w:ilvl="0" w:tplc="36C0E1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A5D71"/>
    <w:rsid w:val="006D0668"/>
    <w:rsid w:val="00D61003"/>
    <w:rsid w:val="00EA5D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0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5D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5D71"/>
    <w:rPr>
      <w:rFonts w:ascii="Tahoma" w:hAnsi="Tahoma" w:cs="Tahoma"/>
      <w:sz w:val="16"/>
      <w:szCs w:val="16"/>
    </w:rPr>
  </w:style>
  <w:style w:type="paragraph" w:styleId="Paragraphedeliste">
    <w:name w:val="List Paragraph"/>
    <w:basedOn w:val="Normal"/>
    <w:uiPriority w:val="34"/>
    <w:qFormat/>
    <w:rsid w:val="00EA5D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CFE7AD-D0F2-4FDB-A468-A97ED00CB002}"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fr-FR"/>
        </a:p>
      </dgm:t>
    </dgm:pt>
    <dgm:pt modelId="{1BB5CA73-F676-4379-9FA6-060FF573D494}">
      <dgm:prSet phldrT="[Texte]"/>
      <dgm:spPr/>
      <dgm:t>
        <a:bodyPr/>
        <a:lstStyle/>
        <a:p>
          <a:r>
            <a:rPr lang="fr-FR"/>
            <a:t>Emploi : fonction et tâches confiées</a:t>
          </a:r>
        </a:p>
      </dgm:t>
    </dgm:pt>
    <dgm:pt modelId="{CF70C75C-E978-4D06-8E91-D975CABCF965}" type="parTrans" cxnId="{7FFE75D4-A653-499E-938B-70064930BDA3}">
      <dgm:prSet/>
      <dgm:spPr/>
      <dgm:t>
        <a:bodyPr/>
        <a:lstStyle/>
        <a:p>
          <a:endParaRPr lang="fr-FR"/>
        </a:p>
      </dgm:t>
    </dgm:pt>
    <dgm:pt modelId="{7A49003D-5E08-4EBB-9E85-AFE1AF0F6022}" type="sibTrans" cxnId="{7FFE75D4-A653-499E-938B-70064930BDA3}">
      <dgm:prSet/>
      <dgm:spPr/>
      <dgm:t>
        <a:bodyPr/>
        <a:lstStyle/>
        <a:p>
          <a:endParaRPr lang="fr-FR"/>
        </a:p>
      </dgm:t>
    </dgm:pt>
    <dgm:pt modelId="{3DB824C3-C5D8-4FE2-929B-8CB79D92CF35}">
      <dgm:prSet phldrT="[Texte]"/>
      <dgm:spPr/>
      <dgm:t>
        <a:bodyPr/>
        <a:lstStyle/>
        <a:p>
          <a:r>
            <a:rPr lang="fr-FR"/>
            <a:t>Durée de travail : 35 h hebdomadaires et heures supplémentaires mieux rémunérées</a:t>
          </a:r>
        </a:p>
      </dgm:t>
    </dgm:pt>
    <dgm:pt modelId="{6C7EF7DE-871A-42D9-BFE3-CE333360226E}" type="parTrans" cxnId="{0D12B94B-E12C-47DB-A32E-332CA2653C75}">
      <dgm:prSet/>
      <dgm:spPr/>
      <dgm:t>
        <a:bodyPr/>
        <a:lstStyle/>
        <a:p>
          <a:endParaRPr lang="fr-FR"/>
        </a:p>
      </dgm:t>
    </dgm:pt>
    <dgm:pt modelId="{037D87E3-A382-4EB9-883D-D9C809413926}" type="sibTrans" cxnId="{0D12B94B-E12C-47DB-A32E-332CA2653C75}">
      <dgm:prSet/>
      <dgm:spPr/>
      <dgm:t>
        <a:bodyPr/>
        <a:lstStyle/>
        <a:p>
          <a:endParaRPr lang="fr-FR"/>
        </a:p>
      </dgm:t>
    </dgm:pt>
    <dgm:pt modelId="{9B581141-2AC8-48A9-9C0D-F2BB3D31C9C7}">
      <dgm:prSet phldrT="[Texte]"/>
      <dgm:spPr/>
      <dgm:t>
        <a:bodyPr/>
        <a:lstStyle/>
        <a:p>
          <a:r>
            <a:rPr lang="fr-FR"/>
            <a:t>Rémunération : au moins le SMIC</a:t>
          </a:r>
        </a:p>
      </dgm:t>
    </dgm:pt>
    <dgm:pt modelId="{73E4B377-C6D3-4AB8-8843-5AE30EFEF814}" type="parTrans" cxnId="{584F08DC-FF8C-4EED-88A8-908EA8638DFE}">
      <dgm:prSet/>
      <dgm:spPr/>
      <dgm:t>
        <a:bodyPr/>
        <a:lstStyle/>
        <a:p>
          <a:endParaRPr lang="fr-FR"/>
        </a:p>
      </dgm:t>
    </dgm:pt>
    <dgm:pt modelId="{E8B07091-AC00-4B8C-B252-04B4929557AA}" type="sibTrans" cxnId="{584F08DC-FF8C-4EED-88A8-908EA8638DFE}">
      <dgm:prSet/>
      <dgm:spPr/>
      <dgm:t>
        <a:bodyPr/>
        <a:lstStyle/>
        <a:p>
          <a:endParaRPr lang="fr-FR"/>
        </a:p>
      </dgm:t>
    </dgm:pt>
    <dgm:pt modelId="{4759F8B5-DC6E-430A-9E0C-08244A3C105A}">
      <dgm:prSet phldrT="[Texte]"/>
      <dgm:spPr/>
      <dgm:t>
        <a:bodyPr/>
        <a:lstStyle/>
        <a:p>
          <a:r>
            <a:rPr lang="fr-FR"/>
            <a:t>le lieu de travail : lieu où le salarié exerce sa prestation de travail</a:t>
          </a:r>
        </a:p>
      </dgm:t>
    </dgm:pt>
    <dgm:pt modelId="{FE04FEC8-E54B-4EB6-9F61-84730A3AF55B}" type="parTrans" cxnId="{F2A38D1E-B2E8-4CA3-898F-078FECDD976F}">
      <dgm:prSet/>
      <dgm:spPr/>
      <dgm:t>
        <a:bodyPr/>
        <a:lstStyle/>
        <a:p>
          <a:endParaRPr lang="fr-FR"/>
        </a:p>
      </dgm:t>
    </dgm:pt>
    <dgm:pt modelId="{DF7F9510-1172-4F08-9A6B-FE7F7C74F314}" type="sibTrans" cxnId="{F2A38D1E-B2E8-4CA3-898F-078FECDD976F}">
      <dgm:prSet/>
      <dgm:spPr/>
      <dgm:t>
        <a:bodyPr/>
        <a:lstStyle/>
        <a:p>
          <a:endParaRPr lang="fr-FR"/>
        </a:p>
      </dgm:t>
    </dgm:pt>
    <dgm:pt modelId="{81CEC8D2-A715-414C-9845-BEFD7A40DBA4}" type="pres">
      <dgm:prSet presAssocID="{78CFE7AD-D0F2-4FDB-A468-A97ED00CB002}" presName="matrix" presStyleCnt="0">
        <dgm:presLayoutVars>
          <dgm:chMax val="1"/>
          <dgm:dir/>
          <dgm:resizeHandles val="exact"/>
        </dgm:presLayoutVars>
      </dgm:prSet>
      <dgm:spPr/>
    </dgm:pt>
    <dgm:pt modelId="{2C8EBAAD-A12D-47DB-A36C-493093C7200C}" type="pres">
      <dgm:prSet presAssocID="{78CFE7AD-D0F2-4FDB-A468-A97ED00CB002}" presName="diamond" presStyleLbl="bgShp" presStyleIdx="0" presStyleCnt="1"/>
      <dgm:spPr/>
    </dgm:pt>
    <dgm:pt modelId="{D9AA121B-D45F-4DBA-BEBF-A2AFCE461AB3}" type="pres">
      <dgm:prSet presAssocID="{78CFE7AD-D0F2-4FDB-A468-A97ED00CB002}" presName="quad1" presStyleLbl="node1" presStyleIdx="0" presStyleCnt="4">
        <dgm:presLayoutVars>
          <dgm:chMax val="0"/>
          <dgm:chPref val="0"/>
          <dgm:bulletEnabled val="1"/>
        </dgm:presLayoutVars>
      </dgm:prSet>
      <dgm:spPr/>
      <dgm:t>
        <a:bodyPr/>
        <a:lstStyle/>
        <a:p>
          <a:endParaRPr lang="fr-FR"/>
        </a:p>
      </dgm:t>
    </dgm:pt>
    <dgm:pt modelId="{3F61A0DC-6BD9-4DFE-831F-5F2589893687}" type="pres">
      <dgm:prSet presAssocID="{78CFE7AD-D0F2-4FDB-A468-A97ED00CB002}" presName="quad2" presStyleLbl="node1" presStyleIdx="1" presStyleCnt="4">
        <dgm:presLayoutVars>
          <dgm:chMax val="0"/>
          <dgm:chPref val="0"/>
          <dgm:bulletEnabled val="1"/>
        </dgm:presLayoutVars>
      </dgm:prSet>
      <dgm:spPr/>
      <dgm:t>
        <a:bodyPr/>
        <a:lstStyle/>
        <a:p>
          <a:endParaRPr lang="fr-FR"/>
        </a:p>
      </dgm:t>
    </dgm:pt>
    <dgm:pt modelId="{35088A47-AF68-4661-8C10-F569992C4B55}" type="pres">
      <dgm:prSet presAssocID="{78CFE7AD-D0F2-4FDB-A468-A97ED00CB002}" presName="quad3" presStyleLbl="node1" presStyleIdx="2" presStyleCnt="4">
        <dgm:presLayoutVars>
          <dgm:chMax val="0"/>
          <dgm:chPref val="0"/>
          <dgm:bulletEnabled val="1"/>
        </dgm:presLayoutVars>
      </dgm:prSet>
      <dgm:spPr/>
      <dgm:t>
        <a:bodyPr/>
        <a:lstStyle/>
        <a:p>
          <a:endParaRPr lang="fr-FR"/>
        </a:p>
      </dgm:t>
    </dgm:pt>
    <dgm:pt modelId="{327496FA-170C-490D-B50B-6996C4F3F53D}" type="pres">
      <dgm:prSet presAssocID="{78CFE7AD-D0F2-4FDB-A468-A97ED00CB002}" presName="quad4" presStyleLbl="node1" presStyleIdx="3" presStyleCnt="4">
        <dgm:presLayoutVars>
          <dgm:chMax val="0"/>
          <dgm:chPref val="0"/>
          <dgm:bulletEnabled val="1"/>
        </dgm:presLayoutVars>
      </dgm:prSet>
      <dgm:spPr/>
      <dgm:t>
        <a:bodyPr/>
        <a:lstStyle/>
        <a:p>
          <a:endParaRPr lang="fr-FR"/>
        </a:p>
      </dgm:t>
    </dgm:pt>
  </dgm:ptLst>
  <dgm:cxnLst>
    <dgm:cxn modelId="{32DA9B2D-5095-48B7-A3D1-65F3CA830A19}" type="presOf" srcId="{1BB5CA73-F676-4379-9FA6-060FF573D494}" destId="{D9AA121B-D45F-4DBA-BEBF-A2AFCE461AB3}" srcOrd="0" destOrd="0" presId="urn:microsoft.com/office/officeart/2005/8/layout/matrix3"/>
    <dgm:cxn modelId="{3C29CD62-ED46-4D18-8031-EE30BE0C6D48}" type="presOf" srcId="{4759F8B5-DC6E-430A-9E0C-08244A3C105A}" destId="{327496FA-170C-490D-B50B-6996C4F3F53D}" srcOrd="0" destOrd="0" presId="urn:microsoft.com/office/officeart/2005/8/layout/matrix3"/>
    <dgm:cxn modelId="{F2A38D1E-B2E8-4CA3-898F-078FECDD976F}" srcId="{78CFE7AD-D0F2-4FDB-A468-A97ED00CB002}" destId="{4759F8B5-DC6E-430A-9E0C-08244A3C105A}" srcOrd="3" destOrd="0" parTransId="{FE04FEC8-E54B-4EB6-9F61-84730A3AF55B}" sibTransId="{DF7F9510-1172-4F08-9A6B-FE7F7C74F314}"/>
    <dgm:cxn modelId="{0D12B94B-E12C-47DB-A32E-332CA2653C75}" srcId="{78CFE7AD-D0F2-4FDB-A468-A97ED00CB002}" destId="{3DB824C3-C5D8-4FE2-929B-8CB79D92CF35}" srcOrd="1" destOrd="0" parTransId="{6C7EF7DE-871A-42D9-BFE3-CE333360226E}" sibTransId="{037D87E3-A382-4EB9-883D-D9C809413926}"/>
    <dgm:cxn modelId="{B9613FD8-9EA0-4CB2-9030-61247D6FA1D5}" type="presOf" srcId="{3DB824C3-C5D8-4FE2-929B-8CB79D92CF35}" destId="{3F61A0DC-6BD9-4DFE-831F-5F2589893687}" srcOrd="0" destOrd="0" presId="urn:microsoft.com/office/officeart/2005/8/layout/matrix3"/>
    <dgm:cxn modelId="{AFD5D19A-0A50-44DC-B5F9-F49E9DF3FB1B}" type="presOf" srcId="{9B581141-2AC8-48A9-9C0D-F2BB3D31C9C7}" destId="{35088A47-AF68-4661-8C10-F569992C4B55}" srcOrd="0" destOrd="0" presId="urn:microsoft.com/office/officeart/2005/8/layout/matrix3"/>
    <dgm:cxn modelId="{584F08DC-FF8C-4EED-88A8-908EA8638DFE}" srcId="{78CFE7AD-D0F2-4FDB-A468-A97ED00CB002}" destId="{9B581141-2AC8-48A9-9C0D-F2BB3D31C9C7}" srcOrd="2" destOrd="0" parTransId="{73E4B377-C6D3-4AB8-8843-5AE30EFEF814}" sibTransId="{E8B07091-AC00-4B8C-B252-04B4929557AA}"/>
    <dgm:cxn modelId="{08CFEF92-E835-43CF-AC37-6D32661356B1}" type="presOf" srcId="{78CFE7AD-D0F2-4FDB-A468-A97ED00CB002}" destId="{81CEC8D2-A715-414C-9845-BEFD7A40DBA4}" srcOrd="0" destOrd="0" presId="urn:microsoft.com/office/officeart/2005/8/layout/matrix3"/>
    <dgm:cxn modelId="{7FFE75D4-A653-499E-938B-70064930BDA3}" srcId="{78CFE7AD-D0F2-4FDB-A468-A97ED00CB002}" destId="{1BB5CA73-F676-4379-9FA6-060FF573D494}" srcOrd="0" destOrd="0" parTransId="{CF70C75C-E978-4D06-8E91-D975CABCF965}" sibTransId="{7A49003D-5E08-4EBB-9E85-AFE1AF0F6022}"/>
    <dgm:cxn modelId="{BAB78547-9453-4561-86A0-59729EED8A5D}" type="presParOf" srcId="{81CEC8D2-A715-414C-9845-BEFD7A40DBA4}" destId="{2C8EBAAD-A12D-47DB-A36C-493093C7200C}" srcOrd="0" destOrd="0" presId="urn:microsoft.com/office/officeart/2005/8/layout/matrix3"/>
    <dgm:cxn modelId="{0EF3CF47-4227-4138-8841-D45822ECE2F9}" type="presParOf" srcId="{81CEC8D2-A715-414C-9845-BEFD7A40DBA4}" destId="{D9AA121B-D45F-4DBA-BEBF-A2AFCE461AB3}" srcOrd="1" destOrd="0" presId="urn:microsoft.com/office/officeart/2005/8/layout/matrix3"/>
    <dgm:cxn modelId="{B8F596B1-FFA9-44CE-843A-549F2A17C4AB}" type="presParOf" srcId="{81CEC8D2-A715-414C-9845-BEFD7A40DBA4}" destId="{3F61A0DC-6BD9-4DFE-831F-5F2589893687}" srcOrd="2" destOrd="0" presId="urn:microsoft.com/office/officeart/2005/8/layout/matrix3"/>
    <dgm:cxn modelId="{CE530093-023B-422A-86A3-E61AC3908323}" type="presParOf" srcId="{81CEC8D2-A715-414C-9845-BEFD7A40DBA4}" destId="{35088A47-AF68-4661-8C10-F569992C4B55}" srcOrd="3" destOrd="0" presId="urn:microsoft.com/office/officeart/2005/8/layout/matrix3"/>
    <dgm:cxn modelId="{57C43FA9-F2EC-4D36-9420-76351535D7D3}" type="presParOf" srcId="{81CEC8D2-A715-414C-9845-BEFD7A40DBA4}" destId="{327496FA-170C-490D-B50B-6996C4F3F53D}" srcOrd="4" destOrd="0" presId="urn:microsoft.com/office/officeart/2005/8/layout/matrix3"/>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C8EBAAD-A12D-47DB-A36C-493093C7200C}">
      <dsp:nvSpPr>
        <dsp:cNvPr id="0" name=""/>
        <dsp:cNvSpPr/>
      </dsp:nvSpPr>
      <dsp:spPr>
        <a:xfrm>
          <a:off x="876300" y="0"/>
          <a:ext cx="3733800" cy="37338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9AA121B-D45F-4DBA-BEBF-A2AFCE461AB3}">
      <dsp:nvSpPr>
        <dsp:cNvPr id="0" name=""/>
        <dsp:cNvSpPr/>
      </dsp:nvSpPr>
      <dsp:spPr>
        <a:xfrm>
          <a:off x="1231011" y="354711"/>
          <a:ext cx="1456182" cy="14561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Emploi : fonction et tâches confiées</a:t>
          </a:r>
        </a:p>
      </dsp:txBody>
      <dsp:txXfrm>
        <a:off x="1231011" y="354711"/>
        <a:ext cx="1456182" cy="1456182"/>
      </dsp:txXfrm>
    </dsp:sp>
    <dsp:sp modelId="{3F61A0DC-6BD9-4DFE-831F-5F2589893687}">
      <dsp:nvSpPr>
        <dsp:cNvPr id="0" name=""/>
        <dsp:cNvSpPr/>
      </dsp:nvSpPr>
      <dsp:spPr>
        <a:xfrm>
          <a:off x="2799207" y="354711"/>
          <a:ext cx="1456182" cy="14561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Durée de travail : 35 h hebdomadaires et heures supplémentaires mieux rémunérées</a:t>
          </a:r>
        </a:p>
      </dsp:txBody>
      <dsp:txXfrm>
        <a:off x="2799207" y="354711"/>
        <a:ext cx="1456182" cy="1456182"/>
      </dsp:txXfrm>
    </dsp:sp>
    <dsp:sp modelId="{35088A47-AF68-4661-8C10-F569992C4B55}">
      <dsp:nvSpPr>
        <dsp:cNvPr id="0" name=""/>
        <dsp:cNvSpPr/>
      </dsp:nvSpPr>
      <dsp:spPr>
        <a:xfrm>
          <a:off x="1231011" y="1922907"/>
          <a:ext cx="1456182" cy="14561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Rémunération : au moins le SMIC</a:t>
          </a:r>
        </a:p>
      </dsp:txBody>
      <dsp:txXfrm>
        <a:off x="1231011" y="1922907"/>
        <a:ext cx="1456182" cy="1456182"/>
      </dsp:txXfrm>
    </dsp:sp>
    <dsp:sp modelId="{327496FA-170C-490D-B50B-6996C4F3F53D}">
      <dsp:nvSpPr>
        <dsp:cNvPr id="0" name=""/>
        <dsp:cNvSpPr/>
      </dsp:nvSpPr>
      <dsp:spPr>
        <a:xfrm>
          <a:off x="2799207" y="1922907"/>
          <a:ext cx="1456182" cy="145618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le lieu de travail : lieu où le salarié exerce sa prestation de travail</a:t>
          </a:r>
        </a:p>
      </dsp:txBody>
      <dsp:txXfrm>
        <a:off x="2799207" y="1922907"/>
        <a:ext cx="1456182" cy="14561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navarro</dc:creator>
  <cp:lastModifiedBy>catherine navarro</cp:lastModifiedBy>
  <cp:revision>1</cp:revision>
  <cp:lastPrinted>2014-12-10T17:07:00Z</cp:lastPrinted>
  <dcterms:created xsi:type="dcterms:W3CDTF">2014-12-10T16:55:00Z</dcterms:created>
  <dcterms:modified xsi:type="dcterms:W3CDTF">2014-12-10T17:11:00Z</dcterms:modified>
</cp:coreProperties>
</file>