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1C1" w:rsidRPr="00AD2F5C" w:rsidRDefault="00AD2F5C" w:rsidP="00AD2F5C">
      <w:pPr>
        <w:pStyle w:val="Sansinterligne"/>
        <w:rPr>
          <w:b/>
          <w:sz w:val="28"/>
          <w:u w:val="single"/>
        </w:rPr>
      </w:pPr>
      <w:r w:rsidRPr="00AD2F5C">
        <w:rPr>
          <w:b/>
          <w:sz w:val="28"/>
          <w:u w:val="single"/>
        </w:rPr>
        <w:t>THEME 5 : TEMPS ET RISQUE</w:t>
      </w:r>
    </w:p>
    <w:p w:rsidR="00AD2F5C" w:rsidRDefault="00AD2F5C" w:rsidP="00AD2F5C">
      <w:pPr>
        <w:pStyle w:val="Sansinterligne"/>
      </w:pPr>
    </w:p>
    <w:p w:rsidR="00AD2F5C" w:rsidRDefault="00AD2F5C" w:rsidP="00AD2F5C">
      <w:pPr>
        <w:pStyle w:val="Sansinterligne"/>
        <w:jc w:val="both"/>
      </w:pPr>
      <w:r>
        <w:t>Gérer, c’est prévoir et anticiper, et donc prendre des risques. La recherche de l’efficacité en gestion, quelle que soit l’organisation, ne peut se résumer au choix de la bonne méthode ou de la bonne technique. Elle prend nécessairement en compte deux facteurs indissociables de toute décision : le temps dans ses différentes dimensions (délai de réaction, durée de mise en œuvre…..) et le risque associé (pour les acteurs internes et externes de l’organisation).</w:t>
      </w:r>
    </w:p>
    <w:p w:rsidR="00AD2F5C" w:rsidRDefault="00AD2F5C" w:rsidP="00AD2F5C">
      <w:pPr>
        <w:pStyle w:val="Sansinterligne"/>
        <w:jc w:val="both"/>
      </w:pPr>
      <w:r>
        <w:t>Chaque acteur de l’organisation, au niveau de responsabilité où il intervient, prend des décisions dont la pertinence et l’efficacité sont dépendantes de la qualité de l’information utilisée et de la prise en compte du temps et du risque.</w:t>
      </w:r>
    </w:p>
    <w:p w:rsidR="00AD2F5C" w:rsidRDefault="00AD2F5C" w:rsidP="00AD2F5C">
      <w:pPr>
        <w:pStyle w:val="Sansinterligne"/>
        <w:jc w:val="both"/>
      </w:pPr>
      <w:r>
        <w:t>Pour mieux faire face aux contraintes temporelles, l’organisation peut utiliser des outils et méthodes d’aide à la prévision.</w:t>
      </w:r>
    </w:p>
    <w:p w:rsidR="00AD2F5C" w:rsidRDefault="00AD2F5C" w:rsidP="00AD2F5C">
      <w:pPr>
        <w:pStyle w:val="Sansinterligne"/>
      </w:pPr>
    </w:p>
    <w:p w:rsidR="00AD2F5C" w:rsidRDefault="00AD2F5C" w:rsidP="00AD2F5C">
      <w:pPr>
        <w:pStyle w:val="Sansinterligne"/>
      </w:pPr>
    </w:p>
    <w:p w:rsidR="00AD2F5C" w:rsidRPr="00AD2F5C" w:rsidRDefault="00AD2F5C" w:rsidP="00AD2F5C">
      <w:pPr>
        <w:pStyle w:val="Sansinterligne"/>
        <w:rPr>
          <w:b/>
          <w:sz w:val="28"/>
        </w:rPr>
      </w:pPr>
      <w:r w:rsidRPr="00AD2F5C">
        <w:rPr>
          <w:b/>
          <w:sz w:val="28"/>
        </w:rPr>
        <w:t>Chapitre 1</w:t>
      </w:r>
      <w:r w:rsidRPr="00AD2F5C">
        <w:rPr>
          <w:b/>
          <w:sz w:val="28"/>
        </w:rPr>
        <w:tab/>
      </w:r>
      <w:r w:rsidRPr="00AD2F5C">
        <w:rPr>
          <w:b/>
          <w:sz w:val="28"/>
        </w:rPr>
        <w:tab/>
      </w:r>
      <w:r>
        <w:rPr>
          <w:b/>
          <w:sz w:val="28"/>
        </w:rPr>
        <w:tab/>
      </w:r>
      <w:r w:rsidRPr="00AD2F5C">
        <w:rPr>
          <w:b/>
          <w:sz w:val="28"/>
        </w:rPr>
        <w:tab/>
      </w:r>
      <w:r w:rsidRPr="00AD2F5C">
        <w:rPr>
          <w:b/>
          <w:sz w:val="28"/>
        </w:rPr>
        <w:tab/>
        <w:t>LE SEUIL DE RENTABILITE</w:t>
      </w:r>
    </w:p>
    <w:p w:rsidR="00AD2F5C" w:rsidRDefault="00AD2F5C" w:rsidP="00AD2F5C">
      <w:pPr>
        <w:pStyle w:val="Sansinterligne"/>
      </w:pPr>
    </w:p>
    <w:p w:rsidR="00AD2F5C" w:rsidRDefault="00AD2F5C" w:rsidP="00AD2F5C">
      <w:pPr>
        <w:pStyle w:val="Sansinterligne"/>
      </w:pPr>
    </w:p>
    <w:p w:rsidR="00AD2F5C" w:rsidRPr="00AD2F5C" w:rsidRDefault="00AD2F5C" w:rsidP="00AD2F5C">
      <w:pPr>
        <w:pStyle w:val="Sansinterligne"/>
        <w:rPr>
          <w:b/>
          <w:sz w:val="24"/>
        </w:rPr>
      </w:pPr>
      <w:r w:rsidRPr="00AD2F5C">
        <w:rPr>
          <w:b/>
          <w:sz w:val="24"/>
        </w:rPr>
        <w:t>I DEFINITION</w:t>
      </w:r>
    </w:p>
    <w:p w:rsidR="00AD2F5C" w:rsidRDefault="00AD2F5C" w:rsidP="00AD2F5C">
      <w:pPr>
        <w:pStyle w:val="Sansinterligne"/>
      </w:pPr>
    </w:p>
    <w:p w:rsidR="00AD2F5C" w:rsidRDefault="00AD2F5C" w:rsidP="00830276">
      <w:pPr>
        <w:pStyle w:val="Sansinterligne"/>
        <w:tabs>
          <w:tab w:val="left" w:leader="dot" w:pos="10065"/>
        </w:tabs>
        <w:spacing w:line="360" w:lineRule="auto"/>
      </w:pPr>
      <w:r w:rsidRPr="001A7DF5">
        <w:rPr>
          <w:i/>
        </w:rPr>
        <w:t>Seuil de rentabilité</w:t>
      </w:r>
      <w:r>
        <w:t xml:space="preserve"> : </w:t>
      </w:r>
      <w:r>
        <w:tab/>
      </w:r>
    </w:p>
    <w:p w:rsidR="00AD2F5C" w:rsidRDefault="00AD2F5C" w:rsidP="00830276">
      <w:pPr>
        <w:pStyle w:val="Sansinterligne"/>
        <w:tabs>
          <w:tab w:val="left" w:leader="dot" w:pos="10065"/>
        </w:tabs>
        <w:spacing w:line="360" w:lineRule="auto"/>
      </w:pPr>
      <w:r>
        <w:tab/>
      </w:r>
    </w:p>
    <w:p w:rsidR="00AD2F5C" w:rsidRDefault="00830276" w:rsidP="00AD2F5C">
      <w:pPr>
        <w:pStyle w:val="Sansinterligne"/>
        <w:tabs>
          <w:tab w:val="left" w:leader="dot" w:pos="10065"/>
        </w:tabs>
      </w:pPr>
      <w:r>
        <w:tab/>
      </w:r>
    </w:p>
    <w:p w:rsidR="00AD2F5C" w:rsidRDefault="00AD2F5C" w:rsidP="00AD2F5C">
      <w:pPr>
        <w:pStyle w:val="Sansinterligne"/>
        <w:tabs>
          <w:tab w:val="left" w:leader="dot" w:pos="10065"/>
        </w:tabs>
      </w:pPr>
    </w:p>
    <w:p w:rsidR="00830276" w:rsidRDefault="00830276" w:rsidP="00830276">
      <w:pPr>
        <w:pStyle w:val="Sansinterligne"/>
        <w:tabs>
          <w:tab w:val="left" w:leader="dot" w:pos="10065"/>
        </w:tabs>
        <w:jc w:val="both"/>
      </w:pPr>
      <w:r>
        <w:t>Grâce à cet outil de prospective l’organisation peut donc évaluer les conséquences d’un changement  de structure (acquisition de matériel, recrutement de salarié…..) ainsi que l’apport de nouvelles commandes sur le résultat de l’organisation.</w:t>
      </w:r>
    </w:p>
    <w:p w:rsidR="00830276" w:rsidRDefault="00830276" w:rsidP="00830276">
      <w:pPr>
        <w:pStyle w:val="Sansinterligne"/>
        <w:tabs>
          <w:tab w:val="left" w:leader="dot" w:pos="10065"/>
        </w:tabs>
        <w:jc w:val="both"/>
      </w:pPr>
    </w:p>
    <w:p w:rsidR="00830276" w:rsidRDefault="00830276" w:rsidP="00830276">
      <w:pPr>
        <w:pStyle w:val="Sansinterligne"/>
        <w:tabs>
          <w:tab w:val="left" w:leader="dot" w:pos="10065"/>
        </w:tabs>
        <w:jc w:val="both"/>
      </w:pPr>
      <w:r>
        <w:t>Pour déterminer le seuil de rentabilité, l’organisation doit, au préalable, répartir ses charges en charges variables et charges fixes.</w:t>
      </w:r>
    </w:p>
    <w:p w:rsidR="00830276" w:rsidRDefault="00830276" w:rsidP="00830276">
      <w:pPr>
        <w:pStyle w:val="Sansinterligne"/>
        <w:tabs>
          <w:tab w:val="left" w:leader="dot" w:pos="10065"/>
        </w:tabs>
        <w:jc w:val="both"/>
      </w:pPr>
    </w:p>
    <w:p w:rsidR="00830276" w:rsidRDefault="00830276" w:rsidP="00830276">
      <w:pPr>
        <w:pStyle w:val="Sansinterligne"/>
        <w:tabs>
          <w:tab w:val="left" w:leader="dot" w:pos="10065"/>
        </w:tabs>
        <w:jc w:val="both"/>
      </w:pPr>
    </w:p>
    <w:p w:rsidR="00830276" w:rsidRPr="00830276" w:rsidRDefault="00830276" w:rsidP="00830276">
      <w:pPr>
        <w:pStyle w:val="Sansinterligne"/>
        <w:tabs>
          <w:tab w:val="left" w:leader="dot" w:pos="10065"/>
        </w:tabs>
        <w:jc w:val="both"/>
        <w:rPr>
          <w:b/>
          <w:sz w:val="24"/>
        </w:rPr>
      </w:pPr>
      <w:r w:rsidRPr="00830276">
        <w:rPr>
          <w:b/>
          <w:sz w:val="24"/>
        </w:rPr>
        <w:t xml:space="preserve">II </w:t>
      </w:r>
      <w:r w:rsidR="00BB35D7">
        <w:rPr>
          <w:b/>
          <w:sz w:val="24"/>
        </w:rPr>
        <w:t xml:space="preserve">LA </w:t>
      </w:r>
      <w:r w:rsidRPr="00830276">
        <w:rPr>
          <w:b/>
          <w:sz w:val="24"/>
        </w:rPr>
        <w:t>REPARTITION DES CHARGES</w:t>
      </w:r>
    </w:p>
    <w:p w:rsidR="00830276" w:rsidRDefault="00830276" w:rsidP="00830276">
      <w:pPr>
        <w:pStyle w:val="Sansinterligne"/>
        <w:tabs>
          <w:tab w:val="left" w:leader="dot" w:pos="10065"/>
        </w:tabs>
        <w:jc w:val="both"/>
      </w:pPr>
    </w:p>
    <w:p w:rsidR="00830276" w:rsidRDefault="00830276" w:rsidP="00257026">
      <w:pPr>
        <w:pStyle w:val="Sansinterligne"/>
        <w:tabs>
          <w:tab w:val="left" w:leader="dot" w:pos="10065"/>
        </w:tabs>
        <w:spacing w:line="360" w:lineRule="auto"/>
        <w:jc w:val="both"/>
      </w:pPr>
      <w:r w:rsidRPr="00257026">
        <w:rPr>
          <w:b/>
        </w:rPr>
        <w:t>Charges variables</w:t>
      </w:r>
      <w:r>
        <w:t xml:space="preserve"> (charges opérationnelles) : </w:t>
      </w:r>
      <w:r>
        <w:tab/>
      </w:r>
    </w:p>
    <w:p w:rsidR="00830276" w:rsidRDefault="00830276" w:rsidP="00830276">
      <w:pPr>
        <w:pStyle w:val="Sansinterligne"/>
        <w:tabs>
          <w:tab w:val="left" w:leader="dot" w:pos="10065"/>
        </w:tabs>
        <w:jc w:val="both"/>
      </w:pPr>
      <w:r>
        <w:tab/>
      </w:r>
    </w:p>
    <w:p w:rsidR="00830276" w:rsidRDefault="00830276" w:rsidP="00830276">
      <w:pPr>
        <w:pStyle w:val="Sansinterligne"/>
        <w:tabs>
          <w:tab w:val="left" w:leader="dot" w:pos="10065"/>
        </w:tabs>
        <w:jc w:val="both"/>
      </w:pPr>
    </w:p>
    <w:p w:rsidR="00830276" w:rsidRDefault="00830276" w:rsidP="00257026">
      <w:pPr>
        <w:pStyle w:val="Sansinterligne"/>
        <w:tabs>
          <w:tab w:val="left" w:leader="dot" w:pos="10065"/>
        </w:tabs>
        <w:spacing w:line="360" w:lineRule="auto"/>
        <w:jc w:val="both"/>
      </w:pPr>
      <w:r w:rsidRPr="00257026">
        <w:rPr>
          <w:b/>
        </w:rPr>
        <w:t>Charges fixes</w:t>
      </w:r>
      <w:r>
        <w:t xml:space="preserve"> (charges de structure) : </w:t>
      </w:r>
      <w:r>
        <w:tab/>
      </w:r>
    </w:p>
    <w:p w:rsidR="00830276" w:rsidRDefault="00830276" w:rsidP="00830276">
      <w:pPr>
        <w:pStyle w:val="Sansinterligne"/>
        <w:tabs>
          <w:tab w:val="left" w:leader="dot" w:pos="10065"/>
        </w:tabs>
        <w:jc w:val="both"/>
      </w:pPr>
      <w:r>
        <w:tab/>
      </w:r>
    </w:p>
    <w:p w:rsidR="00830276" w:rsidRDefault="00830276" w:rsidP="00830276">
      <w:pPr>
        <w:pStyle w:val="Sansinterligne"/>
        <w:tabs>
          <w:tab w:val="left" w:leader="dot" w:pos="10065"/>
        </w:tabs>
        <w:jc w:val="both"/>
      </w:pPr>
    </w:p>
    <w:p w:rsidR="00257026" w:rsidRPr="00D836FA" w:rsidRDefault="00257026" w:rsidP="00257026">
      <w:pPr>
        <w:tabs>
          <w:tab w:val="left" w:leader="dot" w:pos="9639"/>
        </w:tabs>
        <w:jc w:val="both"/>
        <w:rPr>
          <w:rFonts w:asciiTheme="minorHAnsi" w:hAnsiTheme="minorHAnsi" w:cstheme="minorHAnsi"/>
          <w:sz w:val="22"/>
          <w:szCs w:val="22"/>
        </w:rPr>
      </w:pPr>
      <w:r w:rsidRPr="00D836FA">
        <w:rPr>
          <w:rFonts w:asciiTheme="minorHAnsi" w:hAnsiTheme="minorHAnsi" w:cstheme="minorHAnsi"/>
          <w:sz w:val="22"/>
          <w:szCs w:val="22"/>
        </w:rPr>
        <w:t>Les charges ne restent fixes que pour une structure donnée. Elles peuvent être modifiées par un changement de structure, tel que l’embauche d’un salarié, un investissement réalisé….</w:t>
      </w:r>
    </w:p>
    <w:p w:rsidR="00830276" w:rsidRDefault="00830276" w:rsidP="00830276">
      <w:pPr>
        <w:pStyle w:val="Sansinterligne"/>
        <w:tabs>
          <w:tab w:val="left" w:leader="dot" w:pos="10065"/>
        </w:tabs>
        <w:jc w:val="both"/>
      </w:pPr>
    </w:p>
    <w:p w:rsidR="00257026" w:rsidRPr="001A7DF5" w:rsidRDefault="00BA622C" w:rsidP="00830276">
      <w:pPr>
        <w:pStyle w:val="Sansinterligne"/>
        <w:tabs>
          <w:tab w:val="left" w:leader="dot" w:pos="10065"/>
        </w:tabs>
        <w:jc w:val="both"/>
        <w:rPr>
          <w:i/>
          <w:u w:val="single"/>
        </w:rPr>
      </w:pPr>
      <w:r w:rsidRPr="001A7DF5">
        <w:rPr>
          <w:i/>
          <w:u w:val="single"/>
        </w:rPr>
        <w:t>Comportement des charges :</w:t>
      </w:r>
    </w:p>
    <w:p w:rsidR="00BA622C" w:rsidRDefault="00BA622C" w:rsidP="00830276">
      <w:pPr>
        <w:pStyle w:val="Sansinterligne"/>
        <w:tabs>
          <w:tab w:val="left" w:leader="dot" w:pos="10065"/>
        </w:tabs>
        <w:jc w:val="both"/>
      </w:pPr>
    </w:p>
    <w:p w:rsidR="00BA622C" w:rsidRDefault="00BA622C" w:rsidP="00BA622C">
      <w:pPr>
        <w:pStyle w:val="Sansinterligne"/>
        <w:numPr>
          <w:ilvl w:val="0"/>
          <w:numId w:val="1"/>
        </w:numPr>
        <w:tabs>
          <w:tab w:val="left" w:leader="dot" w:pos="10065"/>
        </w:tabs>
        <w:spacing w:line="360" w:lineRule="auto"/>
        <w:jc w:val="both"/>
      </w:pPr>
      <w:r>
        <w:t xml:space="preserve">Charges variables globales : </w:t>
      </w:r>
      <w:r>
        <w:tab/>
      </w:r>
    </w:p>
    <w:p w:rsidR="00BA622C" w:rsidRDefault="00BA622C" w:rsidP="00BA622C">
      <w:pPr>
        <w:pStyle w:val="Sansinterligne"/>
        <w:numPr>
          <w:ilvl w:val="0"/>
          <w:numId w:val="1"/>
        </w:numPr>
        <w:tabs>
          <w:tab w:val="left" w:leader="dot" w:pos="10065"/>
        </w:tabs>
        <w:spacing w:line="360" w:lineRule="auto"/>
        <w:jc w:val="both"/>
      </w:pPr>
      <w:r>
        <w:t xml:space="preserve">Charges variables unitaires : </w:t>
      </w:r>
      <w:r>
        <w:tab/>
      </w:r>
    </w:p>
    <w:p w:rsidR="00BA622C" w:rsidRDefault="00BA622C" w:rsidP="00BA622C">
      <w:pPr>
        <w:pStyle w:val="Sansinterligne"/>
        <w:numPr>
          <w:ilvl w:val="0"/>
          <w:numId w:val="1"/>
        </w:numPr>
        <w:tabs>
          <w:tab w:val="left" w:leader="dot" w:pos="10065"/>
        </w:tabs>
        <w:spacing w:line="360" w:lineRule="auto"/>
        <w:jc w:val="both"/>
      </w:pPr>
      <w:r>
        <w:t xml:space="preserve">Charges fixes globales : </w:t>
      </w:r>
      <w:r>
        <w:tab/>
      </w:r>
    </w:p>
    <w:p w:rsidR="00BA622C" w:rsidRDefault="00BA622C" w:rsidP="00BA622C">
      <w:pPr>
        <w:pStyle w:val="Sansinterligne"/>
        <w:numPr>
          <w:ilvl w:val="0"/>
          <w:numId w:val="1"/>
        </w:numPr>
        <w:tabs>
          <w:tab w:val="left" w:leader="dot" w:pos="10065"/>
        </w:tabs>
        <w:spacing w:line="360" w:lineRule="auto"/>
        <w:jc w:val="both"/>
      </w:pPr>
      <w:r>
        <w:t xml:space="preserve">Charges fixes unitaires : </w:t>
      </w:r>
      <w:r>
        <w:tab/>
      </w:r>
    </w:p>
    <w:p w:rsidR="00BA622C" w:rsidRDefault="00BA622C" w:rsidP="00BA622C">
      <w:pPr>
        <w:pStyle w:val="Sansinterligne"/>
        <w:tabs>
          <w:tab w:val="left" w:leader="dot" w:pos="10065"/>
        </w:tabs>
        <w:ind w:left="720"/>
        <w:jc w:val="both"/>
      </w:pPr>
      <w:r>
        <w:tab/>
      </w:r>
    </w:p>
    <w:p w:rsidR="00BA622C" w:rsidRDefault="00BA622C" w:rsidP="00BA622C">
      <w:pPr>
        <w:pStyle w:val="Sansinterligne"/>
        <w:tabs>
          <w:tab w:val="left" w:leader="dot" w:pos="10065"/>
        </w:tabs>
        <w:ind w:left="720"/>
        <w:jc w:val="both"/>
      </w:pPr>
    </w:p>
    <w:p w:rsidR="00BA622C" w:rsidRDefault="00BA622C" w:rsidP="00BA622C">
      <w:pPr>
        <w:pStyle w:val="Sansinterligne"/>
        <w:tabs>
          <w:tab w:val="left" w:leader="dot" w:pos="10065"/>
        </w:tabs>
        <w:jc w:val="both"/>
      </w:pPr>
    </w:p>
    <w:p w:rsidR="00BA622C" w:rsidRDefault="00BA622C" w:rsidP="00BA622C">
      <w:pPr>
        <w:pStyle w:val="Sansinterligne"/>
        <w:tabs>
          <w:tab w:val="left" w:leader="dot" w:pos="10065"/>
        </w:tabs>
        <w:jc w:val="both"/>
      </w:pPr>
      <w:r>
        <w:t>Une fois les charges réparties, il faut établir le compte de résultat différentiel.</w:t>
      </w:r>
    </w:p>
    <w:p w:rsidR="00BA622C" w:rsidRDefault="00BA622C" w:rsidP="00BA622C">
      <w:pPr>
        <w:pStyle w:val="Sansinterligne"/>
        <w:tabs>
          <w:tab w:val="left" w:leader="dot" w:pos="10065"/>
        </w:tabs>
        <w:jc w:val="both"/>
      </w:pPr>
    </w:p>
    <w:p w:rsidR="00BA622C" w:rsidRPr="00737B79" w:rsidRDefault="00BA622C" w:rsidP="00BA622C">
      <w:pPr>
        <w:pStyle w:val="Sansinterligne"/>
        <w:tabs>
          <w:tab w:val="left" w:leader="dot" w:pos="10065"/>
        </w:tabs>
        <w:jc w:val="both"/>
        <w:rPr>
          <w:b/>
          <w:sz w:val="24"/>
        </w:rPr>
      </w:pPr>
      <w:r w:rsidRPr="00737B79">
        <w:rPr>
          <w:b/>
          <w:sz w:val="24"/>
        </w:rPr>
        <w:lastRenderedPageBreak/>
        <w:t>II</w:t>
      </w:r>
      <w:r w:rsidR="00EE5193">
        <w:rPr>
          <w:b/>
          <w:sz w:val="24"/>
        </w:rPr>
        <w:t>I</w:t>
      </w:r>
      <w:r w:rsidRPr="00737B79">
        <w:rPr>
          <w:b/>
          <w:sz w:val="24"/>
        </w:rPr>
        <w:t xml:space="preserve"> </w:t>
      </w:r>
      <w:r w:rsidR="00737B79" w:rsidRPr="00737B79">
        <w:rPr>
          <w:b/>
          <w:sz w:val="24"/>
        </w:rPr>
        <w:t>LE COMPTE DE RESULTAT DIFFERENTIEL</w:t>
      </w:r>
    </w:p>
    <w:p w:rsidR="00737B79" w:rsidRDefault="00737B79" w:rsidP="00BA622C">
      <w:pPr>
        <w:pStyle w:val="Sansinterligne"/>
        <w:tabs>
          <w:tab w:val="left" w:leader="dot" w:pos="10065"/>
        </w:tabs>
        <w:jc w:val="both"/>
      </w:pPr>
    </w:p>
    <w:p w:rsidR="00737B79" w:rsidRDefault="00737B79" w:rsidP="00BA622C">
      <w:pPr>
        <w:pStyle w:val="Sansinterligne"/>
        <w:tabs>
          <w:tab w:val="left" w:leader="dot" w:pos="10065"/>
        </w:tabs>
        <w:jc w:val="both"/>
      </w:pPr>
      <w:r>
        <w:t>L’organisation cherche à prévoir l’incidence de son activité sur son résultat futur.</w:t>
      </w:r>
      <w:r w:rsidR="001A7DF5">
        <w:t xml:space="preserve"> </w:t>
      </w:r>
      <w:r>
        <w:t>Pour cela, elle anticipe :</w:t>
      </w:r>
    </w:p>
    <w:p w:rsidR="00737B79" w:rsidRDefault="00737B79" w:rsidP="00737B79">
      <w:pPr>
        <w:pStyle w:val="Sansinterligne"/>
        <w:numPr>
          <w:ilvl w:val="0"/>
          <w:numId w:val="1"/>
        </w:numPr>
        <w:tabs>
          <w:tab w:val="left" w:leader="dot" w:pos="10065"/>
        </w:tabs>
        <w:jc w:val="both"/>
      </w:pPr>
      <w:r>
        <w:t>son chiffre d’affaires à venir ;</w:t>
      </w:r>
    </w:p>
    <w:p w:rsidR="00737B79" w:rsidRDefault="00737B79" w:rsidP="00737B79">
      <w:pPr>
        <w:pStyle w:val="Sansinterligne"/>
        <w:numPr>
          <w:ilvl w:val="0"/>
          <w:numId w:val="1"/>
        </w:numPr>
        <w:tabs>
          <w:tab w:val="left" w:leader="dot" w:pos="10065"/>
        </w:tabs>
        <w:jc w:val="both"/>
      </w:pPr>
      <w:r>
        <w:t>la structure de ses charges.</w:t>
      </w:r>
    </w:p>
    <w:p w:rsidR="00737B79" w:rsidRDefault="00737B79" w:rsidP="00737B79">
      <w:pPr>
        <w:pStyle w:val="Sansinterligne"/>
        <w:tabs>
          <w:tab w:val="left" w:leader="dot" w:pos="10065"/>
        </w:tabs>
        <w:ind w:left="720"/>
        <w:jc w:val="both"/>
      </w:pPr>
    </w:p>
    <w:p w:rsidR="00737B79" w:rsidRDefault="00737B79" w:rsidP="00737B79">
      <w:pPr>
        <w:pStyle w:val="Sansinterligne"/>
        <w:tabs>
          <w:tab w:val="left" w:leader="dot" w:pos="10065"/>
        </w:tabs>
        <w:jc w:val="both"/>
      </w:pPr>
      <w:r>
        <w:t xml:space="preserve">Elle peut alors établir un </w:t>
      </w:r>
      <w:r w:rsidRPr="001A7DF5">
        <w:rPr>
          <w:i/>
        </w:rPr>
        <w:t>compte de résultat différentiel</w:t>
      </w:r>
      <w:r>
        <w:t xml:space="preserve"> (compte de résultat par variabilité).</w:t>
      </w: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1A7DF5" w:rsidRDefault="001A7DF5"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1A7DF5" w:rsidRPr="00D836FA" w:rsidRDefault="001A7DF5" w:rsidP="001A7DF5">
      <w:pPr>
        <w:tabs>
          <w:tab w:val="left" w:leader="dot" w:pos="10065"/>
        </w:tabs>
        <w:spacing w:line="360" w:lineRule="auto"/>
        <w:jc w:val="both"/>
        <w:rPr>
          <w:rFonts w:asciiTheme="minorHAnsi" w:hAnsiTheme="minorHAnsi" w:cstheme="minorHAnsi"/>
          <w:b/>
          <w:sz w:val="22"/>
          <w:szCs w:val="22"/>
        </w:rPr>
      </w:pPr>
      <w:r>
        <w:rPr>
          <w:rFonts w:asciiTheme="minorHAnsi" w:hAnsiTheme="minorHAnsi" w:cstheme="minorHAnsi"/>
          <w:b/>
          <w:sz w:val="22"/>
          <w:szCs w:val="22"/>
        </w:rPr>
        <w:t>M</w:t>
      </w:r>
      <w:r w:rsidRPr="00D836FA">
        <w:rPr>
          <w:rFonts w:asciiTheme="minorHAnsi" w:hAnsiTheme="minorHAnsi" w:cstheme="minorHAnsi"/>
          <w:b/>
          <w:sz w:val="22"/>
          <w:szCs w:val="22"/>
        </w:rPr>
        <w:t xml:space="preserve">arge sur coût variable (M/CV) : </w:t>
      </w:r>
      <w:r w:rsidRPr="00D836FA">
        <w:rPr>
          <w:rFonts w:asciiTheme="minorHAnsi" w:hAnsiTheme="minorHAnsi" w:cstheme="minorHAnsi"/>
          <w:b/>
          <w:sz w:val="22"/>
          <w:szCs w:val="22"/>
        </w:rPr>
        <w:tab/>
      </w:r>
    </w:p>
    <w:p w:rsidR="001A7DF5" w:rsidRPr="00D836FA" w:rsidRDefault="001A7DF5" w:rsidP="001A7DF5">
      <w:pPr>
        <w:tabs>
          <w:tab w:val="left" w:leader="dot" w:pos="10065"/>
        </w:tabs>
        <w:spacing w:line="360" w:lineRule="auto"/>
        <w:jc w:val="both"/>
        <w:rPr>
          <w:rFonts w:asciiTheme="minorHAnsi" w:hAnsiTheme="minorHAnsi" w:cstheme="minorHAnsi"/>
          <w:sz w:val="22"/>
          <w:szCs w:val="22"/>
        </w:rPr>
      </w:pPr>
      <w:r w:rsidRPr="00D836FA">
        <w:rPr>
          <w:rFonts w:asciiTheme="minorHAnsi" w:hAnsiTheme="minorHAnsi" w:cstheme="minorHAnsi"/>
          <w:sz w:val="22"/>
          <w:szCs w:val="22"/>
        </w:rPr>
        <w:tab/>
      </w:r>
    </w:p>
    <w:p w:rsidR="001A7DF5" w:rsidRDefault="001A7DF5" w:rsidP="001A7DF5">
      <w:pPr>
        <w:tabs>
          <w:tab w:val="left" w:leader="dot" w:pos="9639"/>
        </w:tabs>
        <w:jc w:val="both"/>
        <w:rPr>
          <w:rFonts w:asciiTheme="minorHAnsi" w:hAnsiTheme="minorHAnsi" w:cstheme="minorHAnsi"/>
          <w:sz w:val="22"/>
          <w:szCs w:val="22"/>
        </w:rPr>
      </w:pPr>
    </w:p>
    <w:p w:rsidR="001A7DF5" w:rsidRDefault="001A7DF5" w:rsidP="001A7DF5">
      <w:pPr>
        <w:tabs>
          <w:tab w:val="left" w:leader="dot" w:pos="9639"/>
        </w:tabs>
        <w:jc w:val="both"/>
        <w:rPr>
          <w:rFonts w:asciiTheme="minorHAnsi" w:hAnsiTheme="minorHAnsi" w:cstheme="minorHAnsi"/>
          <w:sz w:val="22"/>
          <w:szCs w:val="22"/>
        </w:rPr>
      </w:pPr>
      <w:r>
        <w:rPr>
          <w:rFonts w:asciiTheme="minorHAnsi" w:hAnsiTheme="minorHAnsi" w:cstheme="minorHAnsi"/>
          <w:sz w:val="22"/>
          <w:szCs w:val="22"/>
        </w:rPr>
        <w:t>Elle sert à couvrir les charges fixes et le résultat. Comme les charges variables sont proportionnelles à l’activité, la marge sur coût variable l’est également.</w:t>
      </w:r>
    </w:p>
    <w:p w:rsidR="001A7DF5" w:rsidRPr="00D836FA" w:rsidRDefault="001A7DF5" w:rsidP="001A7DF5">
      <w:pPr>
        <w:tabs>
          <w:tab w:val="left" w:leader="dot" w:pos="9639"/>
        </w:tabs>
        <w:jc w:val="both"/>
        <w:rPr>
          <w:rFonts w:asciiTheme="minorHAnsi" w:hAnsiTheme="minorHAnsi" w:cstheme="minorHAnsi"/>
          <w:sz w:val="22"/>
          <w:szCs w:val="22"/>
        </w:rPr>
      </w:pPr>
      <w:r w:rsidRPr="00D836FA">
        <w:rPr>
          <w:rFonts w:asciiTheme="minorHAnsi" w:hAnsiTheme="minorHAnsi" w:cstheme="minorHAnsi"/>
          <w:sz w:val="22"/>
          <w:szCs w:val="22"/>
        </w:rPr>
        <w:t>Elle permet d’évaluer l’impact d’une variation des quantités produites ou vendues, ou des coûts, ou d’une modification du prix de vente… sur le résultat, les charges fixes étant exclues car elles ne varient pas quel que soit les quantités.</w:t>
      </w:r>
    </w:p>
    <w:p w:rsidR="001A7DF5" w:rsidRDefault="001A7DF5" w:rsidP="001A7DF5">
      <w:pPr>
        <w:tabs>
          <w:tab w:val="left" w:leader="dot" w:pos="9639"/>
        </w:tabs>
        <w:jc w:val="both"/>
        <w:rPr>
          <w:rFonts w:asciiTheme="minorHAnsi" w:hAnsiTheme="minorHAnsi" w:cstheme="minorHAnsi"/>
          <w:sz w:val="22"/>
          <w:szCs w:val="22"/>
        </w:rPr>
      </w:pPr>
    </w:p>
    <w:p w:rsidR="001A7DF5" w:rsidRDefault="001A7DF5" w:rsidP="001A7DF5">
      <w:pPr>
        <w:tabs>
          <w:tab w:val="left" w:leader="dot" w:pos="9639"/>
        </w:tabs>
        <w:jc w:val="both"/>
        <w:rPr>
          <w:rFonts w:asciiTheme="minorHAnsi" w:hAnsiTheme="minorHAnsi" w:cstheme="minorHAnsi"/>
          <w:sz w:val="22"/>
          <w:szCs w:val="22"/>
        </w:rPr>
      </w:pPr>
      <w:r>
        <w:rPr>
          <w:rFonts w:asciiTheme="minorHAnsi" w:hAnsiTheme="minorHAnsi" w:cstheme="minorHAnsi"/>
          <w:sz w:val="22"/>
          <w:szCs w:val="22"/>
        </w:rPr>
        <w:t>La proportionnalité est exprimée par le taux de marge sur coût variable.</w:t>
      </w:r>
    </w:p>
    <w:p w:rsidR="001A7DF5" w:rsidRDefault="001A7DF5" w:rsidP="001A7DF5">
      <w:pPr>
        <w:tabs>
          <w:tab w:val="left" w:leader="dot" w:pos="9639"/>
        </w:tabs>
        <w:jc w:val="both"/>
        <w:rPr>
          <w:rFonts w:asciiTheme="minorHAnsi" w:hAnsiTheme="minorHAnsi" w:cstheme="minorHAnsi"/>
          <w:sz w:val="22"/>
          <w:szCs w:val="22"/>
        </w:rPr>
      </w:pPr>
    </w:p>
    <w:p w:rsidR="001A7DF5" w:rsidRPr="00D836FA" w:rsidRDefault="001A7DF5" w:rsidP="001A7DF5">
      <w:pPr>
        <w:pBdr>
          <w:top w:val="single" w:sz="4" w:space="1" w:color="auto"/>
          <w:left w:val="single" w:sz="4" w:space="4" w:color="auto"/>
          <w:bottom w:val="single" w:sz="4" w:space="1" w:color="auto"/>
          <w:right w:val="single" w:sz="4" w:space="4" w:color="auto"/>
        </w:pBdr>
        <w:tabs>
          <w:tab w:val="left" w:leader="dot" w:pos="9639"/>
        </w:tabs>
        <w:jc w:val="both"/>
        <w:rPr>
          <w:rFonts w:asciiTheme="minorHAnsi" w:hAnsiTheme="minorHAnsi" w:cstheme="minorHAnsi"/>
          <w:sz w:val="22"/>
          <w:szCs w:val="22"/>
        </w:rPr>
      </w:pPr>
    </w:p>
    <w:p w:rsidR="001A7DF5" w:rsidRDefault="001A7DF5" w:rsidP="001A7DF5">
      <w:pPr>
        <w:pBdr>
          <w:top w:val="single" w:sz="4" w:space="1" w:color="auto"/>
          <w:left w:val="single" w:sz="4" w:space="4" w:color="auto"/>
          <w:bottom w:val="single" w:sz="4" w:space="1" w:color="auto"/>
          <w:right w:val="single" w:sz="4" w:space="4" w:color="auto"/>
        </w:pBdr>
        <w:tabs>
          <w:tab w:val="left" w:leader="dot" w:pos="10065"/>
        </w:tabs>
        <w:jc w:val="both"/>
        <w:rPr>
          <w:rFonts w:asciiTheme="minorHAnsi" w:hAnsiTheme="minorHAnsi" w:cstheme="minorHAnsi"/>
          <w:sz w:val="22"/>
          <w:szCs w:val="22"/>
        </w:rPr>
      </w:pPr>
      <w:r>
        <w:rPr>
          <w:rFonts w:asciiTheme="minorHAnsi" w:hAnsiTheme="minorHAnsi" w:cstheme="minorHAnsi"/>
          <w:b/>
          <w:sz w:val="22"/>
          <w:szCs w:val="22"/>
        </w:rPr>
        <w:t>Calcul du t</w:t>
      </w:r>
      <w:r w:rsidRPr="00D836FA">
        <w:rPr>
          <w:rFonts w:asciiTheme="minorHAnsi" w:hAnsiTheme="minorHAnsi" w:cstheme="minorHAnsi"/>
          <w:b/>
          <w:sz w:val="22"/>
          <w:szCs w:val="22"/>
        </w:rPr>
        <w:t>aux de marge sur coût variable</w:t>
      </w:r>
      <w:r w:rsidRPr="00D836FA">
        <w:rPr>
          <w:rFonts w:asciiTheme="minorHAnsi" w:hAnsiTheme="minorHAnsi" w:cstheme="minorHAnsi"/>
          <w:sz w:val="22"/>
          <w:szCs w:val="22"/>
        </w:rPr>
        <w:t xml:space="preserve"> = </w:t>
      </w:r>
      <w:r w:rsidRPr="00D836FA">
        <w:rPr>
          <w:rFonts w:asciiTheme="minorHAnsi" w:hAnsiTheme="minorHAnsi" w:cstheme="minorHAnsi"/>
          <w:sz w:val="22"/>
          <w:szCs w:val="22"/>
        </w:rPr>
        <w:tab/>
      </w:r>
    </w:p>
    <w:p w:rsidR="001A7DF5" w:rsidRDefault="001A7DF5" w:rsidP="001A7DF5">
      <w:pPr>
        <w:pBdr>
          <w:top w:val="single" w:sz="4" w:space="1" w:color="auto"/>
          <w:left w:val="single" w:sz="4" w:space="4" w:color="auto"/>
          <w:bottom w:val="single" w:sz="4" w:space="1" w:color="auto"/>
          <w:right w:val="single" w:sz="4" w:space="4" w:color="auto"/>
        </w:pBdr>
        <w:tabs>
          <w:tab w:val="left" w:leader="dot" w:pos="10065"/>
        </w:tabs>
        <w:jc w:val="both"/>
        <w:rPr>
          <w:rFonts w:asciiTheme="minorHAnsi" w:hAnsiTheme="minorHAnsi" w:cstheme="minorHAnsi"/>
          <w:sz w:val="22"/>
          <w:szCs w:val="22"/>
        </w:rPr>
      </w:pPr>
    </w:p>
    <w:p w:rsidR="001A7DF5" w:rsidRDefault="001A7DF5" w:rsidP="001A7DF5">
      <w:pPr>
        <w:tabs>
          <w:tab w:val="left" w:leader="dot" w:pos="10065"/>
        </w:tabs>
        <w:jc w:val="both"/>
        <w:rPr>
          <w:rFonts w:asciiTheme="minorHAnsi" w:hAnsiTheme="minorHAnsi" w:cstheme="minorHAnsi"/>
          <w:sz w:val="22"/>
          <w:szCs w:val="22"/>
        </w:rPr>
      </w:pPr>
    </w:p>
    <w:p w:rsidR="001A7DF5" w:rsidRPr="00D836FA" w:rsidRDefault="001A7DF5" w:rsidP="001A7DF5">
      <w:pPr>
        <w:tabs>
          <w:tab w:val="left" w:leader="dot" w:pos="10065"/>
        </w:tabs>
        <w:spacing w:line="360" w:lineRule="auto"/>
        <w:jc w:val="both"/>
        <w:rPr>
          <w:rFonts w:asciiTheme="minorHAnsi" w:hAnsiTheme="minorHAnsi" w:cstheme="minorHAnsi"/>
          <w:sz w:val="22"/>
          <w:szCs w:val="22"/>
        </w:rPr>
      </w:pPr>
      <w:r w:rsidRPr="00D836FA">
        <w:rPr>
          <w:rFonts w:asciiTheme="minorHAnsi" w:hAnsiTheme="minorHAnsi" w:cstheme="minorHAnsi"/>
          <w:sz w:val="22"/>
          <w:szCs w:val="22"/>
        </w:rPr>
        <w:t xml:space="preserve">Il correspond à </w:t>
      </w:r>
      <w:r w:rsidRPr="00D836FA">
        <w:rPr>
          <w:rFonts w:asciiTheme="minorHAnsi" w:hAnsiTheme="minorHAnsi" w:cstheme="minorHAnsi"/>
          <w:sz w:val="22"/>
          <w:szCs w:val="22"/>
        </w:rPr>
        <w:tab/>
      </w:r>
    </w:p>
    <w:p w:rsidR="001A7DF5" w:rsidRPr="00D836FA" w:rsidRDefault="001A7DF5" w:rsidP="001A7DF5">
      <w:pPr>
        <w:tabs>
          <w:tab w:val="left" w:leader="dot" w:pos="10065"/>
        </w:tabs>
        <w:spacing w:line="360" w:lineRule="auto"/>
        <w:jc w:val="both"/>
        <w:rPr>
          <w:rFonts w:asciiTheme="minorHAnsi" w:hAnsiTheme="minorHAnsi" w:cstheme="minorHAnsi"/>
          <w:sz w:val="22"/>
          <w:szCs w:val="22"/>
        </w:rPr>
      </w:pPr>
      <w:r w:rsidRPr="00D836FA">
        <w:rPr>
          <w:rFonts w:asciiTheme="minorHAnsi" w:hAnsiTheme="minorHAnsi" w:cstheme="minorHAnsi"/>
          <w:sz w:val="22"/>
          <w:szCs w:val="22"/>
        </w:rPr>
        <w:tab/>
      </w: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r>
        <w:t>Un compte de résultat différentiel permet également de mettre en évidence la conséquence de décisions sur le résultat.</w:t>
      </w:r>
    </w:p>
    <w:p w:rsidR="00737B79" w:rsidRDefault="00737B79" w:rsidP="00737B79">
      <w:pPr>
        <w:pStyle w:val="Sansinterligne"/>
        <w:tabs>
          <w:tab w:val="left" w:leader="dot" w:pos="10065"/>
        </w:tabs>
        <w:jc w:val="both"/>
      </w:pPr>
      <w:r>
        <w:t>Pour augmenter ce résultat, l’organisation peut chercher à :</w:t>
      </w:r>
    </w:p>
    <w:p w:rsidR="00737B79" w:rsidRDefault="00737B79" w:rsidP="00737B79">
      <w:pPr>
        <w:pStyle w:val="Sansinterligne"/>
        <w:numPr>
          <w:ilvl w:val="0"/>
          <w:numId w:val="1"/>
        </w:numPr>
        <w:tabs>
          <w:tab w:val="left" w:leader="dot" w:pos="10065"/>
        </w:tabs>
        <w:jc w:val="both"/>
      </w:pPr>
      <w:r>
        <w:t>augmenter son activité, c'est-à-dire son chiffre d’affaires et par conséquent ses charges variables, puisqu’elles sont proportionnelles au chiffre d’affaires ;</w:t>
      </w:r>
    </w:p>
    <w:p w:rsidR="00737B79" w:rsidRDefault="00737B79" w:rsidP="00737B79">
      <w:pPr>
        <w:pStyle w:val="Sansinterligne"/>
        <w:numPr>
          <w:ilvl w:val="0"/>
          <w:numId w:val="1"/>
        </w:numPr>
        <w:tabs>
          <w:tab w:val="left" w:leader="dot" w:pos="10065"/>
        </w:tabs>
        <w:jc w:val="both"/>
      </w:pPr>
      <w:r>
        <w:t>diminuer le volume de ses charges fixes ou la proportion de ses charges variables.</w:t>
      </w:r>
    </w:p>
    <w:p w:rsidR="00737B79" w:rsidRDefault="00737B79" w:rsidP="00737B79">
      <w:pPr>
        <w:pStyle w:val="Sansinterligne"/>
        <w:tabs>
          <w:tab w:val="left" w:leader="dot" w:pos="10065"/>
        </w:tabs>
        <w:jc w:val="both"/>
      </w:pPr>
    </w:p>
    <w:p w:rsidR="00737B79" w:rsidRDefault="00737B79" w:rsidP="00737B79">
      <w:pPr>
        <w:pStyle w:val="Sansinterligne"/>
        <w:tabs>
          <w:tab w:val="left" w:leader="dot" w:pos="10065"/>
        </w:tabs>
        <w:jc w:val="both"/>
      </w:pPr>
    </w:p>
    <w:p w:rsidR="00737B79" w:rsidRPr="00967D47" w:rsidRDefault="00EE5193" w:rsidP="00737B79">
      <w:pPr>
        <w:pStyle w:val="Sansinterligne"/>
        <w:tabs>
          <w:tab w:val="left" w:leader="dot" w:pos="10065"/>
        </w:tabs>
        <w:jc w:val="both"/>
        <w:rPr>
          <w:b/>
          <w:sz w:val="24"/>
        </w:rPr>
      </w:pPr>
      <w:r>
        <w:rPr>
          <w:b/>
          <w:sz w:val="24"/>
        </w:rPr>
        <w:t>IV</w:t>
      </w:r>
      <w:r w:rsidR="00967D47" w:rsidRPr="00967D47">
        <w:rPr>
          <w:b/>
          <w:sz w:val="24"/>
        </w:rPr>
        <w:t xml:space="preserve"> CALCUL </w:t>
      </w:r>
      <w:r w:rsidR="001F0713">
        <w:rPr>
          <w:b/>
          <w:sz w:val="24"/>
        </w:rPr>
        <w:t xml:space="preserve">ET ANALYSE </w:t>
      </w:r>
      <w:r w:rsidR="00967D47" w:rsidRPr="00967D47">
        <w:rPr>
          <w:b/>
          <w:sz w:val="24"/>
        </w:rPr>
        <w:t>DU SEUIL DE RENTABILITE</w:t>
      </w:r>
      <w:r w:rsidR="001A7DF5">
        <w:rPr>
          <w:b/>
          <w:sz w:val="24"/>
        </w:rPr>
        <w:t xml:space="preserve"> (chiffre d’affaires critique)</w:t>
      </w: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r>
        <w:t>Lorsque que l’organisation atteint son seuil de rentabilité, le chiffre d’affaires couvre tout juste l’ensemble des charges (variables et fixes). On en déduit les relations suivantes :</w:t>
      </w: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967D47" w:rsidRDefault="00967D47" w:rsidP="00737B79">
      <w:pPr>
        <w:pStyle w:val="Sansinterligne"/>
        <w:tabs>
          <w:tab w:val="left" w:leader="dot" w:pos="10065"/>
        </w:tabs>
        <w:jc w:val="both"/>
      </w:pPr>
    </w:p>
    <w:p w:rsidR="001F0713" w:rsidRDefault="001F0713" w:rsidP="001F0713">
      <w:pPr>
        <w:pStyle w:val="Sansinterligne"/>
        <w:pBdr>
          <w:top w:val="single" w:sz="4" w:space="1" w:color="auto"/>
          <w:left w:val="single" w:sz="4" w:space="4" w:color="auto"/>
          <w:bottom w:val="single" w:sz="4" w:space="1" w:color="auto"/>
          <w:right w:val="single" w:sz="4" w:space="4" w:color="auto"/>
        </w:pBdr>
        <w:tabs>
          <w:tab w:val="left" w:leader="dot" w:pos="10065"/>
        </w:tabs>
        <w:jc w:val="both"/>
      </w:pPr>
    </w:p>
    <w:p w:rsidR="00967D47" w:rsidRDefault="001F0713" w:rsidP="001F0713">
      <w:pPr>
        <w:pStyle w:val="Sansinterligne"/>
        <w:pBdr>
          <w:top w:val="single" w:sz="4" w:space="1" w:color="auto"/>
          <w:left w:val="single" w:sz="4" w:space="4" w:color="auto"/>
          <w:bottom w:val="single" w:sz="4" w:space="1" w:color="auto"/>
          <w:right w:val="single" w:sz="4" w:space="4" w:color="auto"/>
        </w:pBdr>
        <w:tabs>
          <w:tab w:val="left" w:leader="dot" w:pos="10065"/>
        </w:tabs>
        <w:jc w:val="both"/>
      </w:pPr>
      <w:r w:rsidRPr="009A4C14">
        <w:rPr>
          <w:b/>
        </w:rPr>
        <w:t>S</w:t>
      </w:r>
      <w:r w:rsidR="00967D47" w:rsidRPr="009A4C14">
        <w:rPr>
          <w:b/>
        </w:rPr>
        <w:t>euil de rentabilité (SR) en valeur</w:t>
      </w:r>
      <w:r w:rsidR="00967D47">
        <w:t xml:space="preserve"> = </w:t>
      </w:r>
      <w:r w:rsidR="00967D47">
        <w:tab/>
      </w:r>
    </w:p>
    <w:p w:rsidR="00967D47" w:rsidRDefault="00967D47" w:rsidP="001F0713">
      <w:pPr>
        <w:pStyle w:val="Sansinterligne"/>
        <w:pBdr>
          <w:top w:val="single" w:sz="4" w:space="1" w:color="auto"/>
          <w:left w:val="single" w:sz="4" w:space="4" w:color="auto"/>
          <w:bottom w:val="single" w:sz="4" w:space="1" w:color="auto"/>
          <w:right w:val="single" w:sz="4" w:space="4" w:color="auto"/>
        </w:pBdr>
        <w:tabs>
          <w:tab w:val="left" w:leader="dot" w:pos="10065"/>
        </w:tabs>
        <w:jc w:val="both"/>
      </w:pPr>
    </w:p>
    <w:p w:rsidR="00967D47" w:rsidRDefault="00967D47" w:rsidP="00737B79">
      <w:pPr>
        <w:pStyle w:val="Sansinterligne"/>
        <w:tabs>
          <w:tab w:val="left" w:leader="dot" w:pos="10065"/>
        </w:tabs>
        <w:jc w:val="both"/>
      </w:pPr>
    </w:p>
    <w:p w:rsidR="009A4C14" w:rsidRDefault="009A4C14" w:rsidP="009A4C14">
      <w:pPr>
        <w:pStyle w:val="Sansinterligne"/>
        <w:tabs>
          <w:tab w:val="left" w:leader="dot" w:pos="10065"/>
        </w:tabs>
        <w:jc w:val="both"/>
      </w:pPr>
      <w:r>
        <w:t>Si l’activité est plus faible que le SR, l’organisation réalise une ………………………, à l’inverse, si l’activité est plus élevée l’organisation réalise un ……………………………………….</w:t>
      </w:r>
    </w:p>
    <w:p w:rsidR="009A4C14" w:rsidRDefault="009A4C14" w:rsidP="00737B79">
      <w:pPr>
        <w:pStyle w:val="Sansinterligne"/>
        <w:tabs>
          <w:tab w:val="left" w:leader="dot" w:pos="10065"/>
        </w:tabs>
        <w:jc w:val="both"/>
      </w:pPr>
    </w:p>
    <w:p w:rsidR="009A4C14" w:rsidRDefault="009A4C14" w:rsidP="00737B79">
      <w:pPr>
        <w:pStyle w:val="Sansinterligne"/>
        <w:tabs>
          <w:tab w:val="left" w:leader="dot" w:pos="10065"/>
        </w:tabs>
        <w:jc w:val="both"/>
      </w:pPr>
    </w:p>
    <w:p w:rsidR="009A4C14" w:rsidRDefault="009A4C14" w:rsidP="009A4C14">
      <w:pPr>
        <w:tabs>
          <w:tab w:val="left" w:leader="dot" w:pos="10065"/>
        </w:tabs>
        <w:spacing w:line="360" w:lineRule="auto"/>
        <w:rPr>
          <w:rFonts w:asciiTheme="minorHAnsi" w:hAnsiTheme="minorHAnsi" w:cstheme="minorHAnsi"/>
          <w:i/>
          <w:sz w:val="22"/>
          <w:szCs w:val="22"/>
        </w:rPr>
      </w:pPr>
      <w:r w:rsidRPr="00CD1DA0">
        <w:rPr>
          <w:rFonts w:asciiTheme="minorHAnsi" w:hAnsiTheme="minorHAnsi" w:cstheme="minorHAnsi"/>
          <w:b/>
          <w:i/>
          <w:sz w:val="22"/>
          <w:szCs w:val="22"/>
        </w:rPr>
        <w:t xml:space="preserve">Calcul du SR en </w:t>
      </w:r>
      <w:r w:rsidRPr="009A5588">
        <w:rPr>
          <w:rFonts w:asciiTheme="minorHAnsi" w:hAnsiTheme="minorHAnsi" w:cstheme="minorHAnsi"/>
          <w:b/>
          <w:i/>
          <w:sz w:val="22"/>
          <w:szCs w:val="22"/>
        </w:rPr>
        <w:t>quantité (en volume)</w:t>
      </w:r>
      <w:r>
        <w:rPr>
          <w:rFonts w:asciiTheme="minorHAnsi" w:hAnsiTheme="minorHAnsi" w:cstheme="minorHAnsi"/>
          <w:i/>
          <w:sz w:val="22"/>
          <w:szCs w:val="22"/>
        </w:rPr>
        <w:t xml:space="preserve"> </w:t>
      </w:r>
      <w:r w:rsidRPr="00D836FA">
        <w:rPr>
          <w:rFonts w:asciiTheme="minorHAnsi" w:hAnsiTheme="minorHAnsi" w:cstheme="minorHAnsi"/>
          <w:i/>
          <w:sz w:val="22"/>
          <w:szCs w:val="22"/>
        </w:rPr>
        <w:t xml:space="preserve">: </w:t>
      </w:r>
      <w:r w:rsidRPr="00CD1DA0">
        <w:rPr>
          <w:rFonts w:asciiTheme="minorHAnsi" w:hAnsiTheme="minorHAnsi" w:cstheme="minorHAnsi"/>
          <w:sz w:val="22"/>
          <w:szCs w:val="22"/>
        </w:rPr>
        <w:t>on souhaite connaitre</w:t>
      </w:r>
      <w:r>
        <w:rPr>
          <w:rFonts w:asciiTheme="minorHAnsi" w:hAnsiTheme="minorHAnsi" w:cstheme="minorHAnsi"/>
          <w:i/>
          <w:sz w:val="22"/>
          <w:szCs w:val="22"/>
        </w:rPr>
        <w:t xml:space="preserve"> </w:t>
      </w:r>
      <w:r>
        <w:rPr>
          <w:rFonts w:asciiTheme="minorHAnsi" w:hAnsiTheme="minorHAnsi" w:cstheme="minorHAnsi"/>
          <w:i/>
          <w:sz w:val="22"/>
          <w:szCs w:val="22"/>
        </w:rPr>
        <w:tab/>
      </w:r>
    </w:p>
    <w:p w:rsidR="009A4C14" w:rsidRDefault="009A4C14" w:rsidP="009A4C14">
      <w:pPr>
        <w:tabs>
          <w:tab w:val="left" w:leader="dot" w:pos="10065"/>
        </w:tabs>
        <w:spacing w:line="360" w:lineRule="auto"/>
        <w:rPr>
          <w:rFonts w:asciiTheme="minorHAnsi" w:hAnsiTheme="minorHAnsi" w:cstheme="minorHAnsi"/>
          <w:i/>
          <w:sz w:val="22"/>
          <w:szCs w:val="22"/>
        </w:rPr>
      </w:pPr>
      <w:r>
        <w:rPr>
          <w:rFonts w:asciiTheme="minorHAnsi" w:hAnsiTheme="minorHAnsi" w:cstheme="minorHAnsi"/>
          <w:i/>
          <w:sz w:val="22"/>
          <w:szCs w:val="22"/>
        </w:rPr>
        <w:tab/>
      </w:r>
    </w:p>
    <w:p w:rsidR="009A4C14" w:rsidRPr="009A5588" w:rsidRDefault="009A4C14" w:rsidP="009A4C14">
      <w:pPr>
        <w:tabs>
          <w:tab w:val="left" w:leader="dot" w:pos="7371"/>
        </w:tabs>
        <w:rPr>
          <w:rFonts w:asciiTheme="minorHAnsi" w:hAnsiTheme="minorHAnsi" w:cstheme="minorHAnsi"/>
          <w:sz w:val="22"/>
          <w:szCs w:val="22"/>
        </w:rPr>
      </w:pPr>
      <w:r w:rsidRPr="009A5588">
        <w:rPr>
          <w:rFonts w:asciiTheme="minorHAnsi" w:hAnsiTheme="minorHAnsi" w:cstheme="minorHAnsi"/>
          <w:sz w:val="22"/>
          <w:szCs w:val="22"/>
        </w:rPr>
        <w:t xml:space="preserve">Au-delà de cette quantité, l’organisation devient </w:t>
      </w:r>
      <w:r w:rsidRPr="009A5588">
        <w:rPr>
          <w:rFonts w:asciiTheme="minorHAnsi" w:hAnsiTheme="minorHAnsi" w:cstheme="minorHAnsi"/>
          <w:sz w:val="22"/>
          <w:szCs w:val="22"/>
        </w:rPr>
        <w:tab/>
      </w:r>
    </w:p>
    <w:p w:rsidR="009A4C14" w:rsidRDefault="009A4C14" w:rsidP="009A4C14">
      <w:pPr>
        <w:tabs>
          <w:tab w:val="left" w:leader="dot" w:pos="9639"/>
        </w:tabs>
        <w:rPr>
          <w:rFonts w:asciiTheme="minorHAnsi" w:hAnsiTheme="minorHAnsi" w:cstheme="minorHAnsi"/>
          <w:i/>
          <w:sz w:val="22"/>
          <w:szCs w:val="22"/>
        </w:rPr>
      </w:pPr>
    </w:p>
    <w:p w:rsidR="009A4C14" w:rsidRDefault="009A4C14" w:rsidP="009A4C14">
      <w:pPr>
        <w:pStyle w:val="Sansinterligne"/>
        <w:pBdr>
          <w:top w:val="single" w:sz="4" w:space="1" w:color="auto"/>
          <w:left w:val="single" w:sz="4" w:space="4" w:color="auto"/>
          <w:bottom w:val="single" w:sz="4" w:space="1" w:color="auto"/>
          <w:right w:val="single" w:sz="4" w:space="4" w:color="auto"/>
        </w:pBdr>
        <w:tabs>
          <w:tab w:val="left" w:leader="dot" w:pos="10065"/>
        </w:tabs>
        <w:jc w:val="both"/>
      </w:pPr>
    </w:p>
    <w:p w:rsidR="009A4C14" w:rsidRDefault="009A4C14" w:rsidP="009A4C14">
      <w:pPr>
        <w:pStyle w:val="Sansinterligne"/>
        <w:pBdr>
          <w:top w:val="single" w:sz="4" w:space="1" w:color="auto"/>
          <w:left w:val="single" w:sz="4" w:space="4" w:color="auto"/>
          <w:bottom w:val="single" w:sz="4" w:space="1" w:color="auto"/>
          <w:right w:val="single" w:sz="4" w:space="4" w:color="auto"/>
        </w:pBdr>
        <w:tabs>
          <w:tab w:val="left" w:leader="dot" w:pos="10065"/>
        </w:tabs>
        <w:jc w:val="both"/>
      </w:pPr>
      <w:r w:rsidRPr="009A4C14">
        <w:rPr>
          <w:b/>
        </w:rPr>
        <w:t xml:space="preserve">Seuil de rentabilité </w:t>
      </w:r>
      <w:r>
        <w:rPr>
          <w:b/>
        </w:rPr>
        <w:t xml:space="preserve">(SR) </w:t>
      </w:r>
      <w:r w:rsidRPr="009A4C14">
        <w:rPr>
          <w:b/>
        </w:rPr>
        <w:t>en quantité</w:t>
      </w:r>
      <w:r>
        <w:t xml:space="preserve"> = </w:t>
      </w:r>
      <w:r>
        <w:tab/>
      </w:r>
    </w:p>
    <w:p w:rsidR="009A4C14" w:rsidRDefault="009A4C14" w:rsidP="009A4C14">
      <w:pPr>
        <w:pStyle w:val="Sansinterligne"/>
        <w:pBdr>
          <w:top w:val="single" w:sz="4" w:space="1" w:color="auto"/>
          <w:left w:val="single" w:sz="4" w:space="4" w:color="auto"/>
          <w:bottom w:val="single" w:sz="4" w:space="1" w:color="auto"/>
          <w:right w:val="single" w:sz="4" w:space="4" w:color="auto"/>
        </w:pBdr>
        <w:tabs>
          <w:tab w:val="left" w:leader="dot" w:pos="10065"/>
        </w:tabs>
        <w:jc w:val="both"/>
      </w:pPr>
    </w:p>
    <w:p w:rsidR="009A4C14" w:rsidRDefault="009A4C14" w:rsidP="009A4C14">
      <w:pPr>
        <w:pStyle w:val="Sansinterligne"/>
        <w:tabs>
          <w:tab w:val="left" w:leader="dot" w:pos="10065"/>
        </w:tabs>
        <w:jc w:val="both"/>
      </w:pPr>
    </w:p>
    <w:p w:rsidR="009A4C14" w:rsidRDefault="009A4C14" w:rsidP="009A4C14">
      <w:pPr>
        <w:tabs>
          <w:tab w:val="left" w:leader="dot" w:pos="9639"/>
        </w:tabs>
        <w:rPr>
          <w:rFonts w:asciiTheme="minorHAnsi" w:hAnsiTheme="minorHAnsi" w:cstheme="minorHAnsi"/>
          <w:sz w:val="22"/>
          <w:szCs w:val="22"/>
        </w:rPr>
      </w:pPr>
    </w:p>
    <w:p w:rsidR="009A4C14" w:rsidRDefault="009A4C14" w:rsidP="009A4C14">
      <w:pPr>
        <w:tabs>
          <w:tab w:val="left" w:leader="dot" w:pos="10206"/>
        </w:tabs>
        <w:spacing w:line="360" w:lineRule="auto"/>
        <w:rPr>
          <w:rFonts w:asciiTheme="minorHAnsi" w:hAnsiTheme="minorHAnsi" w:cstheme="minorHAnsi"/>
          <w:sz w:val="22"/>
          <w:szCs w:val="22"/>
        </w:rPr>
      </w:pPr>
      <w:r w:rsidRPr="00CD1DA0">
        <w:rPr>
          <w:rFonts w:asciiTheme="minorHAnsi" w:hAnsiTheme="minorHAnsi" w:cstheme="minorHAnsi"/>
          <w:b/>
          <w:i/>
          <w:sz w:val="22"/>
          <w:szCs w:val="22"/>
        </w:rPr>
        <w:t>Calcul du SR en durée</w:t>
      </w:r>
      <w:r w:rsidRPr="00CD1DA0">
        <w:rPr>
          <w:rFonts w:asciiTheme="minorHAnsi" w:hAnsiTheme="minorHAnsi" w:cstheme="minorHAnsi"/>
          <w:b/>
          <w:sz w:val="22"/>
          <w:szCs w:val="22"/>
        </w:rPr>
        <w:t> </w:t>
      </w:r>
      <w:r w:rsidRPr="009A5588">
        <w:rPr>
          <w:rFonts w:asciiTheme="minorHAnsi" w:hAnsiTheme="minorHAnsi" w:cstheme="minorHAnsi"/>
          <w:b/>
          <w:i/>
          <w:sz w:val="22"/>
          <w:szCs w:val="22"/>
        </w:rPr>
        <w:t>(en nombre de jours)</w:t>
      </w:r>
      <w:r>
        <w:rPr>
          <w:rFonts w:asciiTheme="minorHAnsi" w:hAnsiTheme="minorHAnsi" w:cstheme="minorHAnsi"/>
          <w:b/>
          <w:sz w:val="22"/>
          <w:szCs w:val="22"/>
        </w:rPr>
        <w:t xml:space="preserve"> </w:t>
      </w:r>
      <w:r>
        <w:rPr>
          <w:rFonts w:asciiTheme="minorHAnsi" w:hAnsiTheme="minorHAnsi" w:cstheme="minorHAnsi"/>
          <w:sz w:val="22"/>
          <w:szCs w:val="22"/>
        </w:rPr>
        <w:t xml:space="preserve">: on souhaite connaitre </w:t>
      </w:r>
      <w:r>
        <w:rPr>
          <w:rFonts w:asciiTheme="minorHAnsi" w:hAnsiTheme="minorHAnsi" w:cstheme="minorHAnsi"/>
          <w:sz w:val="22"/>
          <w:szCs w:val="22"/>
        </w:rPr>
        <w:tab/>
      </w:r>
    </w:p>
    <w:p w:rsidR="009A4C14" w:rsidRDefault="009A4C14" w:rsidP="009A4C14">
      <w:pPr>
        <w:tabs>
          <w:tab w:val="left" w:leader="dot" w:pos="10206"/>
        </w:tabs>
        <w:spacing w:line="360" w:lineRule="auto"/>
        <w:rPr>
          <w:rFonts w:asciiTheme="minorHAnsi" w:hAnsiTheme="minorHAnsi" w:cstheme="minorHAnsi"/>
          <w:sz w:val="22"/>
          <w:szCs w:val="22"/>
        </w:rPr>
      </w:pPr>
      <w:r>
        <w:rPr>
          <w:rFonts w:asciiTheme="minorHAnsi" w:hAnsiTheme="minorHAnsi" w:cstheme="minorHAnsi"/>
          <w:sz w:val="22"/>
          <w:szCs w:val="22"/>
        </w:rPr>
        <w:tab/>
      </w:r>
    </w:p>
    <w:p w:rsidR="009A4C14" w:rsidRDefault="009A4C14" w:rsidP="009A4C14">
      <w:pPr>
        <w:tabs>
          <w:tab w:val="left" w:leader="dot" w:pos="9639"/>
        </w:tabs>
        <w:rPr>
          <w:rFonts w:asciiTheme="minorHAnsi" w:hAnsiTheme="minorHAnsi" w:cstheme="minorHAnsi"/>
          <w:sz w:val="22"/>
          <w:szCs w:val="22"/>
        </w:rPr>
      </w:pPr>
    </w:p>
    <w:p w:rsidR="009A4C14" w:rsidRDefault="009A4C14" w:rsidP="009A4C14">
      <w:pPr>
        <w:tabs>
          <w:tab w:val="left" w:leader="dot" w:pos="9639"/>
        </w:tabs>
        <w:rPr>
          <w:rFonts w:asciiTheme="minorHAnsi" w:hAnsiTheme="minorHAnsi" w:cstheme="minorHAnsi"/>
          <w:sz w:val="22"/>
          <w:szCs w:val="22"/>
        </w:rPr>
      </w:pPr>
      <w:r>
        <w:rPr>
          <w:rFonts w:asciiTheme="minorHAnsi" w:hAnsiTheme="minorHAnsi" w:cstheme="minorHAnsi"/>
          <w:sz w:val="22"/>
          <w:szCs w:val="22"/>
        </w:rPr>
        <w:t>On part de l’hypothèse que les ventes sont uniformément réparties sur tous les mois travaillés de l’année (année de 360 ou 365 jours).</w:t>
      </w:r>
    </w:p>
    <w:p w:rsidR="009A4C14" w:rsidRDefault="009A4C14" w:rsidP="009A4C14">
      <w:pPr>
        <w:tabs>
          <w:tab w:val="left" w:leader="dot" w:pos="9639"/>
        </w:tabs>
        <w:rPr>
          <w:rFonts w:asciiTheme="minorHAnsi" w:hAnsiTheme="minorHAnsi" w:cstheme="minorHAnsi"/>
          <w:sz w:val="22"/>
          <w:szCs w:val="22"/>
        </w:rPr>
      </w:pPr>
    </w:p>
    <w:p w:rsidR="009A4C14" w:rsidRDefault="009A4C14" w:rsidP="009A4C14">
      <w:pPr>
        <w:pBdr>
          <w:top w:val="single" w:sz="4" w:space="1" w:color="auto"/>
          <w:left w:val="single" w:sz="4" w:space="4" w:color="auto"/>
          <w:bottom w:val="single" w:sz="4" w:space="1" w:color="auto"/>
          <w:right w:val="single" w:sz="4" w:space="4" w:color="auto"/>
        </w:pBdr>
        <w:tabs>
          <w:tab w:val="left" w:leader="dot" w:pos="9639"/>
        </w:tabs>
        <w:rPr>
          <w:rFonts w:asciiTheme="minorHAnsi" w:hAnsiTheme="minorHAnsi" w:cstheme="minorHAnsi"/>
          <w:sz w:val="22"/>
          <w:szCs w:val="22"/>
        </w:rPr>
      </w:pPr>
    </w:p>
    <w:p w:rsidR="009A4C14" w:rsidRDefault="009A4C14" w:rsidP="009A4C14">
      <w:pPr>
        <w:pBdr>
          <w:top w:val="single" w:sz="4" w:space="1" w:color="auto"/>
          <w:left w:val="single" w:sz="4" w:space="4" w:color="auto"/>
          <w:bottom w:val="single" w:sz="4" w:space="1" w:color="auto"/>
          <w:right w:val="single" w:sz="4" w:space="4" w:color="auto"/>
        </w:pBdr>
        <w:tabs>
          <w:tab w:val="left" w:leader="dot" w:pos="9639"/>
        </w:tabs>
        <w:rPr>
          <w:rFonts w:asciiTheme="minorHAnsi" w:hAnsiTheme="minorHAnsi" w:cstheme="minorHAnsi"/>
          <w:sz w:val="22"/>
          <w:szCs w:val="22"/>
        </w:rPr>
      </w:pPr>
    </w:p>
    <w:p w:rsidR="009A4C14" w:rsidRDefault="009A4C14" w:rsidP="009A4C14">
      <w:pPr>
        <w:pBdr>
          <w:top w:val="single" w:sz="4" w:space="1" w:color="auto"/>
          <w:left w:val="single" w:sz="4" w:space="4" w:color="auto"/>
          <w:bottom w:val="single" w:sz="4" w:space="1" w:color="auto"/>
          <w:right w:val="single" w:sz="4" w:space="4" w:color="auto"/>
        </w:pBdr>
        <w:tabs>
          <w:tab w:val="left" w:leader="dot" w:pos="9639"/>
        </w:tabs>
        <w:rPr>
          <w:rFonts w:asciiTheme="minorHAnsi" w:hAnsiTheme="minorHAnsi" w:cstheme="minorHAnsi"/>
          <w:sz w:val="22"/>
          <w:szCs w:val="22"/>
        </w:rPr>
      </w:pPr>
    </w:p>
    <w:p w:rsidR="009A4C14" w:rsidRPr="00D836FA" w:rsidRDefault="009A4C14" w:rsidP="009A4C14">
      <w:pPr>
        <w:pBdr>
          <w:top w:val="single" w:sz="4" w:space="1" w:color="auto"/>
          <w:left w:val="single" w:sz="4" w:space="4" w:color="auto"/>
          <w:bottom w:val="single" w:sz="4" w:space="1" w:color="auto"/>
          <w:right w:val="single" w:sz="4" w:space="4" w:color="auto"/>
        </w:pBdr>
        <w:tabs>
          <w:tab w:val="left" w:leader="dot" w:pos="9639"/>
        </w:tabs>
        <w:rPr>
          <w:rFonts w:asciiTheme="minorHAnsi" w:hAnsiTheme="minorHAnsi" w:cstheme="minorHAnsi"/>
          <w:sz w:val="22"/>
          <w:szCs w:val="22"/>
        </w:rPr>
      </w:pPr>
    </w:p>
    <w:p w:rsidR="009A4C14"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p>
    <w:p w:rsidR="007F559B" w:rsidRDefault="009A4C14" w:rsidP="009A4C14">
      <w:pPr>
        <w:tabs>
          <w:tab w:val="left" w:leader="dot" w:pos="9639"/>
        </w:tabs>
        <w:jc w:val="both"/>
        <w:rPr>
          <w:rFonts w:asciiTheme="minorHAnsi" w:hAnsiTheme="minorHAnsi" w:cstheme="minorHAnsi"/>
          <w:sz w:val="22"/>
          <w:szCs w:val="22"/>
        </w:rPr>
      </w:pPr>
      <w:r>
        <w:rPr>
          <w:rFonts w:asciiTheme="minorHAnsi" w:hAnsiTheme="minorHAnsi" w:cstheme="minorHAnsi"/>
          <w:b/>
          <w:i/>
          <w:sz w:val="22"/>
          <w:szCs w:val="22"/>
        </w:rPr>
        <w:t>Calcul du p</w:t>
      </w:r>
      <w:r w:rsidRPr="005F7EE7">
        <w:rPr>
          <w:rFonts w:asciiTheme="minorHAnsi" w:hAnsiTheme="minorHAnsi" w:cstheme="minorHAnsi"/>
          <w:b/>
          <w:i/>
          <w:sz w:val="22"/>
          <w:szCs w:val="22"/>
        </w:rPr>
        <w:t>oint mort</w:t>
      </w:r>
      <w:r w:rsidRPr="00D836FA">
        <w:rPr>
          <w:rFonts w:asciiTheme="minorHAnsi" w:hAnsiTheme="minorHAnsi" w:cstheme="minorHAnsi"/>
          <w:sz w:val="22"/>
          <w:szCs w:val="22"/>
        </w:rPr>
        <w:t> : date à laquelle le seuil de rentabilité est atteint</w:t>
      </w:r>
      <w:r>
        <w:rPr>
          <w:rFonts w:asciiTheme="minorHAnsi" w:hAnsiTheme="minorHAnsi" w:cstheme="minorHAnsi"/>
          <w:sz w:val="22"/>
          <w:szCs w:val="22"/>
        </w:rPr>
        <w:t xml:space="preserve">. </w:t>
      </w:r>
    </w:p>
    <w:p w:rsidR="009A4C14" w:rsidRPr="00D836FA" w:rsidRDefault="007F559B" w:rsidP="009A4C14">
      <w:pPr>
        <w:tabs>
          <w:tab w:val="left" w:leader="dot" w:pos="9639"/>
        </w:tabs>
        <w:jc w:val="both"/>
        <w:rPr>
          <w:rFonts w:asciiTheme="minorHAnsi" w:hAnsiTheme="minorHAnsi" w:cstheme="minorHAnsi"/>
          <w:sz w:val="22"/>
          <w:szCs w:val="22"/>
        </w:rPr>
      </w:pPr>
      <w:r>
        <w:rPr>
          <w:rFonts w:ascii="Calibri" w:hAnsi="Calibri" w:cs="Calibri"/>
          <w:sz w:val="22"/>
          <w:szCs w:val="22"/>
        </w:rPr>
        <w:t xml:space="preserve">Cela revient à convertir le SR en durée en une date précise. </w:t>
      </w:r>
      <w:r w:rsidR="009A4C14">
        <w:rPr>
          <w:rFonts w:asciiTheme="minorHAnsi" w:hAnsiTheme="minorHAnsi" w:cstheme="minorHAnsi"/>
          <w:sz w:val="22"/>
          <w:szCs w:val="22"/>
        </w:rPr>
        <w:t>A partir de cette date l’organisation réalise des bénéfices.</w:t>
      </w:r>
    </w:p>
    <w:p w:rsidR="007F559B" w:rsidRDefault="007F559B" w:rsidP="007F559B">
      <w:pPr>
        <w:tabs>
          <w:tab w:val="left" w:leader="dot" w:pos="9639"/>
        </w:tabs>
        <w:rPr>
          <w:rFonts w:ascii="Calibri" w:hAnsi="Calibri" w:cs="Calibri"/>
          <w:sz w:val="22"/>
          <w:szCs w:val="22"/>
        </w:rPr>
      </w:pPr>
    </w:p>
    <w:p w:rsidR="007F559B" w:rsidRDefault="007F559B" w:rsidP="007F559B">
      <w:pPr>
        <w:tabs>
          <w:tab w:val="left" w:leader="dot" w:pos="9639"/>
        </w:tabs>
        <w:rPr>
          <w:rFonts w:ascii="Calibri" w:hAnsi="Calibri" w:cs="Calibri"/>
          <w:sz w:val="22"/>
          <w:szCs w:val="22"/>
        </w:rPr>
      </w:pPr>
      <w:r w:rsidRPr="000F1282">
        <w:rPr>
          <w:rFonts w:ascii="Calibri" w:hAnsi="Calibri" w:cs="Calibri"/>
          <w:sz w:val="22"/>
          <w:szCs w:val="22"/>
          <w:u w:val="single"/>
        </w:rPr>
        <w:t>Ex :</w:t>
      </w:r>
      <w:r>
        <w:rPr>
          <w:rFonts w:ascii="Calibri" w:hAnsi="Calibri" w:cs="Calibri"/>
          <w:sz w:val="22"/>
          <w:szCs w:val="22"/>
        </w:rPr>
        <w:t xml:space="preserve"> SR en durée : 158 jours</w:t>
      </w:r>
    </w:p>
    <w:p w:rsidR="007F559B" w:rsidRDefault="007F559B" w:rsidP="007F559B">
      <w:pPr>
        <w:tabs>
          <w:tab w:val="left" w:leader="dot" w:pos="9639"/>
        </w:tabs>
        <w:rPr>
          <w:rFonts w:ascii="Calibri" w:hAnsi="Calibri" w:cs="Calibri"/>
          <w:sz w:val="22"/>
          <w:szCs w:val="22"/>
        </w:rPr>
      </w:pPr>
    </w:p>
    <w:p w:rsidR="007F559B" w:rsidRDefault="007F559B" w:rsidP="007F559B">
      <w:pPr>
        <w:tabs>
          <w:tab w:val="left" w:leader="dot" w:pos="9639"/>
        </w:tabs>
        <w:rPr>
          <w:rFonts w:ascii="Calibri" w:hAnsi="Calibri" w:cs="Calibri"/>
          <w:sz w:val="22"/>
          <w:szCs w:val="22"/>
        </w:rPr>
      </w:pPr>
    </w:p>
    <w:p w:rsidR="009A4C14"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r w:rsidRPr="00D836FA">
        <w:rPr>
          <w:rFonts w:asciiTheme="minorHAnsi" w:hAnsiTheme="minorHAnsi" w:cstheme="minorHAnsi"/>
          <w:sz w:val="22"/>
          <w:szCs w:val="22"/>
        </w:rPr>
        <w:t xml:space="preserve">Plus le SR est élevé, </w:t>
      </w:r>
      <w:r w:rsidRPr="00D836FA">
        <w:rPr>
          <w:rFonts w:asciiTheme="minorHAnsi" w:hAnsiTheme="minorHAnsi" w:cstheme="minorHAnsi"/>
          <w:sz w:val="22"/>
          <w:szCs w:val="22"/>
        </w:rPr>
        <w:tab/>
      </w:r>
    </w:p>
    <w:p w:rsidR="009A4C14" w:rsidRDefault="009A4C14" w:rsidP="009A4C14">
      <w:pPr>
        <w:tabs>
          <w:tab w:val="left" w:leader="dot" w:pos="9639"/>
        </w:tabs>
        <w:rPr>
          <w:rFonts w:asciiTheme="minorHAnsi" w:hAnsiTheme="minorHAnsi" w:cstheme="minorHAnsi"/>
          <w:i/>
          <w:sz w:val="22"/>
          <w:szCs w:val="22"/>
        </w:rPr>
      </w:pPr>
    </w:p>
    <w:p w:rsidR="009A4C14" w:rsidRDefault="009A4C14" w:rsidP="009A4C14">
      <w:pPr>
        <w:tabs>
          <w:tab w:val="left" w:leader="dot" w:pos="9639"/>
        </w:tabs>
        <w:rPr>
          <w:rFonts w:asciiTheme="minorHAnsi" w:hAnsiTheme="minorHAnsi" w:cstheme="minorHAnsi"/>
          <w:i/>
          <w:sz w:val="22"/>
          <w:szCs w:val="22"/>
        </w:rPr>
      </w:pPr>
    </w:p>
    <w:p w:rsidR="009A4C14" w:rsidRPr="00CA6184" w:rsidRDefault="009A4C14" w:rsidP="009A4C14">
      <w:pPr>
        <w:tabs>
          <w:tab w:val="left" w:leader="dot" w:pos="9639"/>
        </w:tabs>
        <w:rPr>
          <w:rFonts w:asciiTheme="minorHAnsi" w:hAnsiTheme="minorHAnsi" w:cstheme="minorHAnsi"/>
          <w:b/>
          <w:i/>
          <w:sz w:val="22"/>
          <w:szCs w:val="22"/>
        </w:rPr>
      </w:pPr>
      <w:r w:rsidRPr="00CA6184">
        <w:rPr>
          <w:rFonts w:asciiTheme="minorHAnsi" w:hAnsiTheme="minorHAnsi" w:cstheme="minorHAnsi"/>
          <w:b/>
          <w:i/>
          <w:sz w:val="22"/>
          <w:szCs w:val="22"/>
        </w:rPr>
        <w:t>Représentation graphique du SR :</w:t>
      </w:r>
    </w:p>
    <w:p w:rsidR="009A4C14" w:rsidRDefault="009A4C14" w:rsidP="009A4C14">
      <w:pPr>
        <w:tabs>
          <w:tab w:val="left" w:leader="dot" w:pos="9639"/>
        </w:tabs>
        <w:rPr>
          <w:rFonts w:asciiTheme="minorHAnsi" w:hAnsiTheme="minorHAnsi" w:cstheme="minorHAnsi"/>
          <w:sz w:val="22"/>
          <w:szCs w:val="22"/>
        </w:rPr>
      </w:pPr>
    </w:p>
    <w:p w:rsidR="009A4C14" w:rsidRDefault="009A4C14" w:rsidP="009A4C14">
      <w:pPr>
        <w:tabs>
          <w:tab w:val="left" w:leader="dot" w:pos="9639"/>
        </w:tabs>
        <w:rPr>
          <w:rFonts w:asciiTheme="minorHAnsi" w:hAnsiTheme="minorHAnsi" w:cstheme="minorHAnsi"/>
          <w:sz w:val="22"/>
          <w:szCs w:val="22"/>
        </w:rPr>
      </w:pPr>
      <w:r>
        <w:rPr>
          <w:rFonts w:asciiTheme="minorHAnsi" w:hAnsiTheme="minorHAnsi" w:cstheme="minorHAnsi"/>
          <w:sz w:val="22"/>
          <w:szCs w:val="22"/>
        </w:rPr>
        <w:t>Elle met en évidence le chiffre d’affaires pour lequel la marge sur coût variable est égale aux charges fixes.</w:t>
      </w:r>
    </w:p>
    <w:p w:rsidR="009A4C14" w:rsidRDefault="009A4C14" w:rsidP="009A4C14">
      <w:pPr>
        <w:tabs>
          <w:tab w:val="left" w:leader="dot" w:pos="9639"/>
        </w:tabs>
        <w:rPr>
          <w:rFonts w:asciiTheme="minorHAnsi" w:hAnsiTheme="minorHAnsi" w:cstheme="minorHAnsi"/>
          <w:sz w:val="22"/>
          <w:szCs w:val="22"/>
        </w:rPr>
      </w:pPr>
      <w:r>
        <w:rPr>
          <w:rFonts w:asciiTheme="minorHAnsi" w:hAnsiTheme="minorHAnsi" w:cstheme="minorHAnsi"/>
          <w:sz w:val="22"/>
          <w:szCs w:val="22"/>
        </w:rPr>
        <w:t>Il faut donc représenter sur le graphique la droite de la marge sur coût variable et la droite des charges fixes.</w:t>
      </w:r>
    </w:p>
    <w:p w:rsidR="009A4C14" w:rsidRPr="00D836FA"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r w:rsidRPr="00D836FA">
        <w:rPr>
          <w:rFonts w:asciiTheme="minorHAnsi" w:hAnsiTheme="minorHAnsi" w:cstheme="minorHAnsi"/>
          <w:sz w:val="22"/>
          <w:szCs w:val="22"/>
        </w:rPr>
        <w:t xml:space="preserve">Quelle droite représente les charges fixes ? </w:t>
      </w:r>
      <w:proofErr w:type="gramStart"/>
      <w:r w:rsidRPr="00D836FA">
        <w:rPr>
          <w:rFonts w:asciiTheme="minorHAnsi" w:hAnsiTheme="minorHAnsi" w:cstheme="minorHAnsi"/>
          <w:sz w:val="22"/>
          <w:szCs w:val="22"/>
        </w:rPr>
        <w:t>la</w:t>
      </w:r>
      <w:proofErr w:type="gramEnd"/>
      <w:r w:rsidRPr="00D836FA">
        <w:rPr>
          <w:rFonts w:asciiTheme="minorHAnsi" w:hAnsiTheme="minorHAnsi" w:cstheme="minorHAnsi"/>
          <w:sz w:val="22"/>
          <w:szCs w:val="22"/>
        </w:rPr>
        <w:t xml:space="preserve"> marge sur coût variable ?</w:t>
      </w:r>
    </w:p>
    <w:p w:rsidR="009A4C14" w:rsidRPr="00D836FA" w:rsidRDefault="009A4C14" w:rsidP="009A4C14">
      <w:pPr>
        <w:tabs>
          <w:tab w:val="left" w:leader="dot" w:pos="9639"/>
        </w:tabs>
        <w:rPr>
          <w:rFonts w:asciiTheme="minorHAnsi" w:hAnsiTheme="minorHAnsi" w:cstheme="minorHAnsi"/>
          <w:sz w:val="22"/>
          <w:szCs w:val="22"/>
        </w:rPr>
      </w:pPr>
      <w:r w:rsidRPr="00D836FA">
        <w:rPr>
          <w:rFonts w:asciiTheme="minorHAnsi" w:hAnsiTheme="minorHAnsi" w:cstheme="minorHAnsi"/>
          <w:sz w:val="22"/>
          <w:szCs w:val="22"/>
        </w:rPr>
        <w:t>Repérer la zone de perte et la zone de bénéfice.</w:t>
      </w:r>
      <w:r w:rsidR="007F559B">
        <w:rPr>
          <w:rFonts w:asciiTheme="minorHAnsi" w:hAnsiTheme="minorHAnsi" w:cstheme="minorHAnsi"/>
          <w:sz w:val="22"/>
          <w:szCs w:val="22"/>
        </w:rPr>
        <w:t xml:space="preserve"> </w:t>
      </w:r>
      <w:r w:rsidRPr="00D836FA">
        <w:rPr>
          <w:rFonts w:asciiTheme="minorHAnsi" w:hAnsiTheme="minorHAnsi" w:cstheme="minorHAnsi"/>
          <w:sz w:val="22"/>
          <w:szCs w:val="22"/>
        </w:rPr>
        <w:t>Indiquer sur le graphique le SR</w:t>
      </w:r>
    </w:p>
    <w:p w:rsidR="009A4C14" w:rsidRPr="00D836FA" w:rsidRDefault="009A4C14" w:rsidP="009A4C14">
      <w:pPr>
        <w:tabs>
          <w:tab w:val="left" w:leader="dot" w:pos="9639"/>
        </w:tabs>
        <w:rPr>
          <w:rFonts w:asciiTheme="minorHAnsi" w:hAnsiTheme="minorHAnsi" w:cstheme="minorHAnsi"/>
          <w:sz w:val="22"/>
          <w:szCs w:val="22"/>
        </w:rPr>
      </w:pPr>
      <w:r>
        <w:rPr>
          <w:rFonts w:asciiTheme="minorHAnsi" w:hAnsiTheme="minorHAnsi" w:cstheme="minorHAnsi"/>
          <w:noProof/>
          <w:sz w:val="22"/>
          <w:szCs w:val="22"/>
        </w:rPr>
        <w:pict>
          <v:line id="_x0000_s1031" style="position:absolute;flip:y;z-index:251658240" from="99pt,9.6pt" to="5in,99.6pt"/>
        </w:pict>
      </w:r>
    </w:p>
    <w:p w:rsidR="009A4C14" w:rsidRPr="00D836FA" w:rsidRDefault="009A4C14" w:rsidP="009A4C14">
      <w:pPr>
        <w:tabs>
          <w:tab w:val="left" w:leader="dot" w:pos="9639"/>
        </w:tabs>
        <w:rPr>
          <w:rFonts w:asciiTheme="minorHAnsi" w:hAnsiTheme="minorHAnsi" w:cstheme="minorHAnsi"/>
          <w:sz w:val="22"/>
          <w:szCs w:val="22"/>
        </w:rPr>
      </w:pPr>
      <w:r>
        <w:rPr>
          <w:rFonts w:asciiTheme="minorHAnsi" w:hAnsiTheme="minorHAnsi" w:cstheme="minorHAnsi"/>
          <w:noProof/>
          <w:sz w:val="22"/>
          <w:szCs w:val="22"/>
        </w:rPr>
        <w:pict>
          <v:line id="_x0000_s1026" style="position:absolute;z-index:251658240" from="99pt,.6pt" to="99pt,86.2pt"/>
        </w:pict>
      </w:r>
      <w:r>
        <w:rPr>
          <w:rFonts w:asciiTheme="minorHAnsi" w:hAnsiTheme="minorHAnsi" w:cstheme="minorHAnsi"/>
          <w:noProof/>
          <w:sz w:val="22"/>
          <w:szCs w:val="22"/>
        </w:rPr>
        <w:pict>
          <v:shapetype id="_x0000_t202" coordsize="21600,21600" o:spt="202" path="m,l,21600r21600,l21600,xe">
            <v:stroke joinstyle="miter"/>
            <v:path gradientshapeok="t" o:connecttype="rect"/>
          </v:shapetype>
          <v:shape id="_x0000_s1029" type="#_x0000_t202" style="position:absolute;margin-left:36pt;margin-top:9.6pt;width:54pt;height:27pt;z-index:251658240" strokecolor="white">
            <v:textbox style="mso-next-textbox:#_x0000_s1029">
              <w:txbxContent>
                <w:p w:rsidR="009A4C14" w:rsidRPr="004F2DF4" w:rsidRDefault="009A4C14" w:rsidP="009A4C14">
                  <w:pPr>
                    <w:rPr>
                      <w:sz w:val="20"/>
                      <w:szCs w:val="20"/>
                    </w:rPr>
                  </w:pPr>
                  <w:r w:rsidRPr="004F2DF4">
                    <w:rPr>
                      <w:sz w:val="20"/>
                      <w:szCs w:val="20"/>
                    </w:rPr>
                    <w:t>Charges</w:t>
                  </w:r>
                </w:p>
              </w:txbxContent>
            </v:textbox>
          </v:shape>
        </w:pict>
      </w:r>
    </w:p>
    <w:p w:rsidR="009A4C14" w:rsidRPr="00D836FA"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r>
        <w:rPr>
          <w:rFonts w:asciiTheme="minorHAnsi" w:hAnsiTheme="minorHAnsi" w:cstheme="minorHAnsi"/>
          <w:noProof/>
          <w:sz w:val="22"/>
          <w:szCs w:val="22"/>
        </w:rPr>
        <w:pict>
          <v:line id="_x0000_s1030" style="position:absolute;z-index:251658240" from="99pt,.35pt" to="369pt,.35pt"/>
        </w:pict>
      </w:r>
    </w:p>
    <w:p w:rsidR="009A4C14" w:rsidRPr="00D836FA" w:rsidRDefault="009A4C14" w:rsidP="009A4C14">
      <w:pPr>
        <w:tabs>
          <w:tab w:val="left" w:leader="dot" w:pos="9639"/>
        </w:tabs>
        <w:rPr>
          <w:rFonts w:asciiTheme="minorHAnsi" w:hAnsiTheme="minorHAnsi" w:cstheme="minorHAnsi"/>
          <w:sz w:val="22"/>
          <w:szCs w:val="22"/>
        </w:rPr>
      </w:pPr>
    </w:p>
    <w:p w:rsidR="009A4C14" w:rsidRPr="00D836FA" w:rsidRDefault="009A4C14" w:rsidP="009A4C14">
      <w:pPr>
        <w:tabs>
          <w:tab w:val="left" w:leader="dot" w:pos="9639"/>
        </w:tabs>
        <w:rPr>
          <w:rFonts w:asciiTheme="minorHAnsi" w:hAnsiTheme="minorHAnsi" w:cstheme="minorHAnsi"/>
          <w:sz w:val="22"/>
          <w:szCs w:val="22"/>
        </w:rPr>
      </w:pPr>
      <w:r>
        <w:rPr>
          <w:rFonts w:asciiTheme="minorHAnsi" w:hAnsiTheme="minorHAnsi" w:cstheme="minorHAnsi"/>
          <w:noProof/>
          <w:sz w:val="22"/>
          <w:szCs w:val="22"/>
        </w:rPr>
        <w:pict>
          <v:shape id="_x0000_s1028" type="#_x0000_t202" style="position:absolute;margin-left:3in;margin-top:9.4pt;width:90pt;height:18pt;z-index:251658240" strokecolor="white">
            <v:textbox style="mso-next-textbox:#_x0000_s1028">
              <w:txbxContent>
                <w:p w:rsidR="009A4C14" w:rsidRPr="004F2DF4" w:rsidRDefault="009A4C14" w:rsidP="009A4C14">
                  <w:pPr>
                    <w:rPr>
                      <w:sz w:val="20"/>
                      <w:szCs w:val="20"/>
                    </w:rPr>
                  </w:pPr>
                  <w:r w:rsidRPr="004F2DF4">
                    <w:rPr>
                      <w:sz w:val="20"/>
                      <w:szCs w:val="20"/>
                    </w:rPr>
                    <w:t>Chiffre d’affaires</w:t>
                  </w:r>
                </w:p>
              </w:txbxContent>
            </v:textbox>
          </v:shape>
        </w:pict>
      </w:r>
      <w:r>
        <w:rPr>
          <w:rFonts w:asciiTheme="minorHAnsi" w:hAnsiTheme="minorHAnsi" w:cstheme="minorHAnsi"/>
          <w:noProof/>
          <w:sz w:val="22"/>
          <w:szCs w:val="22"/>
        </w:rPr>
        <w:pict>
          <v:line id="_x0000_s1027" style="position:absolute;z-index:251658240" from="99pt,5.6pt" to="369pt,5.6pt"/>
        </w:pict>
      </w:r>
    </w:p>
    <w:p w:rsidR="007F559B" w:rsidRDefault="007F559B" w:rsidP="007F559B">
      <w:pPr>
        <w:tabs>
          <w:tab w:val="left" w:leader="dot" w:pos="9639"/>
        </w:tabs>
        <w:jc w:val="both"/>
        <w:rPr>
          <w:rFonts w:ascii="Calibri" w:hAnsi="Calibri" w:cs="Calibri"/>
          <w:sz w:val="22"/>
          <w:szCs w:val="22"/>
        </w:rPr>
      </w:pPr>
      <w:r>
        <w:rPr>
          <w:rFonts w:ascii="Calibri" w:hAnsi="Calibri" w:cs="Calibri"/>
          <w:sz w:val="22"/>
          <w:szCs w:val="22"/>
        </w:rPr>
        <w:lastRenderedPageBreak/>
        <w:t>Le seuil de rentabilité est une indication de la limite en dessous de laquelle il ne faudrait pas que les ventes se situent. On peut souhaiter mesurer le risque qu’une telle éventualité se produise.</w:t>
      </w:r>
    </w:p>
    <w:p w:rsidR="007F559B" w:rsidRDefault="007F559B" w:rsidP="007F559B">
      <w:pPr>
        <w:tabs>
          <w:tab w:val="left" w:leader="dot" w:pos="9639"/>
        </w:tabs>
        <w:jc w:val="both"/>
        <w:rPr>
          <w:rFonts w:ascii="Calibri" w:hAnsi="Calibri" w:cs="Calibri"/>
          <w:sz w:val="22"/>
          <w:szCs w:val="22"/>
        </w:rPr>
      </w:pPr>
    </w:p>
    <w:p w:rsidR="007F559B" w:rsidRDefault="007F559B" w:rsidP="007F559B">
      <w:pPr>
        <w:tabs>
          <w:tab w:val="left" w:leader="dot" w:pos="9639"/>
        </w:tabs>
        <w:jc w:val="both"/>
        <w:rPr>
          <w:rFonts w:ascii="Calibri" w:hAnsi="Calibri" w:cs="Calibri"/>
          <w:sz w:val="22"/>
          <w:szCs w:val="22"/>
        </w:rPr>
      </w:pPr>
      <w:r>
        <w:rPr>
          <w:rFonts w:ascii="Calibri" w:hAnsi="Calibri" w:cs="Calibri"/>
          <w:sz w:val="22"/>
          <w:szCs w:val="22"/>
        </w:rPr>
        <w:t>De nombreuses méthodes existent pour mesurer ce risque. Elles sont basées sur une comparaison entre le niveau réel des ventes et le seuil de rentabilité.</w:t>
      </w:r>
    </w:p>
    <w:p w:rsidR="007F559B" w:rsidRDefault="007F559B" w:rsidP="007F559B">
      <w:pPr>
        <w:tabs>
          <w:tab w:val="left" w:leader="dot" w:pos="9639"/>
        </w:tabs>
        <w:rPr>
          <w:rFonts w:ascii="Calibri" w:hAnsi="Calibri" w:cs="Calibri"/>
          <w:sz w:val="22"/>
          <w:szCs w:val="22"/>
        </w:rPr>
      </w:pPr>
    </w:p>
    <w:p w:rsidR="007F559B" w:rsidRDefault="007F559B" w:rsidP="007F559B">
      <w:pPr>
        <w:pBdr>
          <w:top w:val="single" w:sz="4" w:space="1" w:color="auto"/>
          <w:left w:val="single" w:sz="4" w:space="4" w:color="auto"/>
          <w:bottom w:val="single" w:sz="4" w:space="1" w:color="auto"/>
          <w:right w:val="single" w:sz="4" w:space="4" w:color="auto"/>
        </w:pBdr>
        <w:tabs>
          <w:tab w:val="left" w:leader="dot" w:pos="9639"/>
        </w:tabs>
        <w:rPr>
          <w:rFonts w:ascii="Calibri" w:hAnsi="Calibri" w:cs="Calibri"/>
          <w:b/>
          <w:sz w:val="22"/>
          <w:szCs w:val="22"/>
        </w:rPr>
      </w:pPr>
    </w:p>
    <w:p w:rsidR="007F559B" w:rsidRPr="008145E2" w:rsidRDefault="007F559B" w:rsidP="007F559B">
      <w:pPr>
        <w:pBdr>
          <w:top w:val="single" w:sz="4" w:space="1" w:color="auto"/>
          <w:left w:val="single" w:sz="4" w:space="4" w:color="auto"/>
          <w:bottom w:val="single" w:sz="4" w:space="1" w:color="auto"/>
          <w:right w:val="single" w:sz="4" w:space="4" w:color="auto"/>
        </w:pBdr>
        <w:tabs>
          <w:tab w:val="left" w:leader="dot" w:pos="10065"/>
        </w:tabs>
        <w:rPr>
          <w:rFonts w:ascii="Calibri" w:hAnsi="Calibri" w:cs="Calibri"/>
          <w:sz w:val="22"/>
          <w:szCs w:val="22"/>
        </w:rPr>
      </w:pPr>
      <w:r w:rsidRPr="008145E2">
        <w:rPr>
          <w:rFonts w:ascii="Calibri" w:hAnsi="Calibri" w:cs="Calibri"/>
          <w:b/>
          <w:sz w:val="22"/>
          <w:szCs w:val="22"/>
        </w:rPr>
        <w:t>Calcul de la marge de sécurité</w:t>
      </w:r>
      <w:r w:rsidRPr="008145E2">
        <w:rPr>
          <w:rFonts w:ascii="Calibri" w:hAnsi="Calibri" w:cs="Calibri"/>
          <w:sz w:val="22"/>
          <w:szCs w:val="22"/>
        </w:rPr>
        <w:t xml:space="preserve"> : </w:t>
      </w:r>
      <w:r w:rsidRPr="008145E2">
        <w:rPr>
          <w:rFonts w:ascii="Calibri" w:hAnsi="Calibri" w:cs="Calibri"/>
          <w:sz w:val="22"/>
          <w:szCs w:val="22"/>
        </w:rPr>
        <w:tab/>
      </w:r>
    </w:p>
    <w:p w:rsidR="007F559B" w:rsidRDefault="007F559B" w:rsidP="007F559B">
      <w:pPr>
        <w:pBdr>
          <w:top w:val="single" w:sz="4" w:space="1" w:color="auto"/>
          <w:left w:val="single" w:sz="4" w:space="4" w:color="auto"/>
          <w:bottom w:val="single" w:sz="4" w:space="1" w:color="auto"/>
          <w:right w:val="single" w:sz="4" w:space="4" w:color="auto"/>
        </w:pBdr>
        <w:tabs>
          <w:tab w:val="left" w:leader="dot" w:pos="9639"/>
        </w:tabs>
        <w:rPr>
          <w:rFonts w:ascii="Calibri" w:hAnsi="Calibri" w:cs="Calibri"/>
          <w:sz w:val="22"/>
          <w:szCs w:val="22"/>
        </w:rPr>
      </w:pPr>
    </w:p>
    <w:p w:rsidR="007F559B" w:rsidRPr="008145E2" w:rsidRDefault="007F559B" w:rsidP="007F559B">
      <w:pPr>
        <w:tabs>
          <w:tab w:val="left" w:leader="dot" w:pos="9639"/>
        </w:tabs>
        <w:rPr>
          <w:rFonts w:ascii="Calibri" w:hAnsi="Calibri" w:cs="Calibri"/>
          <w:sz w:val="22"/>
          <w:szCs w:val="22"/>
        </w:rPr>
      </w:pPr>
    </w:p>
    <w:p w:rsidR="007F559B" w:rsidRDefault="007F559B" w:rsidP="007F559B">
      <w:pPr>
        <w:tabs>
          <w:tab w:val="left" w:leader="dot" w:pos="9639"/>
        </w:tabs>
        <w:rPr>
          <w:rFonts w:ascii="Calibri" w:hAnsi="Calibri" w:cs="Calibri"/>
          <w:sz w:val="22"/>
          <w:szCs w:val="22"/>
        </w:rPr>
      </w:pPr>
      <w:r w:rsidRPr="00C04B2C">
        <w:rPr>
          <w:rFonts w:ascii="Calibri" w:hAnsi="Calibri" w:cs="Calibri"/>
          <w:sz w:val="22"/>
          <w:szCs w:val="22"/>
          <w:u w:val="single"/>
        </w:rPr>
        <w:t>Utilité de la marge</w:t>
      </w:r>
      <w:r w:rsidRPr="008145E2">
        <w:rPr>
          <w:rFonts w:ascii="Calibri" w:hAnsi="Calibri" w:cs="Calibri"/>
          <w:sz w:val="22"/>
          <w:szCs w:val="22"/>
        </w:rPr>
        <w:t xml:space="preserve"> : </w:t>
      </w:r>
      <w:r>
        <w:rPr>
          <w:rFonts w:ascii="Calibri" w:hAnsi="Calibri" w:cs="Calibri"/>
          <w:sz w:val="22"/>
          <w:szCs w:val="22"/>
        </w:rPr>
        <w:t>permet de déterminer la baisse de chiffre d’affaires que peut subir l’organisation sans pour autant dégager une perte.</w:t>
      </w:r>
    </w:p>
    <w:p w:rsidR="00C04B2C" w:rsidRPr="008145E2" w:rsidRDefault="00C04B2C" w:rsidP="007F559B">
      <w:pPr>
        <w:tabs>
          <w:tab w:val="left" w:leader="dot" w:pos="9639"/>
        </w:tabs>
        <w:rPr>
          <w:rFonts w:ascii="Calibri" w:hAnsi="Calibri" w:cs="Calibri"/>
          <w:sz w:val="22"/>
          <w:szCs w:val="22"/>
        </w:rPr>
      </w:pPr>
    </w:p>
    <w:p w:rsidR="007F559B" w:rsidRPr="008145E2" w:rsidRDefault="007F559B" w:rsidP="007F559B">
      <w:pPr>
        <w:tabs>
          <w:tab w:val="left" w:leader="dot" w:pos="10065"/>
        </w:tabs>
        <w:rPr>
          <w:rFonts w:ascii="Calibri" w:hAnsi="Calibri" w:cs="Calibri"/>
          <w:sz w:val="22"/>
          <w:szCs w:val="22"/>
        </w:rPr>
      </w:pPr>
      <w:r w:rsidRPr="008145E2">
        <w:rPr>
          <w:rFonts w:ascii="Calibri" w:hAnsi="Calibri" w:cs="Calibri"/>
          <w:sz w:val="22"/>
          <w:szCs w:val="22"/>
        </w:rPr>
        <w:t xml:space="preserve">Plus la marge de </w:t>
      </w:r>
      <w:proofErr w:type="gramStart"/>
      <w:r w:rsidRPr="008145E2">
        <w:rPr>
          <w:rFonts w:ascii="Calibri" w:hAnsi="Calibri" w:cs="Calibri"/>
          <w:sz w:val="22"/>
          <w:szCs w:val="22"/>
        </w:rPr>
        <w:t>sécurité est</w:t>
      </w:r>
      <w:proofErr w:type="gramEnd"/>
      <w:r w:rsidRPr="008145E2">
        <w:rPr>
          <w:rFonts w:ascii="Calibri" w:hAnsi="Calibri" w:cs="Calibri"/>
          <w:sz w:val="22"/>
          <w:szCs w:val="22"/>
        </w:rPr>
        <w:t xml:space="preserve"> étroite, </w:t>
      </w:r>
      <w:r w:rsidRPr="008145E2">
        <w:rPr>
          <w:rFonts w:ascii="Calibri" w:hAnsi="Calibri" w:cs="Calibri"/>
          <w:sz w:val="22"/>
          <w:szCs w:val="22"/>
        </w:rPr>
        <w:tab/>
      </w:r>
    </w:p>
    <w:p w:rsidR="007F559B" w:rsidRDefault="007F559B" w:rsidP="007F559B">
      <w:pPr>
        <w:tabs>
          <w:tab w:val="left" w:leader="dot" w:pos="9639"/>
        </w:tabs>
        <w:rPr>
          <w:rFonts w:ascii="Calibri" w:hAnsi="Calibri" w:cs="Calibri"/>
          <w:sz w:val="22"/>
          <w:szCs w:val="22"/>
        </w:rPr>
      </w:pPr>
    </w:p>
    <w:p w:rsidR="00C04B2C" w:rsidRDefault="00C04B2C" w:rsidP="007F559B">
      <w:pPr>
        <w:tabs>
          <w:tab w:val="left" w:leader="dot" w:pos="9639"/>
        </w:tabs>
        <w:rPr>
          <w:rFonts w:ascii="Calibri" w:hAnsi="Calibri" w:cs="Calibri"/>
          <w:sz w:val="22"/>
          <w:szCs w:val="22"/>
        </w:rPr>
      </w:pPr>
    </w:p>
    <w:p w:rsidR="007F559B" w:rsidRDefault="007F559B" w:rsidP="007F559B">
      <w:pPr>
        <w:tabs>
          <w:tab w:val="left" w:leader="dot" w:pos="9639"/>
        </w:tabs>
        <w:jc w:val="both"/>
        <w:rPr>
          <w:rFonts w:ascii="Calibri" w:hAnsi="Calibri" w:cs="Calibri"/>
          <w:sz w:val="22"/>
          <w:szCs w:val="22"/>
        </w:rPr>
      </w:pPr>
      <w:r>
        <w:rPr>
          <w:rFonts w:ascii="Calibri" w:hAnsi="Calibri" w:cs="Calibri"/>
          <w:sz w:val="22"/>
          <w:szCs w:val="22"/>
        </w:rPr>
        <w:t xml:space="preserve">La marge de sécurité est exprimée en </w:t>
      </w:r>
      <w:r w:rsidRPr="00BB0706">
        <w:rPr>
          <w:rFonts w:ascii="Calibri" w:hAnsi="Calibri" w:cs="Calibri"/>
          <w:i/>
          <w:sz w:val="22"/>
          <w:szCs w:val="22"/>
        </w:rPr>
        <w:t>valeur absolue</w:t>
      </w:r>
      <w:r>
        <w:rPr>
          <w:rFonts w:ascii="Calibri" w:hAnsi="Calibri" w:cs="Calibri"/>
          <w:sz w:val="22"/>
          <w:szCs w:val="22"/>
        </w:rPr>
        <w:t xml:space="preserve"> et ne permet pas de comparer des situations présentant des différences sensibles de niveau des ventes. C’est pourquoi on préfère calculer </w:t>
      </w:r>
      <w:r w:rsidRPr="00C04B2C">
        <w:rPr>
          <w:rFonts w:ascii="Calibri" w:hAnsi="Calibri" w:cs="Calibri"/>
          <w:b/>
          <w:i/>
          <w:sz w:val="22"/>
          <w:szCs w:val="22"/>
        </w:rPr>
        <w:t>l’indice de sécurité</w:t>
      </w:r>
      <w:r w:rsidRPr="00BB0706">
        <w:rPr>
          <w:rFonts w:ascii="Calibri" w:hAnsi="Calibri" w:cs="Calibri"/>
          <w:b/>
          <w:sz w:val="22"/>
          <w:szCs w:val="22"/>
        </w:rPr>
        <w:t xml:space="preserve"> </w:t>
      </w:r>
      <w:r>
        <w:rPr>
          <w:rFonts w:ascii="Calibri" w:hAnsi="Calibri" w:cs="Calibri"/>
          <w:sz w:val="22"/>
          <w:szCs w:val="22"/>
        </w:rPr>
        <w:t xml:space="preserve">qui est aussi un indicateur du risque d’être en perte mais exprimé </w:t>
      </w:r>
      <w:r w:rsidRPr="00BB0706">
        <w:rPr>
          <w:rFonts w:ascii="Calibri" w:hAnsi="Calibri" w:cs="Calibri"/>
          <w:i/>
          <w:sz w:val="22"/>
          <w:szCs w:val="22"/>
        </w:rPr>
        <w:t>en pourcentage</w:t>
      </w:r>
      <w:r>
        <w:rPr>
          <w:rFonts w:ascii="Calibri" w:hAnsi="Calibri" w:cs="Calibri"/>
          <w:sz w:val="22"/>
          <w:szCs w:val="22"/>
        </w:rPr>
        <w:t xml:space="preserve"> du niveau réel des ventes.</w:t>
      </w:r>
    </w:p>
    <w:p w:rsidR="007F559B" w:rsidRDefault="007F559B" w:rsidP="007F559B">
      <w:pPr>
        <w:tabs>
          <w:tab w:val="left" w:leader="dot" w:pos="9639"/>
        </w:tabs>
        <w:rPr>
          <w:rFonts w:ascii="Calibri" w:hAnsi="Calibri" w:cs="Calibri"/>
          <w:sz w:val="22"/>
          <w:szCs w:val="22"/>
        </w:rPr>
      </w:pPr>
    </w:p>
    <w:p w:rsidR="007F559B" w:rsidRPr="008145E2" w:rsidRDefault="007F559B" w:rsidP="007F559B">
      <w:pPr>
        <w:pBdr>
          <w:top w:val="single" w:sz="4" w:space="1" w:color="auto"/>
          <w:left w:val="single" w:sz="4" w:space="4" w:color="auto"/>
          <w:bottom w:val="single" w:sz="4" w:space="1" w:color="auto"/>
          <w:right w:val="single" w:sz="4" w:space="4" w:color="auto"/>
        </w:pBdr>
        <w:tabs>
          <w:tab w:val="left" w:leader="dot" w:pos="9639"/>
        </w:tabs>
        <w:rPr>
          <w:rFonts w:ascii="Calibri" w:hAnsi="Calibri" w:cs="Calibri"/>
          <w:sz w:val="22"/>
          <w:szCs w:val="22"/>
        </w:rPr>
      </w:pPr>
    </w:p>
    <w:p w:rsidR="007F559B" w:rsidRPr="008145E2" w:rsidRDefault="007F559B" w:rsidP="007F559B">
      <w:pPr>
        <w:pBdr>
          <w:top w:val="single" w:sz="4" w:space="1" w:color="auto"/>
          <w:left w:val="single" w:sz="4" w:space="4" w:color="auto"/>
          <w:bottom w:val="single" w:sz="4" w:space="1" w:color="auto"/>
          <w:right w:val="single" w:sz="4" w:space="4" w:color="auto"/>
        </w:pBdr>
        <w:tabs>
          <w:tab w:val="left" w:leader="dot" w:pos="9639"/>
        </w:tabs>
        <w:rPr>
          <w:rFonts w:ascii="Calibri" w:hAnsi="Calibri" w:cs="Calibri"/>
          <w:sz w:val="22"/>
          <w:szCs w:val="22"/>
        </w:rPr>
      </w:pPr>
      <w:r w:rsidRPr="008145E2">
        <w:rPr>
          <w:rFonts w:ascii="Calibri" w:hAnsi="Calibri" w:cs="Calibri"/>
          <w:b/>
          <w:sz w:val="22"/>
          <w:szCs w:val="22"/>
        </w:rPr>
        <w:t>Calcul de l’indice de sécurité</w:t>
      </w:r>
      <w:r w:rsidRPr="008145E2">
        <w:rPr>
          <w:rFonts w:ascii="Calibri" w:hAnsi="Calibri" w:cs="Calibri"/>
          <w:sz w:val="22"/>
          <w:szCs w:val="22"/>
        </w:rPr>
        <w:t xml:space="preserve"> : </w:t>
      </w:r>
      <w:r w:rsidRPr="008145E2">
        <w:rPr>
          <w:rFonts w:ascii="Calibri" w:hAnsi="Calibri" w:cs="Calibri"/>
          <w:sz w:val="22"/>
          <w:szCs w:val="22"/>
        </w:rPr>
        <w:tab/>
      </w:r>
    </w:p>
    <w:p w:rsidR="007F559B" w:rsidRDefault="007F559B" w:rsidP="007F559B">
      <w:pPr>
        <w:pBdr>
          <w:top w:val="single" w:sz="4" w:space="1" w:color="auto"/>
          <w:left w:val="single" w:sz="4" w:space="4" w:color="auto"/>
          <w:bottom w:val="single" w:sz="4" w:space="1" w:color="auto"/>
          <w:right w:val="single" w:sz="4" w:space="4" w:color="auto"/>
        </w:pBdr>
        <w:tabs>
          <w:tab w:val="left" w:leader="dot" w:pos="9639"/>
        </w:tabs>
        <w:rPr>
          <w:rFonts w:ascii="Calibri" w:hAnsi="Calibri" w:cs="Calibri"/>
          <w:sz w:val="22"/>
          <w:szCs w:val="22"/>
        </w:rPr>
      </w:pPr>
    </w:p>
    <w:p w:rsidR="007F559B" w:rsidRPr="008145E2" w:rsidRDefault="007F559B" w:rsidP="007F559B">
      <w:pPr>
        <w:tabs>
          <w:tab w:val="left" w:leader="dot" w:pos="9639"/>
        </w:tabs>
        <w:rPr>
          <w:rFonts w:ascii="Calibri" w:hAnsi="Calibri" w:cs="Calibri"/>
          <w:sz w:val="22"/>
          <w:szCs w:val="22"/>
        </w:rPr>
      </w:pPr>
    </w:p>
    <w:p w:rsidR="007F559B" w:rsidRPr="008145E2" w:rsidRDefault="007F559B" w:rsidP="007F559B">
      <w:pPr>
        <w:tabs>
          <w:tab w:val="left" w:leader="dot" w:pos="9639"/>
        </w:tabs>
        <w:rPr>
          <w:rFonts w:ascii="Calibri" w:hAnsi="Calibri" w:cs="Calibri"/>
          <w:sz w:val="22"/>
          <w:szCs w:val="22"/>
        </w:rPr>
      </w:pPr>
      <w:r w:rsidRPr="008145E2">
        <w:rPr>
          <w:rFonts w:ascii="Calibri" w:hAnsi="Calibri" w:cs="Calibri"/>
          <w:sz w:val="22"/>
          <w:szCs w:val="22"/>
        </w:rPr>
        <w:t xml:space="preserve">Plus l’indice est élevé, </w:t>
      </w:r>
      <w:r w:rsidRPr="008145E2">
        <w:rPr>
          <w:rFonts w:ascii="Calibri" w:hAnsi="Calibri" w:cs="Calibri"/>
          <w:sz w:val="22"/>
          <w:szCs w:val="22"/>
        </w:rPr>
        <w:tab/>
      </w:r>
    </w:p>
    <w:p w:rsidR="007F559B" w:rsidRDefault="007F559B" w:rsidP="007F559B">
      <w:pPr>
        <w:tabs>
          <w:tab w:val="left" w:leader="dot" w:pos="9639"/>
        </w:tabs>
        <w:rPr>
          <w:rFonts w:ascii="Calibri" w:hAnsi="Calibri" w:cs="Calibri"/>
          <w:sz w:val="22"/>
          <w:szCs w:val="22"/>
        </w:rPr>
      </w:pPr>
    </w:p>
    <w:p w:rsidR="009A4C14" w:rsidRPr="00D836FA" w:rsidRDefault="009A4C14" w:rsidP="009A4C14">
      <w:pPr>
        <w:tabs>
          <w:tab w:val="left" w:leader="dot" w:pos="9639"/>
        </w:tabs>
        <w:rPr>
          <w:rFonts w:asciiTheme="minorHAnsi" w:hAnsiTheme="minorHAnsi" w:cstheme="minorHAnsi"/>
          <w:sz w:val="22"/>
          <w:szCs w:val="22"/>
        </w:rPr>
      </w:pPr>
    </w:p>
    <w:p w:rsidR="009A4C14" w:rsidRPr="00832D02" w:rsidRDefault="00C04B2C" w:rsidP="009A4C14">
      <w:pPr>
        <w:tabs>
          <w:tab w:val="left" w:leader="dot" w:pos="9639"/>
        </w:tabs>
        <w:rPr>
          <w:rFonts w:asciiTheme="minorHAnsi" w:hAnsiTheme="minorHAnsi" w:cstheme="minorHAnsi"/>
          <w:b/>
          <w:u w:val="single"/>
        </w:rPr>
      </w:pPr>
      <w:r>
        <w:rPr>
          <w:rFonts w:asciiTheme="minorHAnsi" w:hAnsiTheme="minorHAnsi" w:cstheme="minorHAnsi"/>
          <w:b/>
          <w:u w:val="single"/>
        </w:rPr>
        <w:t xml:space="preserve">V LES </w:t>
      </w:r>
      <w:r w:rsidR="009A4C14" w:rsidRPr="00832D02">
        <w:rPr>
          <w:rFonts w:asciiTheme="minorHAnsi" w:hAnsiTheme="minorHAnsi" w:cstheme="minorHAnsi"/>
          <w:b/>
          <w:u w:val="single"/>
        </w:rPr>
        <w:t>PRÉVISIONS DE RÉSULTAT</w:t>
      </w:r>
    </w:p>
    <w:p w:rsidR="009A4C14" w:rsidRPr="00D836FA" w:rsidRDefault="009A4C14" w:rsidP="009A4C14">
      <w:pPr>
        <w:tabs>
          <w:tab w:val="left" w:leader="dot" w:pos="9639"/>
        </w:tabs>
        <w:rPr>
          <w:rFonts w:asciiTheme="minorHAnsi" w:hAnsiTheme="minorHAnsi" w:cstheme="minorHAnsi"/>
          <w:sz w:val="22"/>
          <w:szCs w:val="22"/>
        </w:rPr>
      </w:pPr>
    </w:p>
    <w:p w:rsidR="009A4C14" w:rsidRDefault="009A4C14" w:rsidP="009A4C14">
      <w:pPr>
        <w:tabs>
          <w:tab w:val="left" w:leader="dot" w:pos="9639"/>
        </w:tabs>
        <w:rPr>
          <w:rFonts w:asciiTheme="minorHAnsi" w:hAnsiTheme="minorHAnsi" w:cstheme="minorHAnsi"/>
          <w:sz w:val="22"/>
          <w:szCs w:val="22"/>
        </w:rPr>
      </w:pPr>
      <w:r w:rsidRPr="00D836FA">
        <w:rPr>
          <w:rFonts w:asciiTheme="minorHAnsi" w:hAnsiTheme="minorHAnsi" w:cstheme="minorHAnsi"/>
          <w:sz w:val="22"/>
          <w:szCs w:val="22"/>
        </w:rPr>
        <w:t>Cela revient à calculer un résultat prévisionnel à partir des valeurs unitaires pour les éléments variables (ou du taux de marge sur coût variable unitaire) et des valeurs totales pour les coûts fixes, en s’appuyant sur la relation :</w:t>
      </w:r>
      <w:r>
        <w:rPr>
          <w:rFonts w:asciiTheme="minorHAnsi" w:hAnsiTheme="minorHAnsi" w:cstheme="minorHAnsi"/>
          <w:sz w:val="22"/>
          <w:szCs w:val="22"/>
        </w:rPr>
        <w:t xml:space="preserve"> </w:t>
      </w:r>
    </w:p>
    <w:p w:rsidR="00C04B2C" w:rsidRPr="00D836FA" w:rsidRDefault="00C04B2C" w:rsidP="009A4C14">
      <w:pPr>
        <w:tabs>
          <w:tab w:val="left" w:leader="dot" w:pos="9639"/>
        </w:tabs>
        <w:rPr>
          <w:rFonts w:asciiTheme="minorHAnsi" w:hAnsiTheme="minorHAnsi" w:cstheme="minorHAnsi"/>
          <w:sz w:val="22"/>
          <w:szCs w:val="22"/>
        </w:rPr>
      </w:pPr>
    </w:p>
    <w:p w:rsidR="009A4C14" w:rsidRDefault="009A4C14" w:rsidP="009A4C14">
      <w:pPr>
        <w:tabs>
          <w:tab w:val="left" w:leader="dot" w:pos="9639"/>
        </w:tabs>
        <w:jc w:val="center"/>
        <w:rPr>
          <w:rFonts w:asciiTheme="minorHAnsi" w:hAnsiTheme="minorHAnsi" w:cstheme="minorHAnsi"/>
          <w:sz w:val="22"/>
          <w:szCs w:val="22"/>
        </w:rPr>
      </w:pPr>
      <w:r w:rsidRPr="00D836FA">
        <w:rPr>
          <w:rFonts w:asciiTheme="minorHAnsi" w:hAnsiTheme="minorHAnsi" w:cstheme="minorHAnsi"/>
          <w:sz w:val="22"/>
          <w:szCs w:val="22"/>
        </w:rPr>
        <w:t>Chiffre d’affaires – Coûts variables = M/CV – Coûts fixes = Résultat</w:t>
      </w:r>
    </w:p>
    <w:p w:rsidR="009A4C14" w:rsidRDefault="009A4C14" w:rsidP="009A4C14">
      <w:pPr>
        <w:tabs>
          <w:tab w:val="left" w:leader="dot" w:pos="9639"/>
        </w:tabs>
        <w:jc w:val="center"/>
        <w:rPr>
          <w:rFonts w:asciiTheme="minorHAnsi" w:hAnsiTheme="minorHAnsi" w:cstheme="minorHAnsi"/>
          <w:sz w:val="22"/>
          <w:szCs w:val="22"/>
        </w:rPr>
      </w:pPr>
    </w:p>
    <w:p w:rsidR="001F0713" w:rsidRDefault="001F0713" w:rsidP="00737B79">
      <w:pPr>
        <w:pStyle w:val="Sansinterligne"/>
        <w:tabs>
          <w:tab w:val="left" w:leader="dot" w:pos="10065"/>
        </w:tabs>
        <w:jc w:val="both"/>
      </w:pPr>
    </w:p>
    <w:p w:rsidR="00CE5464" w:rsidRDefault="00CE5464">
      <w:pPr>
        <w:spacing w:after="200" w:line="276" w:lineRule="auto"/>
        <w:rPr>
          <w:rFonts w:asciiTheme="minorHAnsi" w:eastAsiaTheme="minorHAnsi" w:hAnsiTheme="minorHAnsi" w:cstheme="minorBidi"/>
          <w:sz w:val="22"/>
          <w:szCs w:val="22"/>
          <w:lang w:eastAsia="en-US"/>
        </w:rPr>
      </w:pPr>
    </w:p>
    <w:sectPr w:rsidR="00CE5464" w:rsidSect="00AD2F5C">
      <w:pgSz w:w="11906" w:h="16838"/>
      <w:pgMar w:top="851" w:right="907" w:bottom="28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17D"/>
    <w:multiLevelType w:val="hybridMultilevel"/>
    <w:tmpl w:val="D01C6058"/>
    <w:lvl w:ilvl="0" w:tplc="20EA2E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441A76"/>
    <w:multiLevelType w:val="hybridMultilevel"/>
    <w:tmpl w:val="A1EC651C"/>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5F6115F"/>
    <w:multiLevelType w:val="hybridMultilevel"/>
    <w:tmpl w:val="53B6EE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compat/>
  <w:rsids>
    <w:rsidRoot w:val="00AD2F5C"/>
    <w:rsid w:val="001A7DF5"/>
    <w:rsid w:val="001F0713"/>
    <w:rsid w:val="00257026"/>
    <w:rsid w:val="00737B79"/>
    <w:rsid w:val="007F559B"/>
    <w:rsid w:val="00830276"/>
    <w:rsid w:val="00967D47"/>
    <w:rsid w:val="009A4C14"/>
    <w:rsid w:val="009B0EC9"/>
    <w:rsid w:val="00A111C1"/>
    <w:rsid w:val="00AD2F5C"/>
    <w:rsid w:val="00BA622C"/>
    <w:rsid w:val="00BB35D7"/>
    <w:rsid w:val="00C04B2C"/>
    <w:rsid w:val="00CA6184"/>
    <w:rsid w:val="00CE5464"/>
    <w:rsid w:val="00D63CDE"/>
    <w:rsid w:val="00EE51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Connecteur droit 33"/>
        <o:r id="V:Rule2" type="connector" idref="#Connecteur droit avec flèche 12"/>
        <o:r id="V:Rule3" type="connector" idref="#Connecteur droit 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26"/>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next w:val="Normal"/>
    <w:link w:val="Titre4Car"/>
    <w:qFormat/>
    <w:rsid w:val="00D63CDE"/>
    <w:pPr>
      <w:keepNext/>
      <w:suppressAutoHyphens/>
      <w:spacing w:before="240" w:after="120"/>
      <w:jc w:val="both"/>
      <w:outlineLvl w:val="3"/>
    </w:pPr>
    <w:rPr>
      <w:rFonts w:ascii="Verdana" w:hAnsi="Verdana"/>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D2F5C"/>
    <w:pPr>
      <w:spacing w:after="0" w:line="240" w:lineRule="auto"/>
    </w:pPr>
  </w:style>
  <w:style w:type="character" w:customStyle="1" w:styleId="Titre4Car">
    <w:name w:val="Titre 4 Car"/>
    <w:basedOn w:val="Policepardfaut"/>
    <w:link w:val="Titre4"/>
    <w:rsid w:val="00D63CDE"/>
    <w:rPr>
      <w:rFonts w:ascii="Verdana" w:eastAsia="Times New Roman" w:hAnsi="Verdana" w:cs="Times New Roman"/>
      <w:b/>
      <w:bCs/>
      <w:sz w:val="21"/>
      <w:szCs w:val="21"/>
      <w:lang w:eastAsia="fr-FR"/>
    </w:rPr>
  </w:style>
  <w:style w:type="paragraph" w:customStyle="1" w:styleId="Rponsequestion">
    <w:name w:val="Réponse question"/>
    <w:basedOn w:val="Normal"/>
    <w:qFormat/>
    <w:rsid w:val="00D63CDE"/>
    <w:pPr>
      <w:suppressAutoHyphens/>
      <w:spacing w:after="60"/>
      <w:jc w:val="both"/>
    </w:pPr>
    <w:rPr>
      <w:rFonts w:ascii="Comic Sans MS" w:hAnsi="Comic Sans MS"/>
      <w:sz w:val="22"/>
      <w:lang w:eastAsia="ar-SA"/>
    </w:rPr>
  </w:style>
  <w:style w:type="paragraph" w:customStyle="1" w:styleId="DocTitre">
    <w:name w:val="DocTitre"/>
    <w:basedOn w:val="Normal"/>
    <w:qFormat/>
    <w:rsid w:val="00D63CDE"/>
    <w:pPr>
      <w:suppressAutoHyphens/>
      <w:spacing w:before="200" w:after="100"/>
    </w:pPr>
    <w:rPr>
      <w:rFonts w:ascii="Arial" w:hAnsi="Arial"/>
      <w:b/>
      <w:bCs/>
      <w:kern w:val="1"/>
      <w:sz w:val="22"/>
      <w:lang w:eastAsia="ar-SA"/>
    </w:rPr>
  </w:style>
  <w:style w:type="paragraph" w:customStyle="1" w:styleId="StyleQuestions">
    <w:name w:val="Style Questions"/>
    <w:basedOn w:val="Normal"/>
    <w:qFormat/>
    <w:rsid w:val="00D63CDE"/>
    <w:pPr>
      <w:spacing w:before="120"/>
      <w:jc w:val="both"/>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930</Words>
  <Characters>5120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CHAVAROT</dc:creator>
  <cp:lastModifiedBy>Daniel CHAVAROT</cp:lastModifiedBy>
  <cp:revision>18</cp:revision>
  <dcterms:created xsi:type="dcterms:W3CDTF">2014-04-20T08:27:00Z</dcterms:created>
  <dcterms:modified xsi:type="dcterms:W3CDTF">2014-04-20T12:06:00Z</dcterms:modified>
</cp:coreProperties>
</file>