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F03" w:rsidRDefault="00B47DB2">
      <w:r>
        <w:t>B) La mise en œuvre de la domination par les couts</w:t>
      </w:r>
    </w:p>
    <w:p w:rsidR="00B47DB2" w:rsidRDefault="00B47DB2"/>
    <w:p w:rsidR="00B47DB2" w:rsidRDefault="00B47DB2">
      <w:bookmarkStart w:id="0" w:name="_GoBack"/>
      <w:bookmarkEnd w:id="0"/>
    </w:p>
    <w:p w:rsidR="00552200" w:rsidRDefault="00552200"/>
    <w:sectPr w:rsidR="005522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visionView w:formatting="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200"/>
    <w:rsid w:val="00552200"/>
    <w:rsid w:val="006C7F03"/>
    <w:rsid w:val="00B4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377BA"/>
  <w15:chartTrackingRefBased/>
  <w15:docId w15:val="{B0E0B41B-EF6D-4A25-ACBC-3FF0A0910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2</cp:revision>
  <dcterms:created xsi:type="dcterms:W3CDTF">2016-03-14T07:13:00Z</dcterms:created>
  <dcterms:modified xsi:type="dcterms:W3CDTF">2016-03-14T07:42:00Z</dcterms:modified>
</cp:coreProperties>
</file>