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4E" w:rsidRDefault="00C376A5">
      <w:r>
        <w:t xml:space="preserve">Corpus : le tableau noir : </w:t>
      </w:r>
    </w:p>
    <w:p w:rsidR="00C376A5" w:rsidRPr="002E5A81" w:rsidRDefault="00C376A5">
      <w:pPr>
        <w:rPr>
          <w:i/>
        </w:rPr>
      </w:pPr>
    </w:p>
    <w:p w:rsidR="00C376A5" w:rsidRPr="002E5A81" w:rsidRDefault="00C376A5" w:rsidP="00C376A5">
      <w:pPr>
        <w:pStyle w:val="Paragraphedeliste"/>
        <w:numPr>
          <w:ilvl w:val="0"/>
          <w:numId w:val="1"/>
        </w:numPr>
        <w:rPr>
          <w:i/>
        </w:rPr>
      </w:pPr>
      <w:r w:rsidRPr="002E5A81">
        <w:rPr>
          <w:i/>
        </w:rPr>
        <w:t>Brouillon</w:t>
      </w:r>
    </w:p>
    <w:p w:rsidR="00C376A5" w:rsidRPr="002E5A81" w:rsidRDefault="00C376A5" w:rsidP="00C376A5">
      <w:pPr>
        <w:pStyle w:val="Paragraphedeliste"/>
        <w:numPr>
          <w:ilvl w:val="1"/>
          <w:numId w:val="1"/>
        </w:numPr>
        <w:rPr>
          <w:i/>
        </w:rPr>
      </w:pPr>
      <w:r w:rsidRPr="002E5A81">
        <w:rPr>
          <w:i/>
        </w:rPr>
        <w:t>Résumé analytique des docs</w:t>
      </w:r>
    </w:p>
    <w:p w:rsidR="00C376A5" w:rsidRPr="002E5A81" w:rsidRDefault="00C376A5" w:rsidP="00C376A5">
      <w:pPr>
        <w:pStyle w:val="Paragraphedeliste"/>
        <w:numPr>
          <w:ilvl w:val="1"/>
          <w:numId w:val="1"/>
        </w:numPr>
        <w:rPr>
          <w:i/>
        </w:rPr>
      </w:pPr>
      <w:r w:rsidRPr="002E5A81">
        <w:rPr>
          <w:i/>
        </w:rPr>
        <w:t>2 ou 3 axes d’étude</w:t>
      </w:r>
    </w:p>
    <w:p w:rsidR="00C376A5" w:rsidRPr="002E5A81" w:rsidRDefault="00C376A5" w:rsidP="00C376A5">
      <w:pPr>
        <w:pStyle w:val="Paragraphedeliste"/>
        <w:numPr>
          <w:ilvl w:val="1"/>
          <w:numId w:val="1"/>
        </w:numPr>
        <w:rPr>
          <w:i/>
        </w:rPr>
      </w:pPr>
      <w:r w:rsidRPr="002E5A81">
        <w:rPr>
          <w:i/>
        </w:rPr>
        <w:t>Tableau -&gt; confronter les idées des docs avec les axes</w:t>
      </w:r>
    </w:p>
    <w:p w:rsidR="00C376A5" w:rsidRPr="002E5A81" w:rsidRDefault="00591DC1" w:rsidP="00C376A5">
      <w:pPr>
        <w:pStyle w:val="Paragraphedeliste"/>
        <w:numPr>
          <w:ilvl w:val="1"/>
          <w:numId w:val="1"/>
        </w:numPr>
        <w:rPr>
          <w:i/>
        </w:rPr>
      </w:pPr>
      <w:r w:rsidRPr="002E5A81">
        <w:rPr>
          <w:i/>
        </w:rPr>
        <w:t>Problématique</w:t>
      </w:r>
    </w:p>
    <w:p w:rsidR="00C376A5" w:rsidRPr="007904A5" w:rsidRDefault="007904A5" w:rsidP="00C376A5">
      <w:pPr>
        <w:rPr>
          <w:b/>
        </w:rPr>
      </w:pPr>
      <w:r w:rsidRPr="007904A5">
        <w:rPr>
          <w:b/>
        </w:rPr>
        <w:t xml:space="preserve">Desc docs : </w:t>
      </w:r>
    </w:p>
    <w:p w:rsidR="00C376A5" w:rsidRPr="002E5A81" w:rsidRDefault="00855689" w:rsidP="00C376A5">
      <w:pPr>
        <w:rPr>
          <w:u w:val="single"/>
        </w:rPr>
      </w:pPr>
      <w:r w:rsidRPr="002E5A81">
        <w:rPr>
          <w:u w:val="single"/>
        </w:rPr>
        <w:t xml:space="preserve">Doc 1 : </w:t>
      </w:r>
    </w:p>
    <w:p w:rsidR="00855689" w:rsidRDefault="00855689" w:rsidP="00C376A5">
      <w:r w:rsidRPr="002E5A81">
        <w:tab/>
      </w:r>
      <w:r w:rsidR="002D7E64" w:rsidRPr="002E5A81">
        <w:t>Poème de Jacques Prévert,</w:t>
      </w:r>
      <w:r w:rsidR="002D7E64">
        <w:t xml:space="preserve"> Paroles, 1946 intitulé « Le cancre »</w:t>
      </w:r>
    </w:p>
    <w:p w:rsidR="002D7E64" w:rsidRDefault="002D7E64" w:rsidP="00C376A5">
      <w:r>
        <w:tab/>
        <w:t>Sujet -&gt; Eponyme</w:t>
      </w:r>
    </w:p>
    <w:p w:rsidR="002D7E64" w:rsidRPr="002E5A81" w:rsidRDefault="002D7E64" w:rsidP="00C376A5">
      <w:pPr>
        <w:rPr>
          <w:u w:val="single"/>
        </w:rPr>
      </w:pPr>
    </w:p>
    <w:p w:rsidR="002D7E64" w:rsidRPr="002E5A81" w:rsidRDefault="002D7E64" w:rsidP="00C376A5">
      <w:pPr>
        <w:rPr>
          <w:u w:val="single"/>
        </w:rPr>
      </w:pPr>
      <w:r w:rsidRPr="002E5A81">
        <w:rPr>
          <w:u w:val="single"/>
        </w:rPr>
        <w:t xml:space="preserve">Doc 2 : </w:t>
      </w:r>
    </w:p>
    <w:p w:rsidR="002D7E64" w:rsidRDefault="002D7E64" w:rsidP="00C376A5">
      <w:r>
        <w:tab/>
        <w:t>Article du journal Le Monde écrit publié par Catherine Mary le 25 novembre 2013, « Craie et tableau noir, matières à penser »</w:t>
      </w:r>
    </w:p>
    <w:p w:rsidR="002D7E64" w:rsidRDefault="002D7E64" w:rsidP="00C376A5">
      <w:r>
        <w:tab/>
        <w:t xml:space="preserve">Sujet -&gt; </w:t>
      </w:r>
    </w:p>
    <w:p w:rsidR="002D7E64" w:rsidRDefault="002D7E64" w:rsidP="00C376A5"/>
    <w:p w:rsidR="002D7E64" w:rsidRPr="002E5A81" w:rsidRDefault="002D7E64" w:rsidP="00C376A5">
      <w:pPr>
        <w:rPr>
          <w:u w:val="single"/>
        </w:rPr>
      </w:pPr>
      <w:r w:rsidRPr="002E5A81">
        <w:rPr>
          <w:u w:val="single"/>
        </w:rPr>
        <w:t xml:space="preserve">Doc 3 : </w:t>
      </w:r>
    </w:p>
    <w:p w:rsidR="002D7E64" w:rsidRDefault="002D7E64" w:rsidP="002D7E64">
      <w:pPr>
        <w:ind w:firstLine="708"/>
      </w:pPr>
      <w:r>
        <w:t>Photographie d’un jeune au tableau intutilé « L’interrogation au tableau noir sur un exercice de géométrie (1958) ».</w:t>
      </w:r>
    </w:p>
    <w:p w:rsidR="002D7E64" w:rsidRDefault="002D7E64" w:rsidP="002D7E64">
      <w:pPr>
        <w:ind w:firstLine="708"/>
      </w:pPr>
      <w:r>
        <w:t xml:space="preserve">Il s’agit donc d’une photo avec un étudiant au tableau face à un exercice de géométrie et </w:t>
      </w:r>
      <w:r w:rsidR="00591DC1">
        <w:t>à la vue</w:t>
      </w:r>
      <w:r>
        <w:t xml:space="preserve"> de l’uniforme et de la coupe de cheveux, il peut s’agir d’une photo des années 60.</w:t>
      </w:r>
    </w:p>
    <w:p w:rsidR="002D7E64" w:rsidRDefault="002D7E64" w:rsidP="002D7E64"/>
    <w:p w:rsidR="002D7E64" w:rsidRPr="002E5A81" w:rsidRDefault="002D7E64" w:rsidP="002D7E64">
      <w:pPr>
        <w:rPr>
          <w:u w:val="single"/>
        </w:rPr>
      </w:pPr>
      <w:r w:rsidRPr="002E5A81">
        <w:rPr>
          <w:u w:val="single"/>
        </w:rPr>
        <w:t>Doc 4 :</w:t>
      </w:r>
    </w:p>
    <w:p w:rsidR="002D7E64" w:rsidRDefault="002D7E64" w:rsidP="002D7E64">
      <w:r>
        <w:tab/>
        <w:t>Il s’agit d’un article universitaire publié par Tété Enyon Guemadji G</w:t>
      </w:r>
      <w:r w:rsidRPr="002D7E64">
        <w:t>bedemah</w:t>
      </w:r>
      <w:r>
        <w:t xml:space="preserve"> sur cursus.edu le 13 aout 2011 pour titre « Le tableau noir, d’hier à aujourd’hui ».</w:t>
      </w:r>
    </w:p>
    <w:p w:rsidR="002D7E64" w:rsidRDefault="002D7E64" w:rsidP="002D7E64">
      <w:r>
        <w:tab/>
        <w:t>Sujet -&gt; il retrace l’histoire et l’utilité du tableau noir de sa création à aujourd’hui.</w:t>
      </w:r>
    </w:p>
    <w:p w:rsidR="007904A5" w:rsidRDefault="007904A5" w:rsidP="002D7E64"/>
    <w:p w:rsidR="007904A5" w:rsidRDefault="007904A5" w:rsidP="002D7E64"/>
    <w:p w:rsidR="003B2DE6" w:rsidRDefault="007904A5" w:rsidP="002D7E64">
      <w:pPr>
        <w:rPr>
          <w:b/>
        </w:rPr>
      </w:pPr>
      <w:r w:rsidRPr="007904A5">
        <w:rPr>
          <w:b/>
        </w:rPr>
        <w:t xml:space="preserve">Axe d’études : </w:t>
      </w:r>
    </w:p>
    <w:p w:rsidR="007904A5" w:rsidRDefault="007904A5" w:rsidP="002D7E64">
      <w:pPr>
        <w:rPr>
          <w:b/>
        </w:rPr>
      </w:pPr>
    </w:p>
    <w:p w:rsidR="007904A5" w:rsidRDefault="007904A5" w:rsidP="007904A5">
      <w:pPr>
        <w:pStyle w:val="Paragraphedeliste"/>
        <w:numPr>
          <w:ilvl w:val="0"/>
          <w:numId w:val="2"/>
        </w:numPr>
        <w:rPr>
          <w:b/>
        </w:rPr>
      </w:pPr>
      <w:r w:rsidRPr="007904A5">
        <w:rPr>
          <w:b/>
        </w:rPr>
        <w:t xml:space="preserve">Le tableau noir </w:t>
      </w:r>
    </w:p>
    <w:p w:rsidR="007904A5" w:rsidRDefault="007904A5" w:rsidP="007904A5">
      <w:pPr>
        <w:pStyle w:val="Paragraphedeliste"/>
        <w:numPr>
          <w:ilvl w:val="1"/>
          <w:numId w:val="2"/>
        </w:numPr>
        <w:rPr>
          <w:b/>
        </w:rPr>
      </w:pPr>
      <w:r>
        <w:rPr>
          <w:b/>
        </w:rPr>
        <w:t>Histoire</w:t>
      </w:r>
    </w:p>
    <w:p w:rsidR="007904A5" w:rsidRDefault="007904A5" w:rsidP="007904A5">
      <w:pPr>
        <w:pStyle w:val="Paragraphedeliste"/>
        <w:numPr>
          <w:ilvl w:val="1"/>
          <w:numId w:val="2"/>
        </w:numPr>
        <w:rPr>
          <w:b/>
        </w:rPr>
      </w:pPr>
      <w:r>
        <w:rPr>
          <w:b/>
        </w:rPr>
        <w:t>Utilité</w:t>
      </w:r>
    </w:p>
    <w:p w:rsidR="007904A5" w:rsidRDefault="007904A5" w:rsidP="007904A5">
      <w:pPr>
        <w:pStyle w:val="Paragraphedeliste"/>
        <w:numPr>
          <w:ilvl w:val="1"/>
          <w:numId w:val="2"/>
        </w:numPr>
        <w:rPr>
          <w:b/>
        </w:rPr>
      </w:pPr>
      <w:r>
        <w:rPr>
          <w:b/>
        </w:rPr>
        <w:t>Méthodes</w:t>
      </w:r>
    </w:p>
    <w:p w:rsidR="007904A5" w:rsidRDefault="007904A5" w:rsidP="007904A5">
      <w:pPr>
        <w:pStyle w:val="Paragraphedeliste"/>
        <w:numPr>
          <w:ilvl w:val="0"/>
          <w:numId w:val="2"/>
        </w:numPr>
        <w:rPr>
          <w:b/>
        </w:rPr>
      </w:pPr>
      <w:r>
        <w:rPr>
          <w:b/>
        </w:rPr>
        <w:lastRenderedPageBreak/>
        <w:t>Le numérique</w:t>
      </w:r>
    </w:p>
    <w:p w:rsidR="007904A5" w:rsidRPr="0051284F" w:rsidRDefault="007904A5" w:rsidP="002D7E64">
      <w:pPr>
        <w:pStyle w:val="Paragraphedeliste"/>
        <w:numPr>
          <w:ilvl w:val="1"/>
          <w:numId w:val="2"/>
        </w:numPr>
        <w:rPr>
          <w:b/>
        </w:rPr>
      </w:pPr>
      <w:r>
        <w:rPr>
          <w:b/>
        </w:rPr>
        <w:t>Révolution dans le monde scolaire</w:t>
      </w:r>
    </w:p>
    <w:p w:rsidR="007904A5" w:rsidRPr="007904A5" w:rsidRDefault="007904A5" w:rsidP="002D7E64">
      <w:pPr>
        <w:rPr>
          <w:b/>
        </w:rPr>
      </w:pPr>
    </w:p>
    <w:p w:rsidR="007904A5" w:rsidRPr="007904A5" w:rsidRDefault="007904A5" w:rsidP="002D7E64">
      <w:pPr>
        <w:rPr>
          <w:b/>
        </w:rPr>
      </w:pPr>
      <w:r w:rsidRPr="007904A5">
        <w:rPr>
          <w:b/>
        </w:rPr>
        <w:t xml:space="preserve">Tableau : </w:t>
      </w:r>
    </w:p>
    <w:tbl>
      <w:tblPr>
        <w:tblStyle w:val="TableauGrille5Fonc-Accentuation1"/>
        <w:tblW w:w="0" w:type="auto"/>
        <w:tblLook w:val="04A0" w:firstRow="1" w:lastRow="0" w:firstColumn="1" w:lastColumn="0" w:noHBand="0" w:noVBand="1"/>
      </w:tblPr>
      <w:tblGrid>
        <w:gridCol w:w="1762"/>
        <w:gridCol w:w="1845"/>
        <w:gridCol w:w="1846"/>
        <w:gridCol w:w="1846"/>
        <w:gridCol w:w="1763"/>
      </w:tblGrid>
      <w:tr w:rsidR="003B2DE6" w:rsidTr="0062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B2DE6" w:rsidRDefault="003B2DE6" w:rsidP="002D7E64"/>
        </w:tc>
        <w:tc>
          <w:tcPr>
            <w:tcW w:w="1845" w:type="dxa"/>
          </w:tcPr>
          <w:p w:rsidR="003B2DE6" w:rsidRDefault="003B2DE6" w:rsidP="002D7E64">
            <w:pPr>
              <w:cnfStyle w:val="100000000000" w:firstRow="1" w:lastRow="0" w:firstColumn="0" w:lastColumn="0" w:oddVBand="0" w:evenVBand="0" w:oddHBand="0" w:evenHBand="0" w:firstRowFirstColumn="0" w:firstRowLastColumn="0" w:lastRowFirstColumn="0" w:lastRowLastColumn="0"/>
            </w:pPr>
            <w:r>
              <w:t>Doc 1</w:t>
            </w:r>
          </w:p>
        </w:tc>
        <w:tc>
          <w:tcPr>
            <w:tcW w:w="1846" w:type="dxa"/>
          </w:tcPr>
          <w:p w:rsidR="003B2DE6" w:rsidRDefault="003B2DE6" w:rsidP="002D7E64">
            <w:pPr>
              <w:cnfStyle w:val="100000000000" w:firstRow="1" w:lastRow="0" w:firstColumn="0" w:lastColumn="0" w:oddVBand="0" w:evenVBand="0" w:oddHBand="0" w:evenHBand="0" w:firstRowFirstColumn="0" w:firstRowLastColumn="0" w:lastRowFirstColumn="0" w:lastRowLastColumn="0"/>
            </w:pPr>
            <w:r>
              <w:t xml:space="preserve">Doc 2 </w:t>
            </w:r>
          </w:p>
        </w:tc>
        <w:tc>
          <w:tcPr>
            <w:tcW w:w="1846" w:type="dxa"/>
          </w:tcPr>
          <w:p w:rsidR="003B2DE6" w:rsidRDefault="003B2DE6" w:rsidP="002D7E64">
            <w:pPr>
              <w:cnfStyle w:val="100000000000" w:firstRow="1" w:lastRow="0" w:firstColumn="0" w:lastColumn="0" w:oddVBand="0" w:evenVBand="0" w:oddHBand="0" w:evenHBand="0" w:firstRowFirstColumn="0" w:firstRowLastColumn="0" w:lastRowFirstColumn="0" w:lastRowLastColumn="0"/>
            </w:pPr>
            <w:r>
              <w:t xml:space="preserve">Doc 3 </w:t>
            </w:r>
          </w:p>
        </w:tc>
        <w:tc>
          <w:tcPr>
            <w:tcW w:w="1763" w:type="dxa"/>
          </w:tcPr>
          <w:p w:rsidR="003B2DE6" w:rsidRDefault="003B2DE6" w:rsidP="002D7E64">
            <w:pPr>
              <w:cnfStyle w:val="100000000000" w:firstRow="1" w:lastRow="0" w:firstColumn="0" w:lastColumn="0" w:oddVBand="0" w:evenVBand="0" w:oddHBand="0" w:evenHBand="0" w:firstRowFirstColumn="0" w:firstRowLastColumn="0" w:lastRowFirstColumn="0" w:lastRowLastColumn="0"/>
            </w:pPr>
            <w:r>
              <w:t>Doc 4</w:t>
            </w:r>
          </w:p>
        </w:tc>
      </w:tr>
      <w:tr w:rsidR="003B2DE6" w:rsidTr="0062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B2DE6" w:rsidRDefault="00151ECA" w:rsidP="002D7E64">
            <w:r>
              <w:t>Angoisse du tableau noir</w:t>
            </w:r>
          </w:p>
        </w:tc>
        <w:tc>
          <w:tcPr>
            <w:tcW w:w="1845" w:type="dxa"/>
          </w:tcPr>
          <w:p w:rsidR="003B2DE6" w:rsidRDefault="00B510E5" w:rsidP="002D7E64">
            <w:pPr>
              <w:cnfStyle w:val="000000100000" w:firstRow="0" w:lastRow="0" w:firstColumn="0" w:lastColumn="0" w:oddVBand="0" w:evenVBand="0" w:oddHBand="1" w:evenHBand="0" w:firstRowFirstColumn="0" w:firstRowLastColumn="0" w:lastRowFirstColumn="0" w:lastRowLastColumn="0"/>
            </w:pPr>
            <w:r>
              <w:t>Angoisse = tableau noir du malheur</w:t>
            </w:r>
          </w:p>
        </w:tc>
        <w:tc>
          <w:tcPr>
            <w:tcW w:w="1846" w:type="dxa"/>
          </w:tcPr>
          <w:p w:rsidR="003B2DE6" w:rsidRDefault="003B2DE6" w:rsidP="002D7E64">
            <w:pPr>
              <w:cnfStyle w:val="000000100000" w:firstRow="0" w:lastRow="0" w:firstColumn="0" w:lastColumn="0" w:oddVBand="0" w:evenVBand="0" w:oddHBand="1" w:evenHBand="0" w:firstRowFirstColumn="0" w:firstRowLastColumn="0" w:lastRowFirstColumn="0" w:lastRowLastColumn="0"/>
            </w:pPr>
          </w:p>
        </w:tc>
        <w:tc>
          <w:tcPr>
            <w:tcW w:w="1846" w:type="dxa"/>
          </w:tcPr>
          <w:p w:rsidR="003B2DE6" w:rsidRDefault="003B2DE6" w:rsidP="002D7E64">
            <w:pPr>
              <w:cnfStyle w:val="000000100000" w:firstRow="0" w:lastRow="0" w:firstColumn="0" w:lastColumn="0" w:oddVBand="0" w:evenVBand="0" w:oddHBand="1" w:evenHBand="0" w:firstRowFirstColumn="0" w:firstRowLastColumn="0" w:lastRowFirstColumn="0" w:lastRowLastColumn="0"/>
            </w:pPr>
          </w:p>
        </w:tc>
        <w:tc>
          <w:tcPr>
            <w:tcW w:w="1763" w:type="dxa"/>
          </w:tcPr>
          <w:p w:rsidR="003B2DE6" w:rsidRDefault="00B510E5" w:rsidP="002D7E64">
            <w:pPr>
              <w:cnfStyle w:val="000000100000" w:firstRow="0" w:lastRow="0" w:firstColumn="0" w:lastColumn="0" w:oddVBand="0" w:evenVBand="0" w:oddHBand="1" w:evenHBand="0" w:firstRowFirstColumn="0" w:firstRowLastColumn="0" w:lastRowFirstColumn="0" w:lastRowLastColumn="0"/>
            </w:pPr>
            <w:r>
              <w:t xml:space="preserve">Motivation en baisse </w:t>
            </w:r>
          </w:p>
        </w:tc>
      </w:tr>
      <w:tr w:rsidR="003B2DE6" w:rsidTr="0062469B">
        <w:tc>
          <w:tcPr>
            <w:cnfStyle w:val="001000000000" w:firstRow="0" w:lastRow="0" w:firstColumn="1" w:lastColumn="0" w:oddVBand="0" w:evenVBand="0" w:oddHBand="0" w:evenHBand="0" w:firstRowFirstColumn="0" w:firstRowLastColumn="0" w:lastRowFirstColumn="0" w:lastRowLastColumn="0"/>
            <w:tcW w:w="1762" w:type="dxa"/>
          </w:tcPr>
          <w:p w:rsidR="003B2DE6" w:rsidRDefault="00151ECA" w:rsidP="002D7E64">
            <w:r>
              <w:t>Outil travail et communication</w:t>
            </w:r>
          </w:p>
        </w:tc>
        <w:tc>
          <w:tcPr>
            <w:tcW w:w="1845" w:type="dxa"/>
          </w:tcPr>
          <w:p w:rsidR="003B2DE6" w:rsidRDefault="003B2DE6" w:rsidP="002D7E64">
            <w:pPr>
              <w:cnfStyle w:val="000000000000" w:firstRow="0" w:lastRow="0" w:firstColumn="0" w:lastColumn="0" w:oddVBand="0" w:evenVBand="0" w:oddHBand="0" w:evenHBand="0" w:firstRowFirstColumn="0" w:firstRowLastColumn="0" w:lastRowFirstColumn="0" w:lastRowLastColumn="0"/>
            </w:pPr>
          </w:p>
        </w:tc>
        <w:tc>
          <w:tcPr>
            <w:tcW w:w="1846" w:type="dxa"/>
          </w:tcPr>
          <w:p w:rsidR="003B2DE6" w:rsidRDefault="00B510E5" w:rsidP="002D7E64">
            <w:pPr>
              <w:cnfStyle w:val="000000000000" w:firstRow="0" w:lastRow="0" w:firstColumn="0" w:lastColumn="0" w:oddVBand="0" w:evenVBand="0" w:oddHBand="0" w:evenHBand="0" w:firstRowFirstColumn="0" w:firstRowLastColumn="0" w:lastRowFirstColumn="0" w:lastRowLastColumn="0"/>
            </w:pPr>
            <w:r>
              <w:t xml:space="preserve">Communication </w:t>
            </w:r>
            <w:r w:rsidR="00591DC1">
              <w:t>élève</w:t>
            </w:r>
            <w:r>
              <w:t xml:space="preserve"> prof et prof/prof</w:t>
            </w:r>
          </w:p>
        </w:tc>
        <w:tc>
          <w:tcPr>
            <w:tcW w:w="1846" w:type="dxa"/>
          </w:tcPr>
          <w:p w:rsidR="003B2DE6" w:rsidRDefault="00B510E5" w:rsidP="002D7E64">
            <w:pPr>
              <w:cnfStyle w:val="000000000000" w:firstRow="0" w:lastRow="0" w:firstColumn="0" w:lastColumn="0" w:oddVBand="0" w:evenVBand="0" w:oddHBand="0" w:evenHBand="0" w:firstRowFirstColumn="0" w:firstRowLastColumn="0" w:lastRowFirstColumn="0" w:lastRowLastColumn="0"/>
            </w:pPr>
            <w:r>
              <w:t>Interro au tableau : support</w:t>
            </w:r>
          </w:p>
        </w:tc>
        <w:tc>
          <w:tcPr>
            <w:tcW w:w="1763" w:type="dxa"/>
          </w:tcPr>
          <w:p w:rsidR="003B2DE6" w:rsidRDefault="00B510E5" w:rsidP="002D7E64">
            <w:pPr>
              <w:cnfStyle w:val="000000000000" w:firstRow="0" w:lastRow="0" w:firstColumn="0" w:lastColumn="0" w:oddVBand="0" w:evenVBand="0" w:oddHBand="0" w:evenHBand="0" w:firstRowFirstColumn="0" w:firstRowLastColumn="0" w:lastRowFirstColumn="0" w:lastRowLastColumn="0"/>
            </w:pPr>
            <w:r>
              <w:t>Utilisé pour augmenter l’</w:t>
            </w:r>
            <w:r w:rsidR="00F118AC">
              <w:t>attention</w:t>
            </w:r>
          </w:p>
        </w:tc>
      </w:tr>
      <w:tr w:rsidR="00151ECA" w:rsidTr="0062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151ECA" w:rsidRDefault="00151ECA" w:rsidP="002D7E64">
            <w:r>
              <w:t xml:space="preserve">Tableau noir et ses </w:t>
            </w:r>
            <w:r w:rsidR="00591DC1">
              <w:t>évolutions</w:t>
            </w:r>
          </w:p>
        </w:tc>
        <w:tc>
          <w:tcPr>
            <w:tcW w:w="1845" w:type="dxa"/>
          </w:tcPr>
          <w:p w:rsidR="00151ECA" w:rsidRDefault="00151ECA" w:rsidP="002D7E64">
            <w:pPr>
              <w:cnfStyle w:val="000000100000" w:firstRow="0" w:lastRow="0" w:firstColumn="0" w:lastColumn="0" w:oddVBand="0" w:evenVBand="0" w:oddHBand="1" w:evenHBand="0" w:firstRowFirstColumn="0" w:firstRowLastColumn="0" w:lastRowFirstColumn="0" w:lastRowLastColumn="0"/>
            </w:pPr>
          </w:p>
        </w:tc>
        <w:tc>
          <w:tcPr>
            <w:tcW w:w="1846" w:type="dxa"/>
          </w:tcPr>
          <w:p w:rsidR="00151ECA" w:rsidRDefault="00591DC1" w:rsidP="002D7E64">
            <w:pPr>
              <w:cnfStyle w:val="000000100000" w:firstRow="0" w:lastRow="0" w:firstColumn="0" w:lastColumn="0" w:oddVBand="0" w:evenVBand="0" w:oddHBand="1" w:evenHBand="0" w:firstRowFirstColumn="0" w:firstRowLastColumn="0" w:lastRowFirstColumn="0" w:lastRowLastColumn="0"/>
            </w:pPr>
            <w:r>
              <w:t>Outils électroniques</w:t>
            </w:r>
            <w:r w:rsidR="00F118AC">
              <w:t xml:space="preserve"> remplacent sans donner tort au support tableau</w:t>
            </w:r>
          </w:p>
        </w:tc>
        <w:tc>
          <w:tcPr>
            <w:tcW w:w="1846" w:type="dxa"/>
          </w:tcPr>
          <w:p w:rsidR="00151ECA" w:rsidRDefault="00F118AC" w:rsidP="002D7E64">
            <w:pPr>
              <w:cnfStyle w:val="000000100000" w:firstRow="0" w:lastRow="0" w:firstColumn="0" w:lastColumn="0" w:oddVBand="0" w:evenVBand="0" w:oddHBand="1" w:evenHBand="0" w:firstRowFirstColumn="0" w:firstRowLastColumn="0" w:lastRowFirstColumn="0" w:lastRowLastColumn="0"/>
            </w:pPr>
            <w:r>
              <w:t xml:space="preserve">Tableau à craie noir =&gt; tableau blanc à feutre </w:t>
            </w:r>
            <w:r w:rsidR="00591DC1">
              <w:t>voire</w:t>
            </w:r>
            <w:r>
              <w:t xml:space="preserve"> projecteur</w:t>
            </w:r>
          </w:p>
        </w:tc>
        <w:tc>
          <w:tcPr>
            <w:tcW w:w="1763" w:type="dxa"/>
          </w:tcPr>
          <w:p w:rsidR="00151ECA" w:rsidRDefault="00F118AC" w:rsidP="002D7E64">
            <w:pPr>
              <w:cnfStyle w:val="000000100000" w:firstRow="0" w:lastRow="0" w:firstColumn="0" w:lastColumn="0" w:oddVBand="0" w:evenVBand="0" w:oddHBand="1" w:evenHBand="0" w:firstRowFirstColumn="0" w:firstRowLastColumn="0" w:lastRowFirstColumn="0" w:lastRowLastColumn="0"/>
            </w:pPr>
            <w:r>
              <w:t>Histoire du tableau noir</w:t>
            </w:r>
          </w:p>
        </w:tc>
      </w:tr>
    </w:tbl>
    <w:p w:rsidR="003B2DE6" w:rsidRDefault="003B2DE6" w:rsidP="002D7E64"/>
    <w:p w:rsidR="007904A5" w:rsidRDefault="007904A5" w:rsidP="002D7E64"/>
    <w:p w:rsidR="002D7E64" w:rsidRDefault="00591DC1" w:rsidP="002D7E64">
      <w:r>
        <w:t>Problématique</w:t>
      </w:r>
      <w:r w:rsidR="0062469B">
        <w:t xml:space="preserve"> : </w:t>
      </w:r>
      <w:r w:rsidR="00235ABE">
        <w:t>L’avenir du tableau noir est-il engagé ?</w:t>
      </w:r>
    </w:p>
    <w:p w:rsidR="002D237B" w:rsidRDefault="002D237B" w:rsidP="002D7E64"/>
    <w:p w:rsidR="002D237B" w:rsidRDefault="002D237B" w:rsidP="002D7E64">
      <w:r>
        <w:t>__</w:t>
      </w:r>
    </w:p>
    <w:p w:rsidR="002D237B" w:rsidRDefault="002D237B" w:rsidP="002D7E64">
      <w:r>
        <w:t xml:space="preserve">Synthèse de docs : </w:t>
      </w:r>
    </w:p>
    <w:p w:rsidR="002D237B" w:rsidRDefault="00591DC1" w:rsidP="002D7E64">
      <w:r>
        <w:t>Peut-on</w:t>
      </w:r>
      <w:r w:rsidR="002D237B">
        <w:t xml:space="preserve"> </w:t>
      </w:r>
      <w:r>
        <w:t>détrôner</w:t>
      </w:r>
      <w:r w:rsidR="002D237B">
        <w:t xml:space="preserve"> le tableau noir ? </w:t>
      </w:r>
    </w:p>
    <w:p w:rsidR="002D237B" w:rsidRDefault="002D237B" w:rsidP="002D7E64">
      <w:r>
        <w:t xml:space="preserve">Grands axes : </w:t>
      </w:r>
    </w:p>
    <w:p w:rsidR="002D237B" w:rsidRDefault="002D237B" w:rsidP="002D237B">
      <w:pPr>
        <w:pStyle w:val="Paragraphedeliste"/>
        <w:numPr>
          <w:ilvl w:val="0"/>
          <w:numId w:val="3"/>
        </w:numPr>
      </w:pPr>
      <w:r>
        <w:t>L’angoisse du tableau noir</w:t>
      </w:r>
    </w:p>
    <w:p w:rsidR="002D237B" w:rsidRDefault="002D237B" w:rsidP="002D237B">
      <w:pPr>
        <w:pStyle w:val="Paragraphedeliste"/>
        <w:numPr>
          <w:ilvl w:val="0"/>
          <w:numId w:val="3"/>
        </w:numPr>
      </w:pPr>
      <w:r>
        <w:t>Un outil de travail et de communication</w:t>
      </w:r>
    </w:p>
    <w:p w:rsidR="002D237B" w:rsidRDefault="002D237B" w:rsidP="002D237B">
      <w:pPr>
        <w:pStyle w:val="Paragraphedeliste"/>
        <w:numPr>
          <w:ilvl w:val="0"/>
          <w:numId w:val="3"/>
        </w:numPr>
        <w:pBdr>
          <w:bottom w:val="single" w:sz="12" w:space="1" w:color="auto"/>
        </w:pBdr>
      </w:pPr>
      <w:r>
        <w:t xml:space="preserve">Le tableau noir et ses </w:t>
      </w:r>
      <w:r w:rsidR="00591DC1">
        <w:t>évolutions</w:t>
      </w:r>
      <w:r>
        <w:t>.</w:t>
      </w:r>
    </w:p>
    <w:p w:rsidR="00591DC1" w:rsidRDefault="00591DC1" w:rsidP="00591DC1"/>
    <w:p w:rsidR="00203E8D" w:rsidRDefault="00D00DE7" w:rsidP="00591DC1">
      <w:r>
        <w:t xml:space="preserve">Il </w:t>
      </w:r>
      <w:proofErr w:type="spellStart"/>
      <w:r>
        <w:t>ya</w:t>
      </w:r>
      <w:proofErr w:type="spellEnd"/>
      <w:r>
        <w:t xml:space="preserve"> deux sortes de tableaux qui se partagent nos écoles aujourd’hui, le tableau dit « noir » qui est pourtant vert, et le tableau blanc qui n’est qu’un « tableau » désormais au contraire de son ancêtre le tableau noir qui lui était vraiment noir.</w:t>
      </w:r>
    </w:p>
    <w:p w:rsidR="00D00DE7" w:rsidRDefault="00D00DE7" w:rsidP="00591DC1">
      <w:r>
        <w:t>Ça parait compliqué mais ça reste en fait très simple et si la définition du tableau noir doit être posée, c’est la question de sa survie qui est engagée dans une société toujours plus numérique.</w:t>
      </w:r>
    </w:p>
    <w:p w:rsidR="00D00DE7" w:rsidRDefault="00D00DE7" w:rsidP="00591DC1"/>
    <w:p w:rsidR="000E31F1" w:rsidRDefault="00D00DE7" w:rsidP="00591DC1">
      <w:r>
        <w:t>Cette étude de corpus portera sur « Le cancre », poème de Jacques Prévert (1946)</w:t>
      </w:r>
      <w:r w:rsidR="00597824">
        <w:t xml:space="preserve"> où un enfant « Cancre » y déclame sa haine du tableau noir et envoi valser cette vie étudiante dans un tourbillon de papier</w:t>
      </w:r>
      <w:r>
        <w:t xml:space="preserve">, sur l’article </w:t>
      </w:r>
      <w:r>
        <w:t>du journal Le Monde écrit publié par Catherine Mary le 25 novembre 2013, « Craie et t</w:t>
      </w:r>
      <w:r>
        <w:t>ableau noir, matières à penser », sur une photographie d’un jeune au tableau intitulé « L’interrogation au tableau noir sur un exercice de géométrie » (1958)</w:t>
      </w:r>
      <w:r w:rsidR="000E31F1">
        <w:t xml:space="preserve"> et d’un article universitaire « Le tableau noir, d’hier à aujourd’hui », de Tété G </w:t>
      </w:r>
      <w:proofErr w:type="spellStart"/>
      <w:r w:rsidR="000E31F1">
        <w:t>Gbedamah</w:t>
      </w:r>
      <w:proofErr w:type="spellEnd"/>
      <w:r w:rsidR="000E31F1">
        <w:t xml:space="preserve"> en 2011 étant une </w:t>
      </w:r>
      <w:proofErr w:type="spellStart"/>
      <w:r w:rsidR="000E31F1">
        <w:t>retrospective</w:t>
      </w:r>
      <w:proofErr w:type="spellEnd"/>
      <w:r w:rsidR="000E31F1">
        <w:t xml:space="preserve"> sur le tableau noir.</w:t>
      </w:r>
    </w:p>
    <w:p w:rsidR="000E31F1" w:rsidRDefault="000E31F1" w:rsidP="00591DC1"/>
    <w:p w:rsidR="000E31F1" w:rsidRDefault="000E31F1" w:rsidP="00591DC1">
      <w:r>
        <w:t xml:space="preserve">Si le tableau noir est apparu dans les écoles, c’est avec l’article de </w:t>
      </w:r>
      <w:proofErr w:type="spellStart"/>
      <w:r>
        <w:t>Gbedemah</w:t>
      </w:r>
      <w:proofErr w:type="spellEnd"/>
      <w:r>
        <w:t xml:space="preserve"> que l’on apprend son utilité d’origine : attirer l’attention des élèves, qui est donc un très bon support de communication entre élève et professeur sur le liant de la connaissance </w:t>
      </w:r>
      <w:bookmarkStart w:id="0" w:name="_GoBack"/>
      <w:bookmarkEnd w:id="0"/>
    </w:p>
    <w:p w:rsidR="00591DC1" w:rsidRDefault="00591DC1" w:rsidP="00591DC1"/>
    <w:sectPr w:rsidR="00591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E0AF4"/>
    <w:multiLevelType w:val="hybridMultilevel"/>
    <w:tmpl w:val="AEEC1FEE"/>
    <w:lvl w:ilvl="0" w:tplc="8AF415C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2D0282"/>
    <w:multiLevelType w:val="hybridMultilevel"/>
    <w:tmpl w:val="5E8C8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3E7110"/>
    <w:multiLevelType w:val="hybridMultilevel"/>
    <w:tmpl w:val="FB92C9EE"/>
    <w:lvl w:ilvl="0" w:tplc="6924FD3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A5"/>
    <w:rsid w:val="000E31F1"/>
    <w:rsid w:val="00151ECA"/>
    <w:rsid w:val="00203E8D"/>
    <w:rsid w:val="00235ABE"/>
    <w:rsid w:val="002D237B"/>
    <w:rsid w:val="002D7E64"/>
    <w:rsid w:val="002E5A81"/>
    <w:rsid w:val="003B2DE6"/>
    <w:rsid w:val="0047434E"/>
    <w:rsid w:val="0051284F"/>
    <w:rsid w:val="00591DC1"/>
    <w:rsid w:val="00597824"/>
    <w:rsid w:val="0062469B"/>
    <w:rsid w:val="007904A5"/>
    <w:rsid w:val="00855689"/>
    <w:rsid w:val="00B510E5"/>
    <w:rsid w:val="00C03AF0"/>
    <w:rsid w:val="00C376A5"/>
    <w:rsid w:val="00D00DE7"/>
    <w:rsid w:val="00F118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C543"/>
  <w15:chartTrackingRefBased/>
  <w15:docId w15:val="{127492E2-F397-4A67-A551-2E7F8A0B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76A5"/>
    <w:pPr>
      <w:ind w:left="720"/>
      <w:contextualSpacing/>
    </w:pPr>
  </w:style>
  <w:style w:type="table" w:styleId="Grilledutableau">
    <w:name w:val="Table Grid"/>
    <w:basedOn w:val="TableauNormal"/>
    <w:uiPriority w:val="39"/>
    <w:rsid w:val="003B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624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475</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15</cp:revision>
  <dcterms:created xsi:type="dcterms:W3CDTF">2016-03-10T14:38:00Z</dcterms:created>
  <dcterms:modified xsi:type="dcterms:W3CDTF">2016-03-24T15:53:00Z</dcterms:modified>
</cp:coreProperties>
</file>