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C5" w:rsidRDefault="00C97CB2">
      <w:r>
        <w:t>Partie 6 : Responsabilité des prestataires internes et externe du système d’information</w:t>
      </w:r>
    </w:p>
    <w:p w:rsidR="00C97CB2" w:rsidRDefault="00C97CB2" w:rsidP="00C97CB2">
      <w:pPr>
        <w:pStyle w:val="Paragraphedeliste"/>
        <w:numPr>
          <w:ilvl w:val="0"/>
          <w:numId w:val="1"/>
        </w:numPr>
      </w:pPr>
      <w:r>
        <w:t>La responsabilité civile</w:t>
      </w:r>
    </w:p>
    <w:p w:rsidR="00C97CB2" w:rsidRDefault="00C97CB2" w:rsidP="00C97CB2">
      <w:r>
        <w:t xml:space="preserve">La responsabilité civile regroupe l’ensemble des règles qui mettent à la charge d’une personne l’obligation de réparer le dommage causé à autrui. </w:t>
      </w:r>
    </w:p>
    <w:p w:rsidR="00C97CB2" w:rsidRDefault="00C97CB2" w:rsidP="00C97CB2">
      <w:r>
        <w:t xml:space="preserve">L’article de base est posé par l’Art 1240 (1382) du code Civil </w:t>
      </w:r>
    </w:p>
    <w:p w:rsidR="00371410" w:rsidRDefault="00371410" w:rsidP="00C97CB2"/>
    <w:p w:rsidR="00371410" w:rsidRDefault="00371410" w:rsidP="00371410">
      <w:pPr>
        <w:pStyle w:val="Paragraphedeliste"/>
        <w:numPr>
          <w:ilvl w:val="0"/>
          <w:numId w:val="2"/>
        </w:numPr>
      </w:pPr>
      <w:r>
        <w:t>Responsabilité civile contractuelle</w:t>
      </w:r>
    </w:p>
    <w:p w:rsidR="00371410" w:rsidRDefault="00371410" w:rsidP="00371410">
      <w:pPr>
        <w:pStyle w:val="Paragraphedeliste"/>
        <w:numPr>
          <w:ilvl w:val="0"/>
          <w:numId w:val="2"/>
        </w:numPr>
      </w:pPr>
      <w:r>
        <w:t xml:space="preserve"> /// délictuelle</w:t>
      </w:r>
    </w:p>
    <w:p w:rsidR="00371410" w:rsidRDefault="00371410" w:rsidP="00371410">
      <w:r>
        <w:t xml:space="preserve">Qu’elle soit contractuelle ou délictuelle, il faut 3 conditions : </w:t>
      </w:r>
    </w:p>
    <w:p w:rsidR="00371410" w:rsidRDefault="00371410" w:rsidP="00371410">
      <w:pPr>
        <w:pStyle w:val="Paragraphedeliste"/>
        <w:numPr>
          <w:ilvl w:val="0"/>
          <w:numId w:val="2"/>
        </w:numPr>
      </w:pPr>
      <w:r>
        <w:t>Fait générateur</w:t>
      </w:r>
    </w:p>
    <w:p w:rsidR="00371410" w:rsidRDefault="00371410" w:rsidP="00371410">
      <w:pPr>
        <w:pStyle w:val="Paragraphedeliste"/>
        <w:numPr>
          <w:ilvl w:val="0"/>
          <w:numId w:val="2"/>
        </w:numPr>
      </w:pPr>
      <w:r>
        <w:t>Dommage</w:t>
      </w:r>
    </w:p>
    <w:p w:rsidR="00371410" w:rsidRDefault="00371410" w:rsidP="00371410">
      <w:pPr>
        <w:pStyle w:val="Paragraphedeliste"/>
        <w:numPr>
          <w:ilvl w:val="0"/>
          <w:numId w:val="2"/>
        </w:numPr>
      </w:pPr>
      <w:r>
        <w:t>Lien de causalité</w:t>
      </w:r>
    </w:p>
    <w:p w:rsidR="00371410" w:rsidRDefault="00980800" w:rsidP="00371410">
      <w:r>
        <w:t>A : La responsabilité civile contractuelle</w:t>
      </w:r>
    </w:p>
    <w:p w:rsidR="00980800" w:rsidRDefault="00980800" w:rsidP="00371410">
      <w:r>
        <w:t>La responsabilité contractuelle naît en cas de mauvaise exécution, de retard dans l’exécution, ou d’inexécution totale ou partielle d’une obligation contenue dans un contrat (1147 du Code civil). Ce régime de responsabilité présuppose donc l’existence d’un contrat valable entre le responsable et sa victime, tous deux contractants</w:t>
      </w:r>
    </w:p>
    <w:p w:rsidR="003B6C7A" w:rsidRDefault="003B6C7A" w:rsidP="00FD1AB1">
      <w:pPr>
        <w:pStyle w:val="Paragraphedeliste"/>
        <w:numPr>
          <w:ilvl w:val="0"/>
          <w:numId w:val="2"/>
        </w:numPr>
      </w:pPr>
      <w:r>
        <w:t>La victime du dommage doit prouver la faute de l’auteur du dommage.</w:t>
      </w:r>
    </w:p>
    <w:p w:rsidR="003B6C7A" w:rsidRDefault="003B6C7A" w:rsidP="00371410">
      <w:r>
        <w:t xml:space="preserve">Cette </w:t>
      </w:r>
      <w:r w:rsidR="0037259B">
        <w:t>obligation</w:t>
      </w:r>
      <w:r>
        <w:t xml:space="preserve"> incombe à l’auteur du dommage.</w:t>
      </w:r>
    </w:p>
    <w:p w:rsidR="00F86CA1" w:rsidRDefault="00F86CA1" w:rsidP="00371410">
      <w:r>
        <w:t xml:space="preserve">Si l’auteur du dommage à une obligation de résultat : la victime n’a a prouvé que l’absence de résultat. </w:t>
      </w:r>
    </w:p>
    <w:p w:rsidR="00F74608" w:rsidRDefault="00F74608" w:rsidP="00371410">
      <w:r>
        <w:t xml:space="preserve">EXEMPLE : </w:t>
      </w:r>
    </w:p>
    <w:p w:rsidR="00F74608" w:rsidRDefault="00F74608" w:rsidP="00371410">
      <w:r>
        <w:t>En matière d’informatique, si après réparation le pc ne marche pas, obligation de résultat, non atteint, donc responsabilité de contrat.</w:t>
      </w:r>
    </w:p>
    <w:p w:rsidR="00F74608" w:rsidRDefault="00FD1AB1" w:rsidP="00FD1AB1">
      <w:pPr>
        <w:pStyle w:val="Paragraphedeliste"/>
        <w:numPr>
          <w:ilvl w:val="0"/>
          <w:numId w:val="2"/>
        </w:numPr>
      </w:pPr>
      <w:r>
        <w:t>Obligation de moyen</w:t>
      </w:r>
    </w:p>
    <w:p w:rsidR="00980800" w:rsidRDefault="00FD1AB1" w:rsidP="00371410">
      <w:r>
        <w:t xml:space="preserve">La victime doit prouver la faute. </w:t>
      </w:r>
    </w:p>
    <w:p w:rsidR="00FD1AB1" w:rsidRDefault="00FD1AB1">
      <w:r>
        <w:br w:type="page"/>
      </w:r>
    </w:p>
    <w:p w:rsidR="00FD1AB1" w:rsidRDefault="00FD1AB1" w:rsidP="00371410">
      <w:r>
        <w:lastRenderedPageBreak/>
        <w:t>Des clauses peuvent être inséré pour aménager la responsabilité.</w:t>
      </w:r>
    </w:p>
    <w:p w:rsidR="00FD1AB1" w:rsidRDefault="00FD1AB1" w:rsidP="00FD1AB1">
      <w:pPr>
        <w:pStyle w:val="Paragraphedeliste"/>
        <w:numPr>
          <w:ilvl w:val="0"/>
          <w:numId w:val="2"/>
        </w:numPr>
      </w:pPr>
      <w:r>
        <w:t>Clauses pénales (limitative)</w:t>
      </w:r>
    </w:p>
    <w:p w:rsidR="00FD1AB1" w:rsidRDefault="00FD1AB1" w:rsidP="00FD1AB1">
      <w:r>
        <w:t xml:space="preserve">L’aménagement de la responsabilité s’explique par la responsabilité contractuelle : </w:t>
      </w:r>
    </w:p>
    <w:p w:rsidR="00FD1AB1" w:rsidRDefault="00FD1AB1" w:rsidP="00FD1AB1">
      <w:r>
        <w:t>Elle se justifie par la liberté contractuelle des parties.</w:t>
      </w:r>
    </w:p>
    <w:p w:rsidR="00FD1AB1" w:rsidRDefault="0017658A" w:rsidP="00FD1AB1">
      <w:r>
        <w:t>Cette responsabilité contractuelle nait en dehors de tout contrat</w:t>
      </w:r>
    </w:p>
    <w:p w:rsidR="0017658A" w:rsidRDefault="0017658A" w:rsidP="00FD1AB1">
      <w:r>
        <w:t xml:space="preserve">Il peut s’agir d’une concurrence </w:t>
      </w:r>
      <w:proofErr w:type="spellStart"/>
      <w:r>
        <w:t>deloyale</w:t>
      </w:r>
      <w:proofErr w:type="spellEnd"/>
      <w:r>
        <w:t xml:space="preserve">, </w:t>
      </w:r>
    </w:p>
    <w:p w:rsidR="0017658A" w:rsidRDefault="0017658A" w:rsidP="00FD1AB1">
      <w:r>
        <w:t xml:space="preserve">Autre exemple de responsabilité </w:t>
      </w:r>
      <w:proofErr w:type="spellStart"/>
      <w:r>
        <w:t>delictuelle</w:t>
      </w:r>
      <w:proofErr w:type="spellEnd"/>
      <w:r>
        <w:t> : responsabilité de l’employeur en cas de dommage causé par le salarié</w:t>
      </w:r>
      <w:r w:rsidR="007E1C11">
        <w:t xml:space="preserve"> dans le cadre de ses fonctions</w:t>
      </w:r>
    </w:p>
    <w:p w:rsidR="007E1C11" w:rsidRDefault="007E1C11" w:rsidP="00FD1AB1"/>
    <w:p w:rsidR="007E1C11" w:rsidRDefault="007E1C11" w:rsidP="007E1C11">
      <w:pPr>
        <w:pStyle w:val="Paragraphedeliste"/>
        <w:numPr>
          <w:ilvl w:val="0"/>
          <w:numId w:val="1"/>
        </w:numPr>
      </w:pPr>
      <w:r>
        <w:t xml:space="preserve">La responsabilité pénale </w:t>
      </w:r>
    </w:p>
    <w:p w:rsidR="007E1C11" w:rsidRDefault="007E1C11" w:rsidP="007E1C11">
      <w:proofErr w:type="spellStart"/>
      <w:r>
        <w:t>Element</w:t>
      </w:r>
      <w:proofErr w:type="spellEnd"/>
      <w:r>
        <w:t xml:space="preserve"> légal, matériel et </w:t>
      </w:r>
      <w:proofErr w:type="spellStart"/>
      <w:r>
        <w:t>intentionel</w:t>
      </w:r>
      <w:proofErr w:type="spellEnd"/>
    </w:p>
    <w:p w:rsidR="007E1C11" w:rsidRDefault="007E1C11" w:rsidP="007E1C11">
      <w:r>
        <w:t>L’</w:t>
      </w:r>
      <w:proofErr w:type="spellStart"/>
      <w:r>
        <w:t>element</w:t>
      </w:r>
      <w:proofErr w:type="spellEnd"/>
      <w:r>
        <w:t xml:space="preserve"> légal veut dire que le comportement doit </w:t>
      </w:r>
      <w:proofErr w:type="spellStart"/>
      <w:r>
        <w:t>etre</w:t>
      </w:r>
      <w:proofErr w:type="spellEnd"/>
      <w:r>
        <w:t xml:space="preserve"> qualifié par la loi comme une infraction</w:t>
      </w:r>
    </w:p>
    <w:p w:rsidR="007E1C11" w:rsidRDefault="007E1C11" w:rsidP="007E1C11"/>
    <w:p w:rsidR="007E1C11" w:rsidRDefault="007E1C11" w:rsidP="007E1C11">
      <w:r>
        <w:t>Contrairement à la responsabilité civile, la responsabilité pénale ne nécessite pas la démonstration d’un dommage. Ceci s’explique par le fait que la responsabilité pénale a pour fonction d’assurer la répression des infractions troublant l’ordre social, tandis que la responsabilité civile tend à assurer la réparation d’un dommage. La responsabilité pénale vient en effet sanctionner tout comportement caractérisant une infraction (contravention, délit, crime). Cependant, dans la plupart des cas, cette responsabilité va de pair avec la responsabilité civile. Ainsi, lorsqu’une infraction a entraîné un dommage, la responsabilité civile du délinquant pourra aussi être recherchée. La mise en œuvre de la responsabilité pénale suppose la commission d’une infraction (élément matériel) et une intention (élément moral/intentionnel)</w:t>
      </w:r>
    </w:p>
    <w:p w:rsidR="007E1C11" w:rsidRDefault="007E1C11" w:rsidP="007E1C11"/>
    <w:p w:rsidR="007E1C11" w:rsidRDefault="007E1C11" w:rsidP="007E1C11">
      <w:r>
        <w:t xml:space="preserve">Les principaux textes de droit pénal relatifs aux infractions informatiques sont : </w:t>
      </w:r>
    </w:p>
    <w:p w:rsidR="007E1C11" w:rsidRDefault="007E1C11" w:rsidP="007E1C11">
      <w:r>
        <w:sym w:font="Symbol" w:char="F0B7"/>
      </w:r>
      <w:r>
        <w:t xml:space="preserve"> - Issus de la loi Godfrain du 5 janvier 1988, les articles 323-1 à 323-7 présents dans le Code pénal dans un chapitre intitulé « Des atteintes aux systèmes de traitement automatisé de données » qui permettent de sanctionner toutes les intrusions non autorisées dans un système informatique (accès et/ou maintien frauduleux, intrusion avec dommages) ;</w:t>
      </w:r>
    </w:p>
    <w:p w:rsidR="007E1C11" w:rsidRDefault="007E1C11" w:rsidP="007E1C11">
      <w:r>
        <w:t xml:space="preserve"> </w:t>
      </w:r>
      <w:r>
        <w:sym w:font="Symbol" w:char="F0B7"/>
      </w:r>
      <w:r>
        <w:t xml:space="preserve"> - Issus de la Loi Informatique et Libertés du 6 janvier 1978, les articles 226-16 à 226-24 présents dans le Code pénal dans un chapitre intitulé « Des atteintes à la personnalité » qui sanctionnent les atteintes aux droits des personnes résultant des fichiers ou des traitements informatiques. </w:t>
      </w:r>
    </w:p>
    <w:p w:rsidR="00583232" w:rsidRDefault="007E1C11" w:rsidP="007E1C11">
      <w:r>
        <w:t>Le responsable des traitements doit</w:t>
      </w:r>
    </w:p>
    <w:p w:rsidR="007E1C11" w:rsidRDefault="007E1C11" w:rsidP="007E1C11">
      <w:pPr>
        <w:pBdr>
          <w:bottom w:val="single" w:sz="12" w:space="1" w:color="auto"/>
        </w:pBdr>
      </w:pPr>
      <w:r>
        <w:t xml:space="preserve"> prendre toutes les mesures de sécurité (il doit agir en fonction des règles de l’art) afin d’assurer la protection de données à caractère personnel. Il devra par exemple, lorsque le traitement des données est confié à un tiers, s’assurer au moyen d’une clause contractuelle, que son prestataire mette en œuvre des mesures de sécurité internes et externes pour protéger son SI de toute intrusion. Dans le cas contraire, il pourrait engager sa responsabilité pénale.</w:t>
      </w:r>
      <w:r w:rsidR="00DC166A">
        <w:t xml:space="preserve"> ____</w:t>
      </w:r>
    </w:p>
    <w:p w:rsidR="00DC166A" w:rsidRDefault="00DC166A" w:rsidP="007E1C11"/>
    <w:p w:rsidR="00DC166A" w:rsidRDefault="00DC166A" w:rsidP="00DC166A">
      <w:r>
        <w:t>La circulation des informations sur internet peut engager la responsabilité en premier lieu de l'éditeur,</w:t>
      </w:r>
      <w:r>
        <w:t xml:space="preserve"> </w:t>
      </w:r>
      <w:r>
        <w:t>de l'hébergeur et le FAI</w:t>
      </w:r>
      <w:r>
        <w:t>.</w:t>
      </w:r>
    </w:p>
    <w:p w:rsidR="00DC166A" w:rsidRDefault="00DC166A" w:rsidP="00DC166A">
      <w:r>
        <w:t>Cette responsabilité sera généralement engagée le plus souvent sur les fondements des articles 1240 et 1241 du code civil.</w:t>
      </w:r>
      <w:r w:rsidR="00B565EF">
        <w:t xml:space="preserve"> (</w:t>
      </w:r>
      <w:proofErr w:type="gramStart"/>
      <w:r w:rsidR="00B565EF">
        <w:t>ou</w:t>
      </w:r>
      <w:proofErr w:type="gramEnd"/>
      <w:r w:rsidR="00B565EF">
        <w:t xml:space="preserve"> 1382 / 1383)</w:t>
      </w:r>
    </w:p>
    <w:p w:rsidR="00B565EF" w:rsidRDefault="00B565EF" w:rsidP="00DC166A">
      <w:r>
        <w:t>Cette responsabilité est fondée sur la faute, sur l’imprudence ou sur une négligence.</w:t>
      </w:r>
    </w:p>
    <w:p w:rsidR="00B565EF" w:rsidRDefault="005C6182" w:rsidP="00DC166A">
      <w:r>
        <w:t xml:space="preserve">La responsabilité des acteurs peut </w:t>
      </w:r>
      <w:proofErr w:type="spellStart"/>
      <w:r>
        <w:t>etre</w:t>
      </w:r>
      <w:proofErr w:type="spellEnd"/>
      <w:r>
        <w:t xml:space="preserve"> solidaire à l’égard de la victime. </w:t>
      </w:r>
    </w:p>
    <w:p w:rsidR="00DC166A" w:rsidRDefault="00DC166A" w:rsidP="00DC166A"/>
    <w:p w:rsidR="002E3DFB" w:rsidRPr="005177DB" w:rsidRDefault="002E3DFB" w:rsidP="00DC166A">
      <w:pPr>
        <w:rPr>
          <w:b/>
        </w:rPr>
      </w:pPr>
      <w:r w:rsidRPr="005177DB">
        <w:rPr>
          <w:b/>
        </w:rPr>
        <w:t>A – La responsabilité de l’éditeur</w:t>
      </w:r>
    </w:p>
    <w:p w:rsidR="002E3DFB" w:rsidRPr="005177DB" w:rsidRDefault="002E3DFB" w:rsidP="00DC166A">
      <w:pPr>
        <w:rPr>
          <w:b/>
        </w:rPr>
      </w:pPr>
      <w:r w:rsidRPr="005177DB">
        <w:rPr>
          <w:b/>
        </w:rPr>
        <w:t>1 – Définition</w:t>
      </w:r>
    </w:p>
    <w:p w:rsidR="002E3DFB" w:rsidRDefault="002E3DFB" w:rsidP="00DC166A">
      <w:r>
        <w:t>L’éditeur d’un site est la personne physique ou morale qui met à disposition du public des pages sur internet.</w:t>
      </w:r>
    </w:p>
    <w:p w:rsidR="002E3DFB" w:rsidRDefault="002E3DFB" w:rsidP="00DC166A">
      <w:r>
        <w:t xml:space="preserve">Il sélectionne du contenu, les assembles, les hiérarchises et les met en forme sur un support </w:t>
      </w:r>
      <w:r w:rsidR="001623F8">
        <w:t xml:space="preserve">de communication en ligne. </w:t>
      </w:r>
    </w:p>
    <w:p w:rsidR="00F41F46" w:rsidRDefault="00F41F46" w:rsidP="00DC166A">
      <w:r>
        <w:t>Principale obligation : surveillance du contenu figurant sur son site.</w:t>
      </w:r>
      <w:r w:rsidR="0056256D">
        <w:t xml:space="preserve"> Le net permet une grande facilité de se dissimuler sous le couvert d’anonymat </w:t>
      </w:r>
      <w:r w:rsidR="00404A05">
        <w:t xml:space="preserve">/ pseudonyme / fausse identité. </w:t>
      </w:r>
    </w:p>
    <w:p w:rsidR="001623F8" w:rsidRDefault="001623F8" w:rsidP="00DC166A">
      <w:r>
        <w:t>La difficulté essentielle est de permettre une identification des éditeurs pour voir la responsabilité engagée.</w:t>
      </w:r>
    </w:p>
    <w:p w:rsidR="001623F8" w:rsidRDefault="00895BBF" w:rsidP="00DC166A">
      <w:r>
        <w:t xml:space="preserve">Les éditeurs pro doivent communiquer au public les informations suivantes : </w:t>
      </w:r>
    </w:p>
    <w:p w:rsidR="00895BBF" w:rsidRDefault="00895BBF" w:rsidP="00895BBF">
      <w:pPr>
        <w:pStyle w:val="Paragraphedeliste"/>
        <w:numPr>
          <w:ilvl w:val="0"/>
          <w:numId w:val="2"/>
        </w:numPr>
      </w:pPr>
      <w:r>
        <w:t xml:space="preserve">Nom / </w:t>
      </w:r>
      <w:proofErr w:type="spellStart"/>
      <w:r>
        <w:t>Prenom</w:t>
      </w:r>
      <w:proofErr w:type="spellEnd"/>
      <w:r>
        <w:t xml:space="preserve"> / Domicile </w:t>
      </w:r>
    </w:p>
    <w:p w:rsidR="00895BBF" w:rsidRDefault="00895BBF" w:rsidP="00895BBF">
      <w:pPr>
        <w:pStyle w:val="Paragraphedeliste"/>
        <w:numPr>
          <w:ilvl w:val="0"/>
          <w:numId w:val="2"/>
        </w:numPr>
      </w:pPr>
      <w:r>
        <w:t>Si l’éditeur est une personne morale, elle doit communiquer sa dénomination et son siège social.</w:t>
      </w:r>
    </w:p>
    <w:p w:rsidR="009F5C4A" w:rsidRDefault="009F5C4A" w:rsidP="00895BBF">
      <w:pPr>
        <w:pStyle w:val="Paragraphedeliste"/>
        <w:numPr>
          <w:ilvl w:val="0"/>
          <w:numId w:val="2"/>
        </w:numPr>
      </w:pPr>
      <w:r>
        <w:t>Le nom du directeur de la publication</w:t>
      </w:r>
    </w:p>
    <w:p w:rsidR="009F5C4A" w:rsidRDefault="009F5C4A" w:rsidP="00895BBF">
      <w:pPr>
        <w:pStyle w:val="Paragraphedeliste"/>
        <w:numPr>
          <w:ilvl w:val="0"/>
          <w:numId w:val="2"/>
        </w:numPr>
      </w:pPr>
      <w:r>
        <w:t>Pour faciliter identification auteur : nom/adresse hébergeur.</w:t>
      </w:r>
    </w:p>
    <w:p w:rsidR="002B6F64" w:rsidRDefault="00F33A34" w:rsidP="002B6F64">
      <w:r>
        <w:t>Les éditeurs non professionnels</w:t>
      </w:r>
      <w:r w:rsidR="002B6F64">
        <w:t xml:space="preserve"> n’y sont pas soumis, on droit à l’anonymat, doivent indiquer les éléments qui permettent les éléments qui peuvent identifier l’hébergeur.</w:t>
      </w:r>
    </w:p>
    <w:p w:rsidR="00947887" w:rsidRDefault="00F33A34" w:rsidP="002B6F64">
      <w:r>
        <w:t xml:space="preserve">Responsabilité : </w:t>
      </w:r>
    </w:p>
    <w:p w:rsidR="00947887" w:rsidRDefault="00F33A34" w:rsidP="002B6F64">
      <w:r>
        <w:t>LA LCEN ne prévoit aucun régime particulier de responsabilité pour les éditeurs de contenu qu’ils soient professionnels ou non.</w:t>
      </w:r>
      <w:r>
        <w:br/>
      </w:r>
      <w:r w:rsidR="006C0B28">
        <w:t xml:space="preserve">Editeur responsable en cas de contenu injurieux, diffamatoire, d’atteinte à la vie privée, provocation </w:t>
      </w:r>
      <w:proofErr w:type="spellStart"/>
      <w:r w:rsidR="006C0B28">
        <w:t>a</w:t>
      </w:r>
      <w:proofErr w:type="spellEnd"/>
      <w:r w:rsidR="006C0B28">
        <w:t xml:space="preserve"> la haine raciale.</w:t>
      </w:r>
    </w:p>
    <w:p w:rsidR="00EA26A7" w:rsidRDefault="00EA26A7" w:rsidP="002B6F64">
      <w:r>
        <w:t xml:space="preserve">Responsable aussi </w:t>
      </w:r>
      <w:r w:rsidR="00A01078">
        <w:t>des commentaires diffusés</w:t>
      </w:r>
      <w:r>
        <w:t xml:space="preserve"> sur son site, l’éditeur est puni de 75000€ d’amende et 1 an de prison. </w:t>
      </w:r>
    </w:p>
    <w:p w:rsidR="00A01078" w:rsidRDefault="00A01078" w:rsidP="002B6F64">
      <w:r>
        <w:t xml:space="preserve">L’hébergeur assure le stockage direct est permanant des contenus </w:t>
      </w:r>
      <w:r w:rsidR="00144AB6">
        <w:t xml:space="preserve">mis à disposition du public, </w:t>
      </w:r>
      <w:r w:rsidR="00011A0F">
        <w:t xml:space="preserve">l’hébergeur est le co-contractant </w:t>
      </w:r>
      <w:r w:rsidR="00526A3B">
        <w:t xml:space="preserve">de l’éditeur du site dont le contenu peut être préjudiciable. </w:t>
      </w:r>
    </w:p>
    <w:p w:rsidR="00443FD5" w:rsidRPr="005D5D0E" w:rsidRDefault="00443FD5" w:rsidP="002B6F64">
      <w:r w:rsidRPr="005177DB">
        <w:rPr>
          <w:b/>
        </w:rPr>
        <w:t xml:space="preserve">2 – Sa responsabilité </w:t>
      </w:r>
    </w:p>
    <w:p w:rsidR="006655D7" w:rsidRDefault="005D5D0E" w:rsidP="002B6F64">
      <w:r w:rsidRPr="005D5D0E">
        <w:lastRenderedPageBreak/>
        <w:t xml:space="preserve">La loi </w:t>
      </w:r>
      <w:r>
        <w:t xml:space="preserve">dispense les hébergeurs de toute obligation de surveillance générale des informations qu’ils hébergent. </w:t>
      </w:r>
    </w:p>
    <w:p w:rsidR="008C7FD0" w:rsidRDefault="008C7FD0" w:rsidP="002B6F64">
      <w:r>
        <w:t>L’Hébergeur n’est pas non plus d’une obligation générale de fait illicite</w:t>
      </w:r>
      <w:r w:rsidR="009815AD">
        <w:t>.</w:t>
      </w:r>
    </w:p>
    <w:p w:rsidR="00DE1360" w:rsidRDefault="009815AD" w:rsidP="002B6F64">
      <w:r>
        <w:t>Les cas de responsabilités de l’</w:t>
      </w:r>
      <w:r w:rsidR="008C27E4">
        <w:t>hébergeur sont restreints.</w:t>
      </w:r>
    </w:p>
    <w:p w:rsidR="00A50202" w:rsidRDefault="00841FB1" w:rsidP="002B6F64">
      <w:r>
        <w:t>Cependant, ils sont tenus de respecter la décision d’une autorité judiciaire</w:t>
      </w:r>
      <w:r w:rsidR="00E03E25">
        <w:t xml:space="preserve"> qui leur imposerait une activité ciblée et temporaire de surveillance. </w:t>
      </w:r>
    </w:p>
    <w:p w:rsidR="00275C3C" w:rsidRDefault="00414DF8" w:rsidP="002B6F64">
      <w:r>
        <w:t>Il doit respecter en matière de répression de l’apologie du crime.</w:t>
      </w:r>
    </w:p>
    <w:p w:rsidR="00414DF8" w:rsidRDefault="00414DF8" w:rsidP="002B6F64">
      <w:r>
        <w:t xml:space="preserve">En cas de référé ou </w:t>
      </w:r>
      <w:proofErr w:type="spellStart"/>
      <w:r>
        <w:t>requete</w:t>
      </w:r>
      <w:proofErr w:type="spellEnd"/>
      <w:r>
        <w:t xml:space="preserve"> d’un juge, l’hébergeur doit appliquer toute mesure </w:t>
      </w:r>
      <w:proofErr w:type="gramStart"/>
      <w:r>
        <w:t>nécessaire  pour</w:t>
      </w:r>
      <w:proofErr w:type="gramEnd"/>
      <w:r>
        <w:t xml:space="preserve"> prév</w:t>
      </w:r>
      <w:r w:rsidR="00FE0CCE">
        <w:t xml:space="preserve">enir ou faire cesser un dommage occasionné par un contenu illicite. </w:t>
      </w:r>
    </w:p>
    <w:p w:rsidR="00D7084E" w:rsidRDefault="00BF1BD3" w:rsidP="002B6F64">
      <w:r>
        <w:t>Ils sont tenus de conserver toutes les données permettant d’identifier les éditeurs.</w:t>
      </w:r>
    </w:p>
    <w:p w:rsidR="00BF1BD3" w:rsidRDefault="00BF1BD3" w:rsidP="002B6F64">
      <w:r>
        <w:t xml:space="preserve">Au civil ou pénal, </w:t>
      </w:r>
      <w:r w:rsidR="0061707E">
        <w:t xml:space="preserve">l’hébergeur peut être responsable </w:t>
      </w:r>
      <w:proofErr w:type="gramStart"/>
      <w:r w:rsidR="0061707E">
        <w:t>si il</w:t>
      </w:r>
      <w:proofErr w:type="gramEnd"/>
      <w:r w:rsidR="0061707E">
        <w:t xml:space="preserve"> exerce une autorité ou un contrôle sur l’</w:t>
      </w:r>
      <w:r w:rsidR="00B05B52">
        <w:t>éditeur.</w:t>
      </w:r>
    </w:p>
    <w:p w:rsidR="00B05B52" w:rsidRDefault="0075786A" w:rsidP="002B6F64">
      <w:r>
        <w:t>L’hébergeur est présumé</w:t>
      </w:r>
      <w:r w:rsidR="00E65AA5">
        <w:t xml:space="preserve"> avoir connaissance des faits litigieux dans le cas </w:t>
      </w:r>
      <w:proofErr w:type="spellStart"/>
      <w:r w:rsidR="00E65AA5">
        <w:t>ou</w:t>
      </w:r>
      <w:proofErr w:type="spellEnd"/>
      <w:r w:rsidR="00E65AA5">
        <w:t xml:space="preserve"> ces faits leurs ont été notifié.</w:t>
      </w:r>
    </w:p>
    <w:p w:rsidR="00067E4A" w:rsidRPr="00067E4A" w:rsidRDefault="00067E4A" w:rsidP="00067E4A">
      <w:pPr>
        <w:shd w:val="clear" w:color="auto" w:fill="FFFFFF"/>
        <w:spacing w:after="0" w:line="240" w:lineRule="auto"/>
        <w:outlineLvl w:val="1"/>
        <w:rPr>
          <w:rFonts w:ascii="Arial" w:eastAsia="Times New Roman" w:hAnsi="Arial" w:cs="Arial"/>
          <w:b/>
          <w:bCs/>
          <w:color w:val="484848"/>
          <w:sz w:val="23"/>
          <w:szCs w:val="23"/>
        </w:rPr>
      </w:pPr>
      <w:r w:rsidRPr="00067E4A">
        <w:rPr>
          <w:rFonts w:ascii="Arial" w:eastAsia="Times New Roman" w:hAnsi="Arial" w:cs="Arial"/>
          <w:b/>
          <w:bCs/>
          <w:color w:val="484848"/>
          <w:sz w:val="23"/>
          <w:szCs w:val="23"/>
        </w:rPr>
        <w:t>La loi n° 2004-575 du 21 juin 2004</w:t>
      </w:r>
    </w:p>
    <w:p w:rsidR="00067E4A" w:rsidRPr="00067E4A" w:rsidRDefault="00067E4A" w:rsidP="00067E4A">
      <w:pPr>
        <w:shd w:val="clear" w:color="auto" w:fill="FFFFFF"/>
        <w:spacing w:after="150" w:line="240" w:lineRule="auto"/>
        <w:jc w:val="both"/>
        <w:rPr>
          <w:rFonts w:ascii="Arial" w:eastAsia="Times New Roman" w:hAnsi="Arial" w:cs="Arial"/>
          <w:color w:val="484848"/>
          <w:sz w:val="20"/>
          <w:szCs w:val="20"/>
        </w:rPr>
      </w:pPr>
      <w:r w:rsidRPr="00067E4A">
        <w:rPr>
          <w:rFonts w:ascii="Arial" w:eastAsia="Times New Roman" w:hAnsi="Arial" w:cs="Arial"/>
          <w:noProof/>
          <w:color w:val="484848"/>
          <w:sz w:val="20"/>
          <w:szCs w:val="20"/>
        </w:rPr>
        <w:drawing>
          <wp:inline distT="0" distB="0" distL="0" distR="0">
            <wp:extent cx="1428750" cy="1095375"/>
            <wp:effectExtent l="0" t="0" r="0" b="9525"/>
            <wp:docPr id="1" name="Image 1" descr="Nos offres ADSL et télépho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s offres ADSL et télépho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rsidR="00067E4A" w:rsidRPr="00067E4A" w:rsidRDefault="00067E4A" w:rsidP="00067E4A">
      <w:pPr>
        <w:shd w:val="clear" w:color="auto" w:fill="FFFFFF"/>
        <w:spacing w:after="0" w:line="240" w:lineRule="auto"/>
        <w:jc w:val="both"/>
        <w:rPr>
          <w:rFonts w:ascii="Arial" w:eastAsia="Times New Roman" w:hAnsi="Arial" w:cs="Arial"/>
          <w:color w:val="484848"/>
          <w:sz w:val="20"/>
          <w:szCs w:val="20"/>
        </w:rPr>
      </w:pPr>
      <w:r w:rsidRPr="00067E4A">
        <w:rPr>
          <w:rFonts w:ascii="Arial" w:eastAsia="Times New Roman" w:hAnsi="Arial" w:cs="Arial"/>
          <w:color w:val="484848"/>
          <w:sz w:val="20"/>
          <w:szCs w:val="20"/>
        </w:rPr>
        <w:t>Elle dispose, en son article 6 que, les fournisseurs d’accès Internet et les hébergeurs ne sont </w:t>
      </w:r>
      <w:r w:rsidRPr="00067E4A">
        <w:rPr>
          <w:rFonts w:ascii="Arial" w:eastAsia="Times New Roman" w:hAnsi="Arial" w:cs="Arial"/>
          <w:b/>
          <w:bCs/>
          <w:color w:val="484848"/>
          <w:sz w:val="20"/>
          <w:szCs w:val="20"/>
        </w:rPr>
        <w:t>pas soumis à une obligation générale de surveiller les informations qu’elles transmettent ou stockent</w:t>
      </w:r>
      <w:r w:rsidRPr="00067E4A">
        <w:rPr>
          <w:rFonts w:ascii="Arial" w:eastAsia="Times New Roman" w:hAnsi="Arial" w:cs="Arial"/>
          <w:color w:val="484848"/>
          <w:sz w:val="20"/>
          <w:szCs w:val="20"/>
        </w:rPr>
        <w:t>, ni à une obligation générale de rechercher des faits ou des circonstances révélant des activités illicites.</w:t>
      </w:r>
      <w:r w:rsidRPr="00067E4A">
        <w:rPr>
          <w:rFonts w:ascii="Arial" w:eastAsia="Times New Roman" w:hAnsi="Arial" w:cs="Arial"/>
          <w:color w:val="484848"/>
          <w:sz w:val="20"/>
          <w:szCs w:val="20"/>
        </w:rPr>
        <w:br/>
      </w:r>
      <w:r w:rsidRPr="00067E4A">
        <w:rPr>
          <w:rFonts w:ascii="Arial" w:eastAsia="Times New Roman" w:hAnsi="Arial" w:cs="Arial"/>
          <w:color w:val="484848"/>
          <w:sz w:val="20"/>
          <w:szCs w:val="20"/>
        </w:rPr>
        <w:br/>
        <w:t>Les fournisseurs d’accès Internet et les hébergeurs ont l’obligation de mettre en place </w:t>
      </w:r>
      <w:r w:rsidRPr="00067E4A">
        <w:rPr>
          <w:rFonts w:ascii="Arial" w:eastAsia="Times New Roman" w:hAnsi="Arial" w:cs="Arial"/>
          <w:b/>
          <w:bCs/>
          <w:color w:val="484848"/>
          <w:sz w:val="20"/>
          <w:szCs w:val="20"/>
        </w:rPr>
        <w:t>un dispositif permettant à toute personne de porter à leur connaissance toute diffusion des infractions visées</w:t>
      </w:r>
      <w:r w:rsidRPr="00067E4A">
        <w:rPr>
          <w:rFonts w:ascii="Arial" w:eastAsia="Times New Roman" w:hAnsi="Arial" w:cs="Arial"/>
          <w:color w:val="484848"/>
          <w:sz w:val="20"/>
          <w:szCs w:val="20"/>
        </w:rPr>
        <w:t> </w:t>
      </w:r>
      <w:hyperlink r:id="rId6" w:history="1">
        <w:r w:rsidRPr="00067E4A">
          <w:rPr>
            <w:rFonts w:ascii="Arial" w:eastAsia="Times New Roman" w:hAnsi="Arial" w:cs="Arial"/>
            <w:color w:val="484848"/>
            <w:sz w:val="20"/>
            <w:szCs w:val="20"/>
            <w:u w:val="single"/>
          </w:rPr>
          <w:t>aux cinquième et huitième alinéa de l’article 24 de la loi du 29 juillet 1881 sur la liberté de presse et à l’article 227-23 du Code pénal</w:t>
        </w:r>
      </w:hyperlink>
      <w:r w:rsidRPr="00067E4A">
        <w:rPr>
          <w:rFonts w:ascii="Arial" w:eastAsia="Times New Roman" w:hAnsi="Arial" w:cs="Arial"/>
          <w:color w:val="484848"/>
          <w:sz w:val="20"/>
          <w:szCs w:val="20"/>
        </w:rPr>
        <w:t>.</w:t>
      </w:r>
    </w:p>
    <w:p w:rsidR="00067E4A" w:rsidRPr="00067E4A" w:rsidRDefault="00827258" w:rsidP="00067E4A">
      <w:pPr>
        <w:numPr>
          <w:ilvl w:val="0"/>
          <w:numId w:val="3"/>
        </w:numPr>
        <w:shd w:val="clear" w:color="auto" w:fill="FFFFFF"/>
        <w:spacing w:after="0" w:line="240" w:lineRule="auto"/>
        <w:ind w:left="300"/>
        <w:jc w:val="both"/>
        <w:rPr>
          <w:rFonts w:ascii="Arial" w:eastAsia="Times New Roman" w:hAnsi="Arial" w:cs="Arial"/>
          <w:color w:val="484848"/>
          <w:sz w:val="20"/>
          <w:szCs w:val="20"/>
        </w:rPr>
      </w:pPr>
      <w:r w:rsidRPr="00067E4A">
        <w:rPr>
          <w:rFonts w:ascii="Arial" w:eastAsia="Times New Roman" w:hAnsi="Arial" w:cs="Arial"/>
          <w:b/>
          <w:bCs/>
          <w:color w:val="484848"/>
          <w:sz w:val="20"/>
          <w:szCs w:val="20"/>
        </w:rPr>
        <w:t>L’apologie</w:t>
      </w:r>
      <w:r w:rsidR="00067E4A" w:rsidRPr="00067E4A">
        <w:rPr>
          <w:rFonts w:ascii="Arial" w:eastAsia="Times New Roman" w:hAnsi="Arial" w:cs="Arial"/>
          <w:b/>
          <w:bCs/>
          <w:color w:val="484848"/>
          <w:sz w:val="20"/>
          <w:szCs w:val="20"/>
        </w:rPr>
        <w:t xml:space="preserve"> des crimes contre l’humanité, des crimes de guerre ou des crimes et délits de collaboration avec l’ennemi,</w:t>
      </w:r>
    </w:p>
    <w:p w:rsidR="00067E4A" w:rsidRPr="00067E4A" w:rsidRDefault="00067E4A" w:rsidP="00067E4A">
      <w:pPr>
        <w:numPr>
          <w:ilvl w:val="0"/>
          <w:numId w:val="3"/>
        </w:numPr>
        <w:shd w:val="clear" w:color="auto" w:fill="FFFFFF"/>
        <w:spacing w:after="0" w:line="240" w:lineRule="auto"/>
        <w:ind w:left="300"/>
        <w:jc w:val="both"/>
        <w:rPr>
          <w:rFonts w:ascii="Arial" w:eastAsia="Times New Roman" w:hAnsi="Arial" w:cs="Arial"/>
          <w:color w:val="484848"/>
          <w:sz w:val="20"/>
          <w:szCs w:val="20"/>
        </w:rPr>
      </w:pPr>
      <w:proofErr w:type="gramStart"/>
      <w:r w:rsidRPr="00067E4A">
        <w:rPr>
          <w:rFonts w:ascii="Arial" w:eastAsia="Times New Roman" w:hAnsi="Arial" w:cs="Arial"/>
          <w:b/>
          <w:bCs/>
          <w:color w:val="484848"/>
          <w:sz w:val="20"/>
          <w:szCs w:val="20"/>
        </w:rPr>
        <w:t>l’incitation</w:t>
      </w:r>
      <w:proofErr w:type="gramEnd"/>
      <w:r w:rsidRPr="00067E4A">
        <w:rPr>
          <w:rFonts w:ascii="Arial" w:eastAsia="Times New Roman" w:hAnsi="Arial" w:cs="Arial"/>
          <w:b/>
          <w:bCs/>
          <w:color w:val="484848"/>
          <w:sz w:val="20"/>
          <w:szCs w:val="20"/>
        </w:rPr>
        <w:t xml:space="preserve"> à la discrimination, à la haine ou à la violence raciale,</w:t>
      </w:r>
    </w:p>
    <w:p w:rsidR="00067E4A" w:rsidRPr="00067E4A" w:rsidRDefault="00067E4A" w:rsidP="00067E4A">
      <w:pPr>
        <w:numPr>
          <w:ilvl w:val="0"/>
          <w:numId w:val="3"/>
        </w:numPr>
        <w:shd w:val="clear" w:color="auto" w:fill="FFFFFF"/>
        <w:spacing w:after="0" w:line="240" w:lineRule="auto"/>
        <w:ind w:left="300"/>
        <w:jc w:val="both"/>
        <w:rPr>
          <w:rFonts w:ascii="Arial" w:eastAsia="Times New Roman" w:hAnsi="Arial" w:cs="Arial"/>
          <w:color w:val="484848"/>
          <w:sz w:val="20"/>
          <w:szCs w:val="20"/>
        </w:rPr>
      </w:pPr>
      <w:proofErr w:type="gramStart"/>
      <w:r w:rsidRPr="00067E4A">
        <w:rPr>
          <w:rFonts w:ascii="Arial" w:eastAsia="Times New Roman" w:hAnsi="Arial" w:cs="Arial"/>
          <w:b/>
          <w:bCs/>
          <w:color w:val="484848"/>
          <w:sz w:val="20"/>
          <w:szCs w:val="20"/>
        </w:rPr>
        <w:t>la</w:t>
      </w:r>
      <w:proofErr w:type="gramEnd"/>
      <w:r w:rsidRPr="00067E4A">
        <w:rPr>
          <w:rFonts w:ascii="Arial" w:eastAsia="Times New Roman" w:hAnsi="Arial" w:cs="Arial"/>
          <w:b/>
          <w:bCs/>
          <w:color w:val="484848"/>
          <w:sz w:val="20"/>
          <w:szCs w:val="20"/>
        </w:rPr>
        <w:t xml:space="preserve"> pornographie enfantine,</w:t>
      </w:r>
    </w:p>
    <w:p w:rsidR="00067E4A" w:rsidRPr="00067E4A" w:rsidRDefault="00067E4A" w:rsidP="00067E4A">
      <w:pPr>
        <w:numPr>
          <w:ilvl w:val="0"/>
          <w:numId w:val="3"/>
        </w:numPr>
        <w:shd w:val="clear" w:color="auto" w:fill="FFFFFF"/>
        <w:spacing w:after="0" w:line="240" w:lineRule="auto"/>
        <w:ind w:left="300"/>
        <w:jc w:val="both"/>
        <w:rPr>
          <w:rFonts w:ascii="Arial" w:eastAsia="Times New Roman" w:hAnsi="Arial" w:cs="Arial"/>
          <w:color w:val="484848"/>
          <w:sz w:val="20"/>
          <w:szCs w:val="20"/>
        </w:rPr>
      </w:pPr>
      <w:proofErr w:type="gramStart"/>
      <w:r w:rsidRPr="00067E4A">
        <w:rPr>
          <w:rFonts w:ascii="Arial" w:eastAsia="Times New Roman" w:hAnsi="Arial" w:cs="Arial"/>
          <w:b/>
          <w:bCs/>
          <w:color w:val="484848"/>
          <w:sz w:val="20"/>
          <w:szCs w:val="20"/>
        </w:rPr>
        <w:t>un</w:t>
      </w:r>
      <w:proofErr w:type="gramEnd"/>
      <w:r w:rsidRPr="00067E4A">
        <w:rPr>
          <w:rFonts w:ascii="Arial" w:eastAsia="Times New Roman" w:hAnsi="Arial" w:cs="Arial"/>
          <w:b/>
          <w:bCs/>
          <w:color w:val="484848"/>
          <w:sz w:val="20"/>
          <w:szCs w:val="20"/>
        </w:rPr>
        <w:t xml:space="preserve"> message à caractère violent ou pornographique ou de nature à porter gravement atteinte à la dignité humaine, lorsque ce message est susceptible d’être vu ou perçu par un mineur.</w:t>
      </w:r>
    </w:p>
    <w:p w:rsidR="00067E4A" w:rsidRPr="00067E4A" w:rsidRDefault="00067E4A" w:rsidP="00067E4A">
      <w:pPr>
        <w:shd w:val="clear" w:color="auto" w:fill="FFFFFF"/>
        <w:spacing w:after="0" w:line="240" w:lineRule="auto"/>
        <w:jc w:val="both"/>
        <w:rPr>
          <w:rFonts w:ascii="Arial" w:eastAsia="Times New Roman" w:hAnsi="Arial" w:cs="Arial"/>
          <w:color w:val="484848"/>
          <w:sz w:val="20"/>
          <w:szCs w:val="20"/>
        </w:rPr>
      </w:pPr>
      <w:r w:rsidRPr="00067E4A">
        <w:rPr>
          <w:rFonts w:ascii="Arial" w:eastAsia="Times New Roman" w:hAnsi="Arial" w:cs="Arial"/>
          <w:b/>
          <w:bCs/>
          <w:color w:val="484848"/>
          <w:sz w:val="20"/>
          <w:szCs w:val="20"/>
        </w:rPr>
        <w:t>Cette dénonciation doit être effectuée selon la procédure établie ci-dessous.</w:t>
      </w:r>
      <w:r w:rsidRPr="00067E4A">
        <w:rPr>
          <w:rFonts w:ascii="Arial" w:eastAsia="Times New Roman" w:hAnsi="Arial" w:cs="Arial"/>
          <w:color w:val="484848"/>
          <w:sz w:val="20"/>
          <w:szCs w:val="20"/>
        </w:rPr>
        <w:br/>
        <w:t xml:space="preserve">A réception de votre demande, établie dans le respect des dispositions précitées, la société </w:t>
      </w:r>
      <w:proofErr w:type="spellStart"/>
      <w:r w:rsidRPr="00067E4A">
        <w:rPr>
          <w:rFonts w:ascii="Arial" w:eastAsia="Times New Roman" w:hAnsi="Arial" w:cs="Arial"/>
          <w:color w:val="484848"/>
          <w:sz w:val="20"/>
          <w:szCs w:val="20"/>
        </w:rPr>
        <w:t>Nordnet</w:t>
      </w:r>
      <w:proofErr w:type="spellEnd"/>
      <w:r w:rsidRPr="00067E4A">
        <w:rPr>
          <w:rFonts w:ascii="Arial" w:eastAsia="Times New Roman" w:hAnsi="Arial" w:cs="Arial"/>
          <w:color w:val="484848"/>
          <w:sz w:val="20"/>
          <w:szCs w:val="20"/>
        </w:rPr>
        <w:t xml:space="preserve"> informera promptement les autorités publiques compétentes de l’activité illicite dénoncée. De plus, si la société </w:t>
      </w:r>
      <w:proofErr w:type="spellStart"/>
      <w:r w:rsidRPr="00067E4A">
        <w:rPr>
          <w:rFonts w:ascii="Arial" w:eastAsia="Times New Roman" w:hAnsi="Arial" w:cs="Arial"/>
          <w:color w:val="484848"/>
          <w:sz w:val="20"/>
          <w:szCs w:val="20"/>
        </w:rPr>
        <w:t>Nordnet</w:t>
      </w:r>
      <w:proofErr w:type="spellEnd"/>
      <w:r w:rsidRPr="00067E4A">
        <w:rPr>
          <w:rFonts w:ascii="Arial" w:eastAsia="Times New Roman" w:hAnsi="Arial" w:cs="Arial"/>
          <w:color w:val="484848"/>
          <w:sz w:val="20"/>
          <w:szCs w:val="20"/>
        </w:rPr>
        <w:t xml:space="preserve"> est hébergeur du site Internet ou des pages incriminées, elle agira promptement pour retirer le contenu litigieux ou en rendre l’accès impossible.</w:t>
      </w:r>
      <w:r w:rsidRPr="00067E4A">
        <w:rPr>
          <w:rFonts w:ascii="Arial" w:eastAsia="Times New Roman" w:hAnsi="Arial" w:cs="Arial"/>
          <w:color w:val="484848"/>
          <w:sz w:val="20"/>
          <w:szCs w:val="20"/>
        </w:rPr>
        <w:br/>
      </w:r>
      <w:r w:rsidRPr="00067E4A">
        <w:rPr>
          <w:rFonts w:ascii="Arial" w:eastAsia="Times New Roman" w:hAnsi="Arial" w:cs="Arial"/>
          <w:color w:val="484848"/>
          <w:sz w:val="20"/>
          <w:szCs w:val="20"/>
        </w:rPr>
        <w:br/>
      </w:r>
      <w:r w:rsidRPr="00067E4A">
        <w:rPr>
          <w:rFonts w:ascii="Arial" w:eastAsia="Times New Roman" w:hAnsi="Arial" w:cs="Arial"/>
          <w:b/>
          <w:bCs/>
          <w:color w:val="484848"/>
          <w:sz w:val="20"/>
          <w:szCs w:val="20"/>
        </w:rPr>
        <w:t xml:space="preserve">Toute dénonciation de contenu incomplète au regard de la procédure ci-dessous, ne portant pas sur les infractions susvisées, ou impliquant une interprétation de la licéité du contenu du site Internet pour laquelle </w:t>
      </w:r>
      <w:proofErr w:type="spellStart"/>
      <w:r w:rsidRPr="00067E4A">
        <w:rPr>
          <w:rFonts w:ascii="Arial" w:eastAsia="Times New Roman" w:hAnsi="Arial" w:cs="Arial"/>
          <w:b/>
          <w:bCs/>
          <w:color w:val="484848"/>
          <w:sz w:val="20"/>
          <w:szCs w:val="20"/>
        </w:rPr>
        <w:t>Nordnet</w:t>
      </w:r>
      <w:proofErr w:type="spellEnd"/>
      <w:r w:rsidRPr="00067E4A">
        <w:rPr>
          <w:rFonts w:ascii="Arial" w:eastAsia="Times New Roman" w:hAnsi="Arial" w:cs="Arial"/>
          <w:b/>
          <w:bCs/>
          <w:color w:val="484848"/>
          <w:sz w:val="20"/>
          <w:szCs w:val="20"/>
        </w:rPr>
        <w:t xml:space="preserve"> n’est pas compétente, ne pourra être prise en compte par les services de la société </w:t>
      </w:r>
      <w:proofErr w:type="spellStart"/>
      <w:r w:rsidRPr="00067E4A">
        <w:rPr>
          <w:rFonts w:ascii="Arial" w:eastAsia="Times New Roman" w:hAnsi="Arial" w:cs="Arial"/>
          <w:b/>
          <w:bCs/>
          <w:color w:val="484848"/>
          <w:sz w:val="20"/>
          <w:szCs w:val="20"/>
        </w:rPr>
        <w:t>Nordnet</w:t>
      </w:r>
      <w:proofErr w:type="spellEnd"/>
      <w:r w:rsidRPr="00067E4A">
        <w:rPr>
          <w:rFonts w:ascii="Arial" w:eastAsia="Times New Roman" w:hAnsi="Arial" w:cs="Arial"/>
          <w:b/>
          <w:bCs/>
          <w:color w:val="484848"/>
          <w:sz w:val="20"/>
          <w:szCs w:val="20"/>
        </w:rPr>
        <w:t>.</w:t>
      </w:r>
      <w:r w:rsidRPr="00067E4A">
        <w:rPr>
          <w:rFonts w:ascii="Arial" w:eastAsia="Times New Roman" w:hAnsi="Arial" w:cs="Arial"/>
          <w:color w:val="484848"/>
          <w:sz w:val="20"/>
          <w:szCs w:val="20"/>
        </w:rPr>
        <w:br/>
      </w:r>
      <w:r w:rsidRPr="00067E4A">
        <w:rPr>
          <w:rFonts w:ascii="Arial" w:eastAsia="Times New Roman" w:hAnsi="Arial" w:cs="Arial"/>
          <w:color w:val="484848"/>
          <w:sz w:val="20"/>
          <w:szCs w:val="20"/>
        </w:rPr>
        <w:br/>
        <w:t>Nous vous rappelons que l’article 6 de la loi n° 2004-575 précitée dispose également que </w:t>
      </w:r>
      <w:r w:rsidRPr="00067E4A">
        <w:rPr>
          <w:rFonts w:ascii="Arial" w:eastAsia="Times New Roman" w:hAnsi="Arial" w:cs="Arial"/>
          <w:b/>
          <w:bCs/>
          <w:color w:val="484848"/>
          <w:sz w:val="20"/>
          <w:szCs w:val="20"/>
        </w:rPr>
        <w:t xml:space="preserve">« Le fait, </w:t>
      </w:r>
      <w:r w:rsidRPr="00067E4A">
        <w:rPr>
          <w:rFonts w:ascii="Arial" w:eastAsia="Times New Roman" w:hAnsi="Arial" w:cs="Arial"/>
          <w:b/>
          <w:bCs/>
          <w:color w:val="484848"/>
          <w:sz w:val="20"/>
          <w:szCs w:val="20"/>
        </w:rPr>
        <w:lastRenderedPageBreak/>
        <w:t>pour toute personne, de présenter aux personnes un contenu ou une activité comme étant illicite dans le but d’en obtenir le retrait ou d’en faire cesser la diffusion, alors qu’elle sait cette information inexacte, est puni d’une peine d’un an d’emprisonnement et de 15 000 euros d’amende ».</w:t>
      </w:r>
    </w:p>
    <w:p w:rsidR="005400E3" w:rsidRPr="005D5D0E" w:rsidRDefault="005400E3" w:rsidP="002B6F64"/>
    <w:p w:rsidR="00EA26A7" w:rsidRDefault="00EA26A7" w:rsidP="002B6F64"/>
    <w:p w:rsidR="00827258" w:rsidRDefault="00827258" w:rsidP="00DC166A">
      <w:r>
        <w:t>C - La responsabilité du FAI</w:t>
      </w:r>
    </w:p>
    <w:p w:rsidR="008A1C77" w:rsidRDefault="008A1C77" w:rsidP="00DC166A">
      <w:r>
        <w:t xml:space="preserve">Toute personne dont l’activité est </w:t>
      </w:r>
      <w:proofErr w:type="gramStart"/>
      <w:r>
        <w:t>d’offrir  «</w:t>
      </w:r>
      <w:proofErr w:type="gramEnd"/>
      <w:r>
        <w:t> un accès à des services de communication grand public en ligne »</w:t>
      </w:r>
    </w:p>
    <w:p w:rsidR="008A1C77" w:rsidRDefault="008A1C77" w:rsidP="00DC166A">
      <w:r>
        <w:t xml:space="preserve">2 – La responsabilité </w:t>
      </w:r>
    </w:p>
    <w:p w:rsidR="008A1C77" w:rsidRDefault="008A1C77" w:rsidP="00DC166A">
      <w:r>
        <w:t xml:space="preserve">La LCEN soumet les FAI à un régime de responsabilité spécifique </w:t>
      </w:r>
      <w:proofErr w:type="spellStart"/>
      <w:r>
        <w:t>attenué</w:t>
      </w:r>
      <w:proofErr w:type="spellEnd"/>
      <w:r>
        <w:t>. L’art 9 prévoit que leur responsabilité civile ou pénale ne peut pas par principe être engagé.</w:t>
      </w:r>
    </w:p>
    <w:p w:rsidR="00840616" w:rsidRDefault="005E174A" w:rsidP="005E174A">
      <w:r>
        <w:t xml:space="preserve">La loi </w:t>
      </w:r>
      <w:proofErr w:type="spellStart"/>
      <w:r>
        <w:t>à</w:t>
      </w:r>
      <w:proofErr w:type="spellEnd"/>
      <w:r>
        <w:t xml:space="preserve"> prévu des exceptions : lorsqu’ils sont à l’origine de la dema</w:t>
      </w:r>
      <w:r w:rsidR="00840616">
        <w:t xml:space="preserve">nde de transmission litigieuse ou sil ils </w:t>
      </w:r>
      <w:proofErr w:type="spellStart"/>
      <w:r w:rsidR="00840616">
        <w:t>séléctionnent</w:t>
      </w:r>
      <w:proofErr w:type="spellEnd"/>
      <w:r w:rsidR="00840616">
        <w:t xml:space="preserve"> ou modifient les contenus (</w:t>
      </w:r>
      <w:proofErr w:type="gramStart"/>
      <w:r w:rsidR="00840616">
        <w:t>si il</w:t>
      </w:r>
      <w:proofErr w:type="gramEnd"/>
      <w:r w:rsidR="00840616">
        <w:t xml:space="preserve"> les modifient ou suppriment, il deviens responsable de la modification donc responsable).</w:t>
      </w:r>
    </w:p>
    <w:p w:rsidR="00E25B7B" w:rsidRDefault="00D77E4A" w:rsidP="005E174A">
      <w:r>
        <w:t xml:space="preserve">Les FAI sont </w:t>
      </w:r>
      <w:proofErr w:type="gramStart"/>
      <w:r>
        <w:t>responsable</w:t>
      </w:r>
      <w:proofErr w:type="gramEnd"/>
      <w:r>
        <w:t xml:space="preserve"> que si ils ont eu un </w:t>
      </w:r>
      <w:proofErr w:type="spellStart"/>
      <w:r>
        <w:t>role</w:t>
      </w:r>
      <w:proofErr w:type="spellEnd"/>
      <w:r>
        <w:t xml:space="preserve"> actif dans leur conception ou leur mise en ligne. </w:t>
      </w:r>
    </w:p>
    <w:p w:rsidR="00240F8D" w:rsidRDefault="00E25B7B" w:rsidP="005E174A">
      <w:r>
        <w:t>La loi prévoit des sanctions (75000€ d’amende et 1 an)</w:t>
      </w:r>
      <w:r w:rsidR="00240F8D">
        <w:t xml:space="preserve"> dans 2 cas : </w:t>
      </w:r>
    </w:p>
    <w:p w:rsidR="00F217BA" w:rsidRDefault="00240F8D" w:rsidP="00240F8D">
      <w:pPr>
        <w:pStyle w:val="Paragraphedeliste"/>
        <w:numPr>
          <w:ilvl w:val="0"/>
          <w:numId w:val="2"/>
        </w:numPr>
      </w:pPr>
      <w:proofErr w:type="gramStart"/>
      <w:r>
        <w:t>n’ont</w:t>
      </w:r>
      <w:proofErr w:type="gramEnd"/>
      <w:r>
        <w:t xml:space="preserve"> pas conservé les éléments permettant d’identifier</w:t>
      </w:r>
      <w:r w:rsidR="00F217BA">
        <w:t xml:space="preserve"> toute personne ayant contribué à la création de contenu illicite</w:t>
      </w:r>
    </w:p>
    <w:p w:rsidR="00CA5AC2" w:rsidRDefault="00CA5AC2" w:rsidP="00240F8D">
      <w:pPr>
        <w:pStyle w:val="Paragraphedeliste"/>
        <w:numPr>
          <w:ilvl w:val="0"/>
          <w:numId w:val="2"/>
        </w:numPr>
      </w:pPr>
      <w:proofErr w:type="gramStart"/>
      <w:r>
        <w:t>s’ils</w:t>
      </w:r>
      <w:proofErr w:type="gramEnd"/>
      <w:r>
        <w:t xml:space="preserve"> n’ont pas déférés à la demande d’une autorité judiciaire le contenu des éléments demandés. </w:t>
      </w:r>
    </w:p>
    <w:p w:rsidR="00840616" w:rsidRDefault="00DB799C" w:rsidP="00240F8D">
      <w:pPr>
        <w:pStyle w:val="Paragraphedeliste"/>
        <w:numPr>
          <w:ilvl w:val="0"/>
          <w:numId w:val="2"/>
        </w:numPr>
      </w:pPr>
      <w:r>
        <w:t>-</w:t>
      </w:r>
      <w:bookmarkStart w:id="0" w:name="_GoBack"/>
      <w:bookmarkEnd w:id="0"/>
      <w:r w:rsidR="00840616">
        <w:t xml:space="preserve"> </w:t>
      </w:r>
    </w:p>
    <w:sectPr w:rsidR="00840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F3B86"/>
    <w:multiLevelType w:val="hybridMultilevel"/>
    <w:tmpl w:val="85E069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BC203E"/>
    <w:multiLevelType w:val="hybridMultilevel"/>
    <w:tmpl w:val="B812F9CC"/>
    <w:lvl w:ilvl="0" w:tplc="2B14FB3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3C10BB"/>
    <w:multiLevelType w:val="multilevel"/>
    <w:tmpl w:val="1A2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B2"/>
    <w:rsid w:val="00011A0F"/>
    <w:rsid w:val="00067E4A"/>
    <w:rsid w:val="00144AB6"/>
    <w:rsid w:val="001623F8"/>
    <w:rsid w:val="0017658A"/>
    <w:rsid w:val="00240F8D"/>
    <w:rsid w:val="00275C3C"/>
    <w:rsid w:val="002B6F64"/>
    <w:rsid w:val="002E3DFB"/>
    <w:rsid w:val="00371410"/>
    <w:rsid w:val="0037259B"/>
    <w:rsid w:val="003B6C7A"/>
    <w:rsid w:val="00404A05"/>
    <w:rsid w:val="00414DF8"/>
    <w:rsid w:val="00443FD5"/>
    <w:rsid w:val="005177DB"/>
    <w:rsid w:val="00526A3B"/>
    <w:rsid w:val="005400E3"/>
    <w:rsid w:val="0056256D"/>
    <w:rsid w:val="00583232"/>
    <w:rsid w:val="005C6182"/>
    <w:rsid w:val="005D5D0E"/>
    <w:rsid w:val="005E174A"/>
    <w:rsid w:val="0061707E"/>
    <w:rsid w:val="006655D7"/>
    <w:rsid w:val="006A330A"/>
    <w:rsid w:val="006C0B28"/>
    <w:rsid w:val="0075786A"/>
    <w:rsid w:val="007E1C11"/>
    <w:rsid w:val="00827258"/>
    <w:rsid w:val="00840616"/>
    <w:rsid w:val="00841FB1"/>
    <w:rsid w:val="00895BBF"/>
    <w:rsid w:val="008A1C77"/>
    <w:rsid w:val="008C27E4"/>
    <w:rsid w:val="008C7FD0"/>
    <w:rsid w:val="00947887"/>
    <w:rsid w:val="00980800"/>
    <w:rsid w:val="009815AD"/>
    <w:rsid w:val="009956A2"/>
    <w:rsid w:val="009F5C4A"/>
    <w:rsid w:val="00A01078"/>
    <w:rsid w:val="00A50202"/>
    <w:rsid w:val="00AF0E65"/>
    <w:rsid w:val="00B05B52"/>
    <w:rsid w:val="00B565EF"/>
    <w:rsid w:val="00BF1BD3"/>
    <w:rsid w:val="00C97CB2"/>
    <w:rsid w:val="00CA5AC2"/>
    <w:rsid w:val="00CB21CC"/>
    <w:rsid w:val="00D7084E"/>
    <w:rsid w:val="00D77E4A"/>
    <w:rsid w:val="00DB799C"/>
    <w:rsid w:val="00DC166A"/>
    <w:rsid w:val="00DE1360"/>
    <w:rsid w:val="00E03E25"/>
    <w:rsid w:val="00E25B7B"/>
    <w:rsid w:val="00E478C5"/>
    <w:rsid w:val="00E65AA5"/>
    <w:rsid w:val="00EA26A7"/>
    <w:rsid w:val="00F217BA"/>
    <w:rsid w:val="00F33A34"/>
    <w:rsid w:val="00F41F46"/>
    <w:rsid w:val="00F74608"/>
    <w:rsid w:val="00F86CA1"/>
    <w:rsid w:val="00FB7883"/>
    <w:rsid w:val="00FD1AB1"/>
    <w:rsid w:val="00FE0CC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CC6F"/>
  <w15:chartTrackingRefBased/>
  <w15:docId w15:val="{81E9565E-DFB7-4D5B-88D4-548B4586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link w:val="Titre2Car"/>
    <w:uiPriority w:val="9"/>
    <w:qFormat/>
    <w:rsid w:val="00067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7CB2"/>
    <w:pPr>
      <w:ind w:left="720"/>
      <w:contextualSpacing/>
    </w:pPr>
  </w:style>
  <w:style w:type="character" w:customStyle="1" w:styleId="Titre2Car">
    <w:name w:val="Titre 2 Car"/>
    <w:basedOn w:val="Policepardfaut"/>
    <w:link w:val="Titre2"/>
    <w:uiPriority w:val="9"/>
    <w:rsid w:val="00067E4A"/>
    <w:rPr>
      <w:rFonts w:ascii="Times New Roman" w:eastAsia="Times New Roman" w:hAnsi="Times New Roman" w:cs="Times New Roman"/>
      <w:b/>
      <w:bCs/>
      <w:sz w:val="36"/>
      <w:szCs w:val="36"/>
    </w:rPr>
  </w:style>
  <w:style w:type="character" w:customStyle="1" w:styleId="apple-converted-space">
    <w:name w:val="apple-converted-space"/>
    <w:basedOn w:val="Policepardfaut"/>
    <w:rsid w:val="00067E4A"/>
  </w:style>
  <w:style w:type="character" w:styleId="lev">
    <w:name w:val="Strong"/>
    <w:basedOn w:val="Policepardfaut"/>
    <w:uiPriority w:val="22"/>
    <w:qFormat/>
    <w:rsid w:val="00067E4A"/>
    <w:rPr>
      <w:b/>
      <w:bCs/>
    </w:rPr>
  </w:style>
  <w:style w:type="character" w:styleId="Lienhypertexte">
    <w:name w:val="Hyperlink"/>
    <w:basedOn w:val="Policepardfaut"/>
    <w:uiPriority w:val="99"/>
    <w:semiHidden/>
    <w:unhideWhenUsed/>
    <w:rsid w:val="00067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22255">
      <w:bodyDiv w:val="1"/>
      <w:marLeft w:val="0"/>
      <w:marRight w:val="0"/>
      <w:marTop w:val="0"/>
      <w:marBottom w:val="0"/>
      <w:divBdr>
        <w:top w:val="none" w:sz="0" w:space="0" w:color="auto"/>
        <w:left w:val="none" w:sz="0" w:space="0" w:color="auto"/>
        <w:bottom w:val="none" w:sz="0" w:space="0" w:color="auto"/>
        <w:right w:val="none" w:sz="0" w:space="0" w:color="auto"/>
      </w:divBdr>
      <w:divsChild>
        <w:div w:id="33577245">
          <w:marLeft w:val="0"/>
          <w:marRight w:val="0"/>
          <w:marTop w:val="150"/>
          <w:marBottom w:val="0"/>
          <w:divBdr>
            <w:top w:val="none" w:sz="0" w:space="0" w:color="auto"/>
            <w:left w:val="none" w:sz="0" w:space="0" w:color="auto"/>
            <w:bottom w:val="none" w:sz="0" w:space="0" w:color="auto"/>
            <w:right w:val="none" w:sz="0" w:space="0" w:color="auto"/>
          </w:divBdr>
          <w:divsChild>
            <w:div w:id="960383388">
              <w:marLeft w:val="150"/>
              <w:marRight w:val="0"/>
              <w:marTop w:val="0"/>
              <w:marBottom w:val="150"/>
              <w:divBdr>
                <w:top w:val="none" w:sz="0" w:space="0" w:color="auto"/>
                <w:left w:val="none" w:sz="0" w:space="0" w:color="auto"/>
                <w:bottom w:val="none" w:sz="0" w:space="0" w:color="auto"/>
                <w:right w:val="none" w:sz="0" w:space="0" w:color="auto"/>
              </w:divBdr>
              <w:divsChild>
                <w:div w:id="500003666">
                  <w:marLeft w:val="0"/>
                  <w:marRight w:val="0"/>
                  <w:marTop w:val="0"/>
                  <w:marBottom w:val="0"/>
                  <w:divBdr>
                    <w:top w:val="none" w:sz="0" w:space="0" w:color="auto"/>
                    <w:left w:val="none" w:sz="0" w:space="0" w:color="auto"/>
                    <w:bottom w:val="none" w:sz="0" w:space="0" w:color="auto"/>
                    <w:right w:val="none" w:sz="0" w:space="0" w:color="auto"/>
                  </w:divBdr>
                </w:div>
              </w:divsChild>
            </w:div>
            <w:div w:id="1486437327">
              <w:marLeft w:val="0"/>
              <w:marRight w:val="0"/>
              <w:marTop w:val="150"/>
              <w:marBottom w:val="0"/>
              <w:divBdr>
                <w:top w:val="none" w:sz="0" w:space="0" w:color="auto"/>
                <w:left w:val="none" w:sz="0" w:space="0" w:color="auto"/>
                <w:bottom w:val="none" w:sz="0" w:space="0" w:color="auto"/>
                <w:right w:val="none" w:sz="0" w:space="0" w:color="auto"/>
              </w:divBdr>
              <w:divsChild>
                <w:div w:id="14513228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dnet.com/corporate/popupArticle24.php?popupName=popupIdnExtension&amp;popu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1594</Words>
  <Characters>8767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59</cp:revision>
  <dcterms:created xsi:type="dcterms:W3CDTF">2016-11-09T07:11:00Z</dcterms:created>
  <dcterms:modified xsi:type="dcterms:W3CDTF">2016-11-16T09:10:00Z</dcterms:modified>
</cp:coreProperties>
</file>