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8"/>
          <w:szCs w:val="28"/>
        </w:rPr>
        <w:t>Temps A : Une production du sud pour des clients du Nord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i/>
          <w:iCs/>
        </w:rPr>
        <w:t>La planète café : les producteurs.</w:t>
      </w:r>
    </w:p>
    <w:p>
      <w:pPr>
        <w:pStyle w:val="style0"/>
      </w:pPr>
      <w:r>
        <w:rPr/>
      </w:r>
    </w:p>
    <w:p>
      <w:pPr>
        <w:pStyle w:val="style0"/>
      </w:pPr>
      <w:r>
        <w:rPr/>
        <w:t>1) Où sont situés les principales régions productrices de café ?</w:t>
      </w:r>
    </w:p>
    <w:p>
      <w:pPr>
        <w:pStyle w:val="style0"/>
      </w:pPr>
      <w:r>
        <w:rPr/>
      </w:r>
    </w:p>
    <w:p>
      <w:pPr>
        <w:pStyle w:val="style0"/>
      </w:pPr>
      <w:r>
        <w:rPr/>
        <w:t>Les principales régions sont situés en Amérique du sud avec 3100 milliers de tonnes vendu avec l'Asie (1580) ainsi que l'Afrique subsaharienne et l’Amérique centrale (930 &amp;820)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2) Evolution de la production de café </w:t>
      </w:r>
      <w:r>
        <w:rPr/>
        <w:t>en Afrique et importance dans le total mondial ?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Avec le document 4, on apprend que </w:t>
      </w:r>
      <w:r>
        <w:rPr/>
        <w:t xml:space="preserve">la côte d'ivoire africaine à fait un bond de 246 % de ses ventes en 1 an </w:t>
      </w:r>
      <w:r>
        <w:rPr/>
        <w:t xml:space="preserve">ainsi que le cours du café au Kenya qui grimpe à 450 $ </w:t>
      </w:r>
      <w:r>
        <w:rPr/>
        <w:t>contre 421 précédemment</w:t>
      </w:r>
      <w:r>
        <w:rPr/>
        <w:t>, ce qui prouve une augmentation nette de la valeur de café et de sa valeur.</w:t>
      </w:r>
    </w:p>
    <w:p>
      <w:pPr>
        <w:pStyle w:val="style0"/>
      </w:pPr>
      <w:r>
        <w:rPr/>
      </w:r>
    </w:p>
    <w:p>
      <w:pPr>
        <w:pStyle w:val="style0"/>
      </w:pPr>
      <w:r>
        <w:rPr/>
        <w:t>3) Différences entre plantation industrielle &amp; familiale ?</w:t>
      </w:r>
    </w:p>
    <w:p>
      <w:pPr>
        <w:pStyle w:val="style0"/>
      </w:pPr>
      <w:r>
        <w:rPr/>
      </w:r>
    </w:p>
    <w:p>
      <w:pPr>
        <w:pStyle w:val="style0"/>
      </w:pPr>
      <w:r>
        <w:rPr/>
        <w:t>Les plantations industrielles s'étendent sur des centaines d'hectares dans le désert mais ne représentent que 30 % de la production mondiale tandis que les productions familiale (guatémaltèque dans le doc 3) ne sont que des petites exploitations sur -10 hectares environ pour plus de 70 % de la mondiale.</w:t>
      </w:r>
    </w:p>
    <w:p>
      <w:pPr>
        <w:pStyle w:val="style0"/>
      </w:pPr>
      <w:r>
        <w:rPr/>
      </w:r>
    </w:p>
    <w:p>
      <w:pPr>
        <w:pStyle w:val="style0"/>
      </w:pPr>
      <w:r>
        <w:rPr/>
        <w:t>4) Comparer la localisation des régions productrice</w:t>
      </w:r>
      <w:r>
        <w:rPr/>
        <w:t>s/consommatrices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Les régions productrices se situent en équateur et en Asie (pays plutôt pauvres) tandis que les grands consommateurs sont situés en Amérique </w:t>
      </w:r>
      <w:r>
        <w:rPr/>
        <w:t xml:space="preserve">(1410 milliers de tonnes) </w:t>
      </w:r>
      <w:r>
        <w:rPr/>
        <w:t xml:space="preserve">et en Europe </w:t>
      </w:r>
      <w:r>
        <w:rPr/>
        <w:t>(2740)</w:t>
      </w:r>
      <w:r>
        <w:rPr/>
        <w:t>.</w:t>
      </w:r>
    </w:p>
    <w:p>
      <w:pPr>
        <w:pStyle w:val="style0"/>
      </w:pPr>
      <w:r>
        <w:rPr/>
      </w:r>
    </w:p>
    <w:p>
      <w:pPr>
        <w:pStyle w:val="style0"/>
      </w:pPr>
      <w:r>
        <w:rPr/>
        <w:t>5)  Le prix du café est fixé à New York et à Londres, les pays développés consommateurs dirigent donc le prix des pays du sud.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6) </w:t>
      </w:r>
      <w:r>
        <w:rPr/>
        <w:t>Le classement montre l'évolution de la maîtrise des prix des pays du Nord consommateurs face aux pays du sud producteurs.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8"/>
          <w:szCs w:val="28"/>
        </w:rPr>
        <w:t>B – Producteurs, intermédiaires, consommateurs : un marché déséquilibré</w:t>
      </w:r>
    </w:p>
    <w:p>
      <w:pPr>
        <w:pStyle w:val="style0"/>
      </w:pPr>
      <w:r>
        <w:rPr/>
      </w:r>
    </w:p>
    <w:p>
      <w:pPr>
        <w:pStyle w:val="style0"/>
      </w:pPr>
      <w:r>
        <w:rPr/>
        <w:t>7) Organisation du partage de la filière entre producteurs et consommateurs ?</w:t>
      </w:r>
    </w:p>
    <w:p>
      <w:pPr>
        <w:pStyle w:val="style0"/>
      </w:pPr>
      <w:r>
        <w:rPr/>
      </w:r>
    </w:p>
    <w:p>
      <w:pPr>
        <w:pStyle w:val="style0"/>
      </w:pPr>
      <w:r>
        <w:rPr/>
        <w:t>L'organisation de ce partage se passe exclusivement à la bourse où les pays consommateurs spéculent sur le café vert ou instantané pour la plupart.</w:t>
      </w:r>
    </w:p>
    <w:p>
      <w:pPr>
        <w:pStyle w:val="style0"/>
      </w:pPr>
      <w:r>
        <w:rPr/>
      </w:r>
    </w:p>
    <w:p>
      <w:pPr>
        <w:pStyle w:val="style0"/>
      </w:pPr>
      <w:r>
        <w:rPr/>
        <w:t>8) Les intermédiaires nombreux est un phénomène dû au commerce équitable qui prend en compte tout les sous-traitants et intermédiaires locaux ainsi que les petits producteurs.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9) </w:t>
      </w:r>
      <w:r>
        <w:rPr/>
        <w:t xml:space="preserve">Sur un prix total de 1,6 euros ici, 0,15 centimes est reversé au producteur soit environ 10 % du prix total, ce qui montre qu'il est prit en compte mais </w:t>
      </w:r>
      <w:r>
        <w:rPr/>
        <w:t xml:space="preserve">encore </w:t>
      </w:r>
      <w:r>
        <w:rPr/>
        <w:t>très peu.</w:t>
      </w:r>
    </w:p>
    <w:p>
      <w:pPr>
        <w:pStyle w:val="style0"/>
      </w:pPr>
      <w:r>
        <w:rPr/>
      </w:r>
    </w:p>
    <w:p>
      <w:pPr>
        <w:pStyle w:val="style0"/>
      </w:pPr>
      <w:r>
        <w:rPr/>
        <w:t>10) Nestlé s'engage à investir dans la plantations de plants de café dans plusieurs pays afin d'éviter la pénurie et ainsi assurer sa pérennité.</w:t>
      </w:r>
    </w:p>
    <w:p>
      <w:pPr>
        <w:pStyle w:val="style0"/>
      </w:pPr>
      <w:r>
        <w:rPr/>
      </w:r>
    </w:p>
    <w:p>
      <w:pPr>
        <w:pStyle w:val="style0"/>
      </w:pPr>
      <w:r>
        <w:rPr/>
        <w:t>11) Les Starbucks sont réparties de manière assez équitable tout en favorisant quand même les pays riches et développés (ici l’Amérique du nord, l’Europe et les pays asiatiques).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12) Les pays fournisseurs de Starbucks sont le Mexique, la Colombie, le Pérou, le </w:t>
      </w:r>
      <w:r>
        <w:rPr/>
        <w:t>Yémen</w:t>
      </w:r>
      <w:r>
        <w:rPr/>
        <w:t xml:space="preserve"> et les îles indonésiennes, </w:t>
      </w:r>
      <w:r>
        <w:rPr/>
        <w:t xml:space="preserve">on en déduit que ces pays non développés sont moins chers en main </w:t>
      </w:r>
      <w:r>
        <w:rPr/>
        <w:t>d’œuvre</w:t>
      </w:r>
      <w:r>
        <w:rPr/>
        <w:t xml:space="preserve"> pour la marque américaine.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8"/>
          <w:szCs w:val="28"/>
        </w:rPr>
        <w:t>C – Les nouvelles pratiques dans le marché du café</w:t>
      </w:r>
    </w:p>
    <w:p>
      <w:pPr>
        <w:pStyle w:val="style0"/>
      </w:pPr>
      <w:r>
        <w:rPr/>
      </w:r>
    </w:p>
    <w:p>
      <w:pPr>
        <w:pStyle w:val="style0"/>
      </w:pPr>
      <w:r>
        <w:rPr/>
        <w:t>13) Les principes du commerce équitable appliqués au café est d'autant bien adapté qu'ici les intermédiaires entre producteurs et transports sont supprimés au profit d'un seul investissement.</w:t>
      </w:r>
    </w:p>
    <w:p>
      <w:pPr>
        <w:pStyle w:val="style0"/>
      </w:pPr>
      <w:r>
        <w:rPr/>
        <w:t>Ce modèle économique occupe plus de 40 % du commerce équitable global,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14) </w:t>
      </w:r>
      <w:r>
        <w:rPr/>
        <w:t>D'après le doc 13, ce sont les pays sud américains qui sont le plus concernés par le commerce efficace.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15) Les limites du commerce équitables commence là où celle d'autres paramètres entrent en jeu comme ici avec l'ONG qui se soucie plus de la biodiversité ou encore l'UTZ </w:t>
      </w:r>
      <w:r>
        <w:rPr/>
        <w:t>néerlandaise</w:t>
      </w:r>
      <w:r>
        <w:rPr/>
        <w:t xml:space="preserve"> qui se préoccupe uniquement que de réduire le cahier des charges.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16) </w:t>
      </w:r>
      <w:r>
        <w:rPr/>
        <w:t>A cause du café en dosette, le commerce équitable à du mal à prendre un réel essor et gène ainsi sa croissance.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17) La mise en scène des capsules en tant que </w:t>
      </w:r>
      <w:r>
        <w:rPr/>
        <w:t>bijoux</w:t>
      </w:r>
      <w:r>
        <w:rPr/>
        <w:t xml:space="preserve"> ici sur le doc 16 fait partie d'une </w:t>
      </w:r>
      <w:r>
        <w:rPr/>
        <w:t>stratégie</w:t>
      </w:r>
      <w:r>
        <w:rPr/>
        <w:t xml:space="preserve"> de vente des firmes.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18) </w:t>
      </w:r>
      <w:r>
        <w:rPr/>
        <w:t>Quelle semble être la stratégie de communication de Nespresso ?</w:t>
      </w:r>
    </w:p>
    <w:p>
      <w:pPr>
        <w:pStyle w:val="style0"/>
      </w:pPr>
      <w:r>
        <w:rPr/>
      </w:r>
    </w:p>
    <w:p>
      <w:pPr>
        <w:pStyle w:val="style0"/>
      </w:pPr>
      <w:r>
        <w:rPr/>
        <w:t>La communication est axé sur la promotion, la publicité avec des acteurs prestigieux afin de vendre le produit comme aussi précieux mais très accessible.</w:t>
      </w:r>
    </w:p>
    <w:p>
      <w:pPr>
        <w:pStyle w:val="style0"/>
      </w:pPr>
      <w:r>
        <w:rPr/>
      </w:r>
    </w:p>
    <w:sectPr>
      <w:headerReference r:id="rId2" w:type="default"/>
      <w:footerReference r:id="rId3" w:type="default"/>
      <w:type w:val="nextPage"/>
      <w:pgSz w:h="16838" w:w="11906"/>
      <w:pgMar w:bottom="1693" w:footer="1134" w:gutter="0" w:header="420" w:left="1134" w:right="1134" w:top="2177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2"/>
      <w:jc w:val="right"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jc w:val="right"/>
    </w:pPr>
    <w:r>
      <w:rPr/>
    </w:r>
  </w:p>
  <w:p>
    <w:pPr>
      <w:pStyle w:val="style0"/>
      <w:jc w:val="right"/>
    </w:pPr>
    <w:r>
      <w:rPr>
        <w:rFonts w:ascii="Capture it" w:hAnsi="Capture it"/>
        <w:sz w:val="30"/>
        <w:szCs w:val="30"/>
      </w:rPr>
      <w:t xml:space="preserve">Le café,  </w:t>
    </w:r>
  </w:p>
  <w:p>
    <w:pPr>
      <w:pStyle w:val="style0"/>
      <w:jc w:val="right"/>
    </w:pPr>
    <w:r>
      <w:rPr>
        <w:rFonts w:ascii="Capture it" w:hAnsi="Capture it"/>
        <w:sz w:val="30"/>
        <w:szCs w:val="30"/>
      </w:rPr>
      <w:t xml:space="preserve">un grand marché mondial 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 w:val="false"/>
      <w:tabs/>
      <w:suppressAutoHyphens w:val="true"/>
      <w:kinsoku w:val="true"/>
      <w:overflowPunct w:val="true"/>
      <w:autoSpaceDE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fr-FR"/>
    </w:rPr>
  </w:style>
  <w:style w:styleId="style15" w:type="paragraph">
    <w:name w:val="Titre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Corps de texte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e"/>
    <w:basedOn w:val="style16"/>
    <w:next w:val="style17"/>
    <w:pPr/>
    <w:rPr>
      <w:rFonts w:cs="Mangal"/>
    </w:rPr>
  </w:style>
  <w:style w:styleId="style18" w:type="paragraph">
    <w:name w:val="Légende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  <w:style w:styleId="style20" w:type="paragraph">
    <w:name w:val="En-tête"/>
    <w:basedOn w:val="style0"/>
    <w:next w:val="style20"/>
    <w:pPr>
      <w:suppressLineNumbers/>
      <w:tabs>
        <w:tab w:leader="none" w:pos="4819" w:val="center"/>
        <w:tab w:leader="none" w:pos="9638" w:val="right"/>
      </w:tabs>
    </w:pPr>
    <w:rPr/>
  </w:style>
  <w:style w:styleId="style21" w:type="paragraph">
    <w:name w:val="Contenu du cadre"/>
    <w:basedOn w:val="style16"/>
    <w:next w:val="style21"/>
    <w:pPr/>
    <w:rPr/>
  </w:style>
  <w:style w:styleId="style22" w:type="paragraph">
    <w:name w:val="Pied de page"/>
    <w:basedOn w:val="style0"/>
    <w:next w:val="style22"/>
    <w:pPr>
      <w:suppressLineNumbers/>
      <w:tabs>
        <w:tab w:leader="none" w:pos="4819" w:val="center"/>
        <w:tab w:leader="none" w:pos="9638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2936</TotalTime>
  <Application>LibreOffice/3.6$Windows_x86 LibreOffice_project/5b93205-6e6b3fc-7830f6d-c08ad66-1d9bf4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2013-02-07T19:09:56.84Z</dcterms:created>
  <cp:lastModifiedBy>Michaël Lebeau</cp:lastModifiedBy>
  <dcterms:modified xsi:type="dcterms:W3CDTF">2013-02-07T23:31:05.61Z</dcterms:modified>
  <cp:revision>6</cp:revision>
</cp:coreProperties>
</file>