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CSTP – GRAPH LIFECYCLE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FIG. 4 – Cumulative Root Chaining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Epoch i Root (230) --hash--&gt; Chain Value (240_i)</w:t>
        <w:br/>
        <w:t xml:space="preserve">                                                              |</w:t>
        <w:br/>
        <w:t>Epoch i+1 Root (230) --hash--&gt; Chain Value (240_i+1)</w:t>
        <w:br/>
        <w:t xml:space="preserve">                                                               |</w:t>
        <w:br/>
        <w:t>Epoch i+2 Root (230) --hash--&gt; Chain Value (240_i+2)</w:t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LibreOffice/25.8.1.1$Windows_X86_64 LibreOffice_project/54047653041915e595ad4e45cccea684809c77b5</Application>
  <AppVersion>15.0000</AppVersion>
  <Pages>1</Pages>
  <Words>41</Words>
  <Characters>181</Characters>
  <CharactersWithSpaces>340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2025-09-21T22:10:44Z</dcterms:created>
  <dc:creator/>
  <dc:description/>
  <dc:language>en-US</dc:language>
  <cp:lastModifiedBy/>
  <dcterms:modified xsi:type="dcterms:W3CDTF">2025-09-21T22:17:19Z</dcterms:modified>
  <cp:revision>5</cp:revision>
  <dc:subject/>
  <dc:title/>
</cp:coreProperties>
</file>