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rFonts w:ascii="Times New Roman" w:hAnsi="Times New Roman"/>
          <w:b/>
          <w:bCs/>
          <w:sz w:val="24"/>
          <w:szCs w:val="24"/>
        </w:rPr>
      </w:pPr>
      <w:r>
        <w:rPr>
          <w:rFonts w:ascii="Times New Roman" w:hAnsi="Times New Roman"/>
          <w:b/>
          <w:bCs/>
          <w:sz w:val="24"/>
          <w:szCs w:val="24"/>
        </w:rPr>
        <w:t>CSTP – GRAPH LIFECYCLE</w:t>
      </w:r>
    </w:p>
    <w:p>
      <w:pPr>
        <w:pStyle w:val="BodyText"/>
        <w:bidi w:val="0"/>
        <w:jc w:val="start"/>
        <w:rPr>
          <w:rFonts w:ascii="Times New Roman" w:hAnsi="Times New Roman"/>
          <w:b/>
          <w:bCs/>
          <w:sz w:val="24"/>
          <w:szCs w:val="24"/>
        </w:rPr>
      </w:pPr>
      <w:r>
        <w:rPr>
          <w:rFonts w:ascii="Times New Roman" w:hAnsi="Times New Roman"/>
          <w:b/>
          <w:bCs/>
          <w:sz w:val="24"/>
          <w:szCs w:val="24"/>
        </w:rPr>
        <w:t>Cross-Reference to Related Applications</w:t>
      </w:r>
    </w:p>
    <w:p>
      <w:pPr>
        <w:pStyle w:val="BodyText"/>
        <w:bidi w:val="0"/>
        <w:jc w:val="start"/>
        <w:rPr>
          <w:rFonts w:ascii="Times New Roman" w:hAnsi="Times New Roman"/>
          <w:sz w:val="24"/>
          <w:szCs w:val="24"/>
        </w:rPr>
      </w:pPr>
      <w:r>
        <w:rPr>
          <w:rFonts w:ascii="Times New Roman" w:hAnsi="Times New Roman"/>
          <w:b/>
          <w:bCs/>
          <w:sz w:val="24"/>
          <w:szCs w:val="24"/>
        </w:rPr>
        <w:t xml:space="preserve">[0001]  </w:t>
      </w:r>
      <w:r>
        <w:rPr>
          <w:rFonts w:ascii="Times New Roman" w:hAnsi="Times New Roman"/>
          <w:sz w:val="24"/>
          <w:szCs w:val="24"/>
        </w:rPr>
        <w:t xml:space="preserve">  This application is related to U.S. Patent Application entitled “CSTP – Core” and U.S. Patent Application entitled “CSTP – Transition State Model,” each filed concurrently herewith. The entire disclosures of the foregoing applications are incorporated herein by reference.</w:t>
      </w:r>
    </w:p>
    <w:p>
      <w:pPr>
        <w:pStyle w:val="BodyText"/>
        <w:bidi w:val="0"/>
        <w:jc w:val="start"/>
        <w:rPr>
          <w:rFonts w:ascii="Times New Roman" w:hAnsi="Times New Roman"/>
          <w:sz w:val="24"/>
          <w:szCs w:val="24"/>
        </w:rPr>
      </w:pPr>
      <w:r>
        <w:rPr>
          <w:rFonts w:ascii="Times New Roman" w:hAnsi="Times New Roman"/>
          <w:b/>
          <w:bCs/>
          <w:sz w:val="24"/>
          <w:szCs w:val="24"/>
        </w:rPr>
        <w:t xml:space="preserve">[0002] </w:t>
      </w:r>
      <w:r>
        <w:rPr>
          <w:rFonts w:ascii="Times New Roman" w:hAnsi="Times New Roman"/>
          <w:sz w:val="24"/>
          <w:szCs w:val="24"/>
        </w:rPr>
        <w:t xml:space="preserve">   As used herein, “CSTP” refers to Cryptographic State Transition Proofs, a family of systems and methods for representing digital asset lifecycle events as cryptographically verifiable states. The present application describes the Graph Lifecycle, which extends CSTP to multi-asset and relational contexts by encoding lifecycle dependencies as graph structures.</w:t>
      </w:r>
    </w:p>
    <w:p>
      <w:pPr>
        <w:pStyle w:val="BodyText"/>
        <w:bidi w:val="0"/>
        <w:jc w:val="start"/>
        <w:rPr>
          <w:rFonts w:ascii="Times New Roman" w:hAnsi="Times New Roman"/>
          <w:sz w:val="24"/>
          <w:szCs w:val="24"/>
        </w:rPr>
      </w:pPr>
      <w:r>
        <w:rPr>
          <w:rFonts w:ascii="Times New Roman" w:hAnsi="Times New Roman"/>
          <w:sz w:val="24"/>
          <w:szCs w:val="24"/>
        </w:rPr>
      </w:r>
    </w:p>
    <w:p>
      <w:pPr>
        <w:pStyle w:val="BodyText"/>
        <w:bidi w:val="0"/>
        <w:jc w:val="start"/>
        <w:rPr>
          <w:rFonts w:ascii="Times New Roman" w:hAnsi="Times New Roman"/>
          <w:b/>
          <w:bCs/>
          <w:smallCaps/>
          <w:sz w:val="24"/>
          <w:szCs w:val="24"/>
        </w:rPr>
      </w:pPr>
      <w:r>
        <w:rPr>
          <w:rFonts w:ascii="Times New Roman" w:hAnsi="Times New Roman"/>
          <w:b/>
          <w:bCs/>
          <w:smallCaps/>
          <w:sz w:val="24"/>
          <w:szCs w:val="24"/>
        </w:rPr>
        <w:t>Field of the Invention</w:t>
      </w:r>
    </w:p>
    <w:p>
      <w:pPr>
        <w:pStyle w:val="BodyText"/>
        <w:bidi w:val="0"/>
        <w:jc w:val="start"/>
        <w:rPr>
          <w:rFonts w:ascii="Times New Roman" w:hAnsi="Times New Roman"/>
          <w:sz w:val="24"/>
          <w:szCs w:val="24"/>
        </w:rPr>
      </w:pPr>
      <w:r>
        <w:rPr>
          <w:rFonts w:ascii="Times New Roman" w:hAnsi="Times New Roman"/>
          <w:b/>
          <w:bCs/>
          <w:sz w:val="24"/>
          <w:szCs w:val="24"/>
        </w:rPr>
        <w:t xml:space="preserve">[0003]  </w:t>
      </w:r>
      <w:r>
        <w:rPr>
          <w:rFonts w:ascii="Times New Roman" w:hAnsi="Times New Roman"/>
          <w:sz w:val="24"/>
          <w:szCs w:val="24"/>
        </w:rPr>
        <w:t xml:space="preserve">  </w:t>
      </w:r>
      <w:r>
        <w:rPr>
          <w:rFonts w:ascii="Times New Roman" w:hAnsi="Times New Roman"/>
          <w:sz w:val="24"/>
          <w:szCs w:val="24"/>
        </w:rPr>
        <w:t>The present invention relates generally to computer security and data governance, and more particularly to cryptographic techniques for proving composable lifecycles of interrelated digital assets.</w:t>
      </w:r>
    </w:p>
    <w:p>
      <w:pPr>
        <w:pStyle w:val="BodyText"/>
        <w:bidi w:val="0"/>
        <w:jc w:val="start"/>
        <w:rPr>
          <w:rFonts w:ascii="Times New Roman" w:hAnsi="Times New Roman"/>
          <w:sz w:val="24"/>
          <w:szCs w:val="24"/>
        </w:rPr>
      </w:pPr>
      <w:r>
        <w:rPr>
          <w:rFonts w:ascii="Times New Roman" w:hAnsi="Times New Roman"/>
          <w:sz w:val="24"/>
          <w:szCs w:val="24"/>
        </w:rPr>
      </w:r>
    </w:p>
    <w:p>
      <w:pPr>
        <w:pStyle w:val="BodyText"/>
        <w:bidi w:val="0"/>
        <w:jc w:val="start"/>
        <w:rPr>
          <w:rFonts w:ascii="Times New Roman" w:hAnsi="Times New Roman"/>
          <w:b/>
          <w:bCs/>
          <w:smallCaps/>
          <w:sz w:val="24"/>
          <w:szCs w:val="24"/>
        </w:rPr>
      </w:pPr>
      <w:r>
        <w:rPr>
          <w:rFonts w:ascii="Times New Roman" w:hAnsi="Times New Roman"/>
          <w:b/>
          <w:bCs/>
          <w:smallCaps/>
          <w:sz w:val="24"/>
          <w:szCs w:val="24"/>
        </w:rPr>
        <w:t>Background</w:t>
      </w:r>
    </w:p>
    <w:p>
      <w:pPr>
        <w:pStyle w:val="BodyText"/>
        <w:bidi w:val="0"/>
        <w:jc w:val="start"/>
        <w:rPr>
          <w:rFonts w:ascii="Times New Roman" w:hAnsi="Times New Roman"/>
          <w:sz w:val="24"/>
          <w:szCs w:val="24"/>
        </w:rPr>
      </w:pPr>
      <w:r>
        <w:rPr>
          <w:rFonts w:ascii="Times New Roman" w:hAnsi="Times New Roman"/>
          <w:b/>
          <w:bCs/>
          <w:sz w:val="24"/>
          <w:szCs w:val="24"/>
        </w:rPr>
        <w:t>[000</w:t>
      </w:r>
      <w:r>
        <w:rPr>
          <w:rFonts w:ascii="Times New Roman" w:hAnsi="Times New Roman"/>
          <w:b/>
          <w:bCs/>
          <w:sz w:val="24"/>
          <w:szCs w:val="24"/>
        </w:rPr>
        <w:t>4</w:t>
      </w:r>
      <w:r>
        <w:rPr>
          <w:rFonts w:ascii="Times New Roman" w:hAnsi="Times New Roman"/>
          <w:b/>
          <w:bCs/>
          <w:sz w:val="24"/>
          <w:szCs w:val="24"/>
        </w:rPr>
        <w:t>]</w:t>
      </w:r>
      <w:r>
        <w:rPr>
          <w:rFonts w:ascii="Times New Roman" w:hAnsi="Times New Roman"/>
          <w:sz w:val="24"/>
          <w:szCs w:val="24"/>
        </w:rPr>
        <w:t xml:space="preserve">    Conventional systems for digital asset governance and compliance are primarily designed around individual assets or isolated lifecycles. Prior art typically records events such as creation, retention, or deletion in per-asset logs or databases. These records rarely capture the dependencies between assets — for example, when the validity of one asset requires the retention of another, or when destruction of a parent record must trigger corresponding destruction of children.</w:t>
      </w:r>
    </w:p>
    <w:p>
      <w:pPr>
        <w:pStyle w:val="BodyText"/>
        <w:bidi w:val="0"/>
        <w:jc w:val="start"/>
        <w:rPr>
          <w:rFonts w:ascii="Times New Roman" w:hAnsi="Times New Roman"/>
          <w:sz w:val="24"/>
          <w:szCs w:val="24"/>
        </w:rPr>
      </w:pPr>
      <w:r>
        <w:rPr>
          <w:rFonts w:ascii="Times New Roman" w:hAnsi="Times New Roman"/>
          <w:b/>
          <w:bCs/>
          <w:sz w:val="24"/>
          <w:szCs w:val="24"/>
        </w:rPr>
        <w:t>[000</w:t>
      </w:r>
      <w:r>
        <w:rPr>
          <w:rFonts w:ascii="Times New Roman" w:hAnsi="Times New Roman"/>
          <w:b/>
          <w:bCs/>
          <w:sz w:val="24"/>
          <w:szCs w:val="24"/>
        </w:rPr>
        <w:t>5</w:t>
      </w:r>
      <w:r>
        <w:rPr>
          <w:rFonts w:ascii="Times New Roman" w:hAnsi="Times New Roman"/>
          <w:b/>
          <w:bCs/>
          <w:sz w:val="24"/>
          <w:szCs w:val="24"/>
        </w:rPr>
        <w:t xml:space="preserve">] </w:t>
      </w:r>
      <w:r>
        <w:rPr>
          <w:rFonts w:ascii="Times New Roman" w:hAnsi="Times New Roman"/>
          <w:sz w:val="24"/>
          <w:szCs w:val="24"/>
        </w:rPr>
        <w:t xml:space="preserve">  As  a result, auditors and regulators often lack cryptographic assurance that multi-asset lifecycles are consistent across dependencies. Existing approaches to lineage tracking or referential integrity are database-centric, mutable, and not suitable for external verification. Logs may be tampered with, relational links may be broken, and lifecycle obligations across jurisdictions may diverge without detection.</w:t>
      </w:r>
    </w:p>
    <w:p>
      <w:pPr>
        <w:pStyle w:val="BodyText"/>
        <w:bidi w:val="0"/>
        <w:jc w:val="start"/>
        <w:rPr>
          <w:rFonts w:ascii="Times New Roman" w:hAnsi="Times New Roman"/>
          <w:sz w:val="24"/>
          <w:szCs w:val="24"/>
        </w:rPr>
      </w:pPr>
      <w:r>
        <w:rPr>
          <w:rFonts w:ascii="Times New Roman" w:hAnsi="Times New Roman"/>
          <w:b/>
          <w:bCs/>
          <w:sz w:val="24"/>
          <w:szCs w:val="24"/>
        </w:rPr>
        <w:t>[000</w:t>
      </w:r>
      <w:r>
        <w:rPr>
          <w:rFonts w:ascii="Times New Roman" w:hAnsi="Times New Roman"/>
          <w:b/>
          <w:bCs/>
          <w:sz w:val="24"/>
          <w:szCs w:val="24"/>
        </w:rPr>
        <w:t>6</w:t>
      </w:r>
      <w:r>
        <w:rPr>
          <w:rFonts w:ascii="Times New Roman" w:hAnsi="Times New Roman"/>
          <w:b/>
          <w:bCs/>
          <w:sz w:val="24"/>
          <w:szCs w:val="24"/>
        </w:rPr>
        <w:t xml:space="preserve">] </w:t>
      </w:r>
      <w:r>
        <w:rPr>
          <w:rFonts w:ascii="Times New Roman" w:hAnsi="Times New Roman"/>
          <w:sz w:val="24"/>
          <w:szCs w:val="24"/>
        </w:rPr>
        <w:t xml:space="preserve">   Moreover, prior art lifecycle systems are state-centric, proving the condition of assets in isolation. They do not provide a composable structure that captures the interrelated transitions of multiple assets over time. This omission complicates compliance with mandates that apply to datasets as a whole — such as requirements for coordinated erasure under privacy regulations, chain-of-custody in evidentiary contexts, or dependency management in safety-critical control systems.</w:t>
      </w:r>
    </w:p>
    <w:p>
      <w:pPr>
        <w:pStyle w:val="BodyText"/>
        <w:bidi w:val="0"/>
        <w:jc w:val="start"/>
        <w:rPr>
          <w:rFonts w:ascii="Times New Roman" w:hAnsi="Times New Roman"/>
          <w:sz w:val="24"/>
          <w:szCs w:val="24"/>
        </w:rPr>
      </w:pPr>
      <w:r>
        <w:rPr>
          <w:rFonts w:ascii="Times New Roman" w:hAnsi="Times New Roman"/>
          <w:sz w:val="24"/>
          <w:szCs w:val="24"/>
        </w:rPr>
      </w:r>
    </w:p>
    <w:p>
      <w:pPr>
        <w:pStyle w:val="BodyText"/>
        <w:bidi w:val="0"/>
        <w:jc w:val="start"/>
        <w:rPr>
          <w:rFonts w:ascii="Times New Roman" w:hAnsi="Times New Roman"/>
          <w:sz w:val="24"/>
          <w:szCs w:val="24"/>
        </w:rPr>
      </w:pPr>
      <w:r>
        <w:rPr>
          <w:rFonts w:ascii="Times New Roman" w:hAnsi="Times New Roman"/>
          <w:sz w:val="24"/>
          <w:szCs w:val="24"/>
        </w:rPr>
      </w:r>
    </w:p>
    <w:p>
      <w:pPr>
        <w:pStyle w:val="BodyText"/>
        <w:bidi w:val="0"/>
        <w:jc w:val="start"/>
        <w:rPr>
          <w:rFonts w:ascii="Times New Roman" w:hAnsi="Times New Roman"/>
          <w:b/>
          <w:bCs/>
          <w:smallCaps/>
          <w:sz w:val="24"/>
          <w:szCs w:val="24"/>
        </w:rPr>
      </w:pPr>
      <w:r>
        <w:rPr>
          <w:rFonts w:ascii="Times New Roman" w:hAnsi="Times New Roman"/>
          <w:b/>
          <w:bCs/>
          <w:smallCaps/>
          <w:sz w:val="24"/>
          <w:szCs w:val="24"/>
        </w:rPr>
        <w:t>Summary of the Invention</w:t>
      </w:r>
    </w:p>
    <w:p>
      <w:pPr>
        <w:pStyle w:val="BodyText"/>
        <w:bidi w:val="0"/>
        <w:jc w:val="start"/>
        <w:rPr>
          <w:rFonts w:ascii="Times New Roman" w:hAnsi="Times New Roman"/>
          <w:sz w:val="24"/>
          <w:szCs w:val="24"/>
        </w:rPr>
      </w:pPr>
      <w:r>
        <w:rPr>
          <w:rFonts w:ascii="Times New Roman" w:hAnsi="Times New Roman"/>
          <w:b/>
          <w:bCs/>
          <w:sz w:val="24"/>
          <w:szCs w:val="24"/>
        </w:rPr>
        <w:t>[000</w:t>
      </w:r>
      <w:r>
        <w:rPr>
          <w:rFonts w:ascii="Times New Roman" w:hAnsi="Times New Roman"/>
          <w:b/>
          <w:bCs/>
          <w:sz w:val="24"/>
          <w:szCs w:val="24"/>
        </w:rPr>
        <w:t>7</w:t>
      </w:r>
      <w:r>
        <w:rPr>
          <w:rFonts w:ascii="Times New Roman" w:hAnsi="Times New Roman"/>
          <w:b/>
          <w:bCs/>
          <w:sz w:val="24"/>
          <w:szCs w:val="24"/>
        </w:rPr>
        <w:t xml:space="preserve">] </w:t>
      </w:r>
      <w:r>
        <w:rPr>
          <w:rFonts w:ascii="Times New Roman" w:hAnsi="Times New Roman"/>
          <w:sz w:val="24"/>
          <w:szCs w:val="24"/>
        </w:rPr>
        <w:t xml:space="preserve">   The present invention addresses the foregoing deficiencies by introducing a graph-based lifecycle model in which interrelated digital assets are represented as nodes, and lifecycle transitions are represented as edges. Instead of proving lifecycles of assets in isolation, the invention constructs a cryptographically verifiable graph that encodes dependencies among multiple assets.</w:t>
      </w:r>
    </w:p>
    <w:p>
      <w:pPr>
        <w:pStyle w:val="BodyText"/>
        <w:bidi w:val="0"/>
        <w:jc w:val="start"/>
        <w:rPr>
          <w:rFonts w:ascii="Times New Roman" w:hAnsi="Times New Roman"/>
          <w:sz w:val="24"/>
          <w:szCs w:val="24"/>
        </w:rPr>
      </w:pPr>
      <w:r>
        <w:rPr>
          <w:rFonts w:ascii="Times New Roman" w:hAnsi="Times New Roman"/>
          <w:b/>
          <w:bCs/>
          <w:sz w:val="24"/>
          <w:szCs w:val="24"/>
        </w:rPr>
        <w:t>[000</w:t>
      </w:r>
      <w:r>
        <w:rPr>
          <w:rFonts w:ascii="Times New Roman" w:hAnsi="Times New Roman"/>
          <w:b/>
          <w:bCs/>
          <w:sz w:val="24"/>
          <w:szCs w:val="24"/>
        </w:rPr>
        <w:t>8</w:t>
      </w:r>
      <w:r>
        <w:rPr>
          <w:rFonts w:ascii="Times New Roman" w:hAnsi="Times New Roman"/>
          <w:b/>
          <w:bCs/>
          <w:sz w:val="24"/>
          <w:szCs w:val="24"/>
        </w:rPr>
        <w:t xml:space="preserve">]   </w:t>
      </w:r>
      <w:r>
        <w:rPr>
          <w:rFonts w:ascii="Times New Roman" w:hAnsi="Times New Roman"/>
          <w:sz w:val="24"/>
          <w:szCs w:val="24"/>
        </w:rPr>
        <w:t xml:space="preserve"> Each node in the graph corresponds to a transition-state for a particular asset at a particular epoch, and each edge encodes a dependency relation such as parent–child, predecessor–successor, or jurisdictional linkage. Commitments to node–edge pairs are inserted into Merkle accumulators, chained forward through cumulative roots, and anchored for independent verification.</w:t>
      </w:r>
    </w:p>
    <w:p>
      <w:pPr>
        <w:pStyle w:val="BodyText"/>
        <w:bidi w:val="0"/>
        <w:jc w:val="start"/>
        <w:rPr>
          <w:rFonts w:ascii="Times New Roman" w:hAnsi="Times New Roman"/>
          <w:sz w:val="24"/>
          <w:szCs w:val="24"/>
        </w:rPr>
      </w:pPr>
      <w:r>
        <w:rPr>
          <w:rFonts w:ascii="Times New Roman" w:hAnsi="Times New Roman"/>
          <w:b/>
          <w:bCs/>
          <w:sz w:val="24"/>
          <w:szCs w:val="24"/>
        </w:rPr>
        <w:t>[000</w:t>
      </w:r>
      <w:r>
        <w:rPr>
          <w:rFonts w:ascii="Times New Roman" w:hAnsi="Times New Roman"/>
          <w:b/>
          <w:bCs/>
          <w:sz w:val="24"/>
          <w:szCs w:val="24"/>
        </w:rPr>
        <w:t>9</w:t>
      </w:r>
      <w:r>
        <w:rPr>
          <w:rFonts w:ascii="Times New Roman" w:hAnsi="Times New Roman"/>
          <w:b/>
          <w:bCs/>
          <w:sz w:val="24"/>
          <w:szCs w:val="24"/>
        </w:rPr>
        <w:t xml:space="preserve">]  </w:t>
      </w:r>
      <w:r>
        <w:rPr>
          <w:rFonts w:ascii="Times New Roman" w:hAnsi="Times New Roman"/>
          <w:sz w:val="24"/>
          <w:szCs w:val="24"/>
        </w:rPr>
        <w:t xml:space="preserve">  Because the lifecycle is represented as a graph of transition-states, auditors can validate not only the authenticity of individual events, but also the consistency of interdependent events across assets. For example, destruction of a parent asset can be verified to coincide with destruction of all dependent children, and migration of a dataset to a new cryptographic scheme can be shown to include all constituent records.</w:t>
      </w:r>
    </w:p>
    <w:p>
      <w:pPr>
        <w:pStyle w:val="BodyText"/>
        <w:bidi w:val="0"/>
        <w:jc w:val="start"/>
        <w:rPr>
          <w:rFonts w:ascii="Times New Roman" w:hAnsi="Times New Roman"/>
          <w:sz w:val="24"/>
          <w:szCs w:val="24"/>
        </w:rPr>
      </w:pPr>
      <w:r>
        <w:rPr>
          <w:rFonts w:ascii="Times New Roman" w:hAnsi="Times New Roman"/>
          <w:b/>
          <w:bCs/>
          <w:sz w:val="24"/>
          <w:szCs w:val="24"/>
        </w:rPr>
        <w:t>[00</w:t>
      </w:r>
      <w:r>
        <w:rPr>
          <w:rFonts w:ascii="Times New Roman" w:hAnsi="Times New Roman"/>
          <w:b/>
          <w:bCs/>
          <w:sz w:val="24"/>
          <w:szCs w:val="24"/>
        </w:rPr>
        <w:t>10</w:t>
      </w:r>
      <w:r>
        <w:rPr>
          <w:rFonts w:ascii="Times New Roman" w:hAnsi="Times New Roman"/>
          <w:b/>
          <w:bCs/>
          <w:sz w:val="24"/>
          <w:szCs w:val="24"/>
        </w:rPr>
        <w:t xml:space="preserve">]  </w:t>
      </w:r>
      <w:r>
        <w:rPr>
          <w:rFonts w:ascii="Times New Roman" w:hAnsi="Times New Roman"/>
          <w:sz w:val="24"/>
          <w:szCs w:val="24"/>
        </w:rPr>
        <w:t xml:space="preserve">  The graph lifecycle model thus enables composable proofs of multi-asset histories, aligns with regulatory requirements for coordinated erasure and dependency integrity, and provides a scalable structure for representing asset lifecycles in distributed and multi-jurisdictional environments.</w:t>
      </w:r>
    </w:p>
    <w:p>
      <w:pPr>
        <w:pStyle w:val="BodyText"/>
        <w:bidi w:val="0"/>
        <w:jc w:val="start"/>
        <w:rPr>
          <w:rFonts w:ascii="Times New Roman" w:hAnsi="Times New Roman"/>
          <w:b/>
          <w:bCs/>
          <w:smallCaps/>
          <w:sz w:val="24"/>
          <w:szCs w:val="24"/>
        </w:rPr>
      </w:pPr>
      <w:r>
        <w:rPr>
          <w:rFonts w:ascii="Times New Roman" w:hAnsi="Times New Roman"/>
          <w:b/>
          <w:bCs/>
          <w:smallCaps/>
          <w:sz w:val="24"/>
          <w:szCs w:val="24"/>
        </w:rPr>
        <w:t>Brief Description of the Drawings</w:t>
      </w:r>
    </w:p>
    <w:p>
      <w:pPr>
        <w:pStyle w:val="BodyText"/>
        <w:bidi w:val="0"/>
        <w:jc w:val="start"/>
        <w:rPr>
          <w:rFonts w:ascii="Times New Roman" w:hAnsi="Times New Roman"/>
          <w:sz w:val="24"/>
          <w:szCs w:val="24"/>
        </w:rPr>
      </w:pPr>
      <w:r>
        <w:rPr>
          <w:rFonts w:ascii="Times New Roman" w:hAnsi="Times New Roman"/>
          <w:b/>
          <w:bCs/>
          <w:sz w:val="24"/>
          <w:szCs w:val="24"/>
        </w:rPr>
        <w:t>[001</w:t>
      </w:r>
      <w:r>
        <w:rPr>
          <w:rFonts w:ascii="Times New Roman" w:hAnsi="Times New Roman"/>
          <w:b/>
          <w:bCs/>
          <w:sz w:val="24"/>
          <w:szCs w:val="24"/>
        </w:rPr>
        <w:t>1</w:t>
      </w:r>
      <w:r>
        <w:rPr>
          <w:rFonts w:ascii="Times New Roman" w:hAnsi="Times New Roman"/>
          <w:b/>
          <w:bCs/>
          <w:sz w:val="24"/>
          <w:szCs w:val="24"/>
        </w:rPr>
        <w:t xml:space="preserve">] </w:t>
      </w:r>
      <w:r>
        <w:rPr>
          <w:rFonts w:ascii="Times New Roman" w:hAnsi="Times New Roman"/>
          <w:sz w:val="24"/>
          <w:szCs w:val="24"/>
        </w:rPr>
        <w:t xml:space="preserve">   FIG. 1 is a block diagram of a system architecture for constructing and verifying graph-based lifecycles of digital assets.</w:t>
      </w:r>
    </w:p>
    <w:p>
      <w:pPr>
        <w:pStyle w:val="BodyText"/>
        <w:bidi w:val="0"/>
        <w:jc w:val="start"/>
        <w:rPr>
          <w:rFonts w:ascii="Times New Roman" w:hAnsi="Times New Roman"/>
          <w:sz w:val="24"/>
          <w:szCs w:val="24"/>
        </w:rPr>
      </w:pPr>
      <w:r>
        <w:rPr>
          <w:rFonts w:ascii="Times New Roman" w:hAnsi="Times New Roman"/>
          <w:b/>
          <w:bCs/>
          <w:sz w:val="24"/>
          <w:szCs w:val="24"/>
        </w:rPr>
        <w:t>[001</w:t>
      </w:r>
      <w:r>
        <w:rPr>
          <w:rFonts w:ascii="Times New Roman" w:hAnsi="Times New Roman"/>
          <w:b/>
          <w:bCs/>
          <w:sz w:val="24"/>
          <w:szCs w:val="24"/>
        </w:rPr>
        <w:t>2</w:t>
      </w:r>
      <w:r>
        <w:rPr>
          <w:rFonts w:ascii="Times New Roman" w:hAnsi="Times New Roman"/>
          <w:b/>
          <w:bCs/>
          <w:sz w:val="24"/>
          <w:szCs w:val="24"/>
        </w:rPr>
        <w:t xml:space="preserve">] </w:t>
      </w:r>
      <w:r>
        <w:rPr>
          <w:rFonts w:ascii="Times New Roman" w:hAnsi="Times New Roman"/>
          <w:sz w:val="24"/>
          <w:szCs w:val="24"/>
        </w:rPr>
        <w:t xml:space="preserve">   FIG. 2 is a schematic representation of a lifecycle graph, showing nodes corresponding to transition-states and edges encoding dependency relations.</w:t>
      </w:r>
    </w:p>
    <w:p>
      <w:pPr>
        <w:pStyle w:val="BodyText"/>
        <w:bidi w:val="0"/>
        <w:jc w:val="start"/>
        <w:rPr>
          <w:rFonts w:ascii="Times New Roman" w:hAnsi="Times New Roman"/>
          <w:sz w:val="24"/>
          <w:szCs w:val="24"/>
        </w:rPr>
      </w:pPr>
      <w:r>
        <w:rPr>
          <w:rFonts w:ascii="Times New Roman" w:hAnsi="Times New Roman"/>
          <w:b/>
          <w:bCs/>
          <w:sz w:val="24"/>
          <w:szCs w:val="24"/>
        </w:rPr>
        <w:t>[001</w:t>
      </w:r>
      <w:r>
        <w:rPr>
          <w:rFonts w:ascii="Times New Roman" w:hAnsi="Times New Roman"/>
          <w:b/>
          <w:bCs/>
          <w:sz w:val="24"/>
          <w:szCs w:val="24"/>
        </w:rPr>
        <w:t>3</w:t>
      </w:r>
      <w:r>
        <w:rPr>
          <w:rFonts w:ascii="Times New Roman" w:hAnsi="Times New Roman"/>
          <w:b/>
          <w:bCs/>
          <w:sz w:val="24"/>
          <w:szCs w:val="24"/>
        </w:rPr>
        <w:t xml:space="preserve">]  </w:t>
      </w:r>
      <w:r>
        <w:rPr>
          <w:rFonts w:ascii="Times New Roman" w:hAnsi="Times New Roman"/>
          <w:sz w:val="24"/>
          <w:szCs w:val="24"/>
        </w:rPr>
        <w:t xml:space="preserve">  FIG. 3 is a sequence diagram illustrating creation of a node–edge commitment and insertion into a Merkle accumulator.</w:t>
      </w:r>
    </w:p>
    <w:p>
      <w:pPr>
        <w:pStyle w:val="BodyText"/>
        <w:bidi w:val="0"/>
        <w:jc w:val="start"/>
        <w:rPr>
          <w:rFonts w:ascii="Times New Roman" w:hAnsi="Times New Roman"/>
          <w:sz w:val="24"/>
          <w:szCs w:val="24"/>
        </w:rPr>
      </w:pPr>
      <w:r>
        <w:rPr>
          <w:rFonts w:ascii="Times New Roman" w:hAnsi="Times New Roman"/>
          <w:b/>
          <w:bCs/>
          <w:sz w:val="24"/>
          <w:szCs w:val="24"/>
        </w:rPr>
        <w:t>[001</w:t>
      </w:r>
      <w:r>
        <w:rPr>
          <w:rFonts w:ascii="Times New Roman" w:hAnsi="Times New Roman"/>
          <w:b/>
          <w:bCs/>
          <w:sz w:val="24"/>
          <w:szCs w:val="24"/>
        </w:rPr>
        <w:t>4</w:t>
      </w:r>
      <w:r>
        <w:rPr>
          <w:rFonts w:ascii="Times New Roman" w:hAnsi="Times New Roman"/>
          <w:b/>
          <w:bCs/>
          <w:sz w:val="24"/>
          <w:szCs w:val="24"/>
        </w:rPr>
        <w:t xml:space="preserve">]   </w:t>
      </w:r>
      <w:r>
        <w:rPr>
          <w:rFonts w:ascii="Times New Roman" w:hAnsi="Times New Roman"/>
          <w:sz w:val="24"/>
          <w:szCs w:val="24"/>
        </w:rPr>
        <w:t xml:space="preserve"> FIG. 4 is a diagram of cumulative root chaining for graph commitments, ensuring forward integrity of lifecycle graphs across epochs.</w:t>
      </w:r>
    </w:p>
    <w:p>
      <w:pPr>
        <w:pStyle w:val="BodyText"/>
        <w:bidi w:val="0"/>
        <w:jc w:val="start"/>
        <w:rPr>
          <w:rFonts w:ascii="Times New Roman" w:hAnsi="Times New Roman"/>
          <w:sz w:val="24"/>
          <w:szCs w:val="24"/>
        </w:rPr>
      </w:pPr>
      <w:r>
        <w:rPr>
          <w:rFonts w:ascii="Times New Roman" w:hAnsi="Times New Roman"/>
          <w:b/>
          <w:bCs/>
          <w:sz w:val="24"/>
          <w:szCs w:val="24"/>
        </w:rPr>
        <w:t>[001</w:t>
      </w:r>
      <w:r>
        <w:rPr>
          <w:rFonts w:ascii="Times New Roman" w:hAnsi="Times New Roman"/>
          <w:b/>
          <w:bCs/>
          <w:sz w:val="24"/>
          <w:szCs w:val="24"/>
        </w:rPr>
        <w:t>5</w:t>
      </w:r>
      <w:r>
        <w:rPr>
          <w:rFonts w:ascii="Times New Roman" w:hAnsi="Times New Roman"/>
          <w:b/>
          <w:bCs/>
          <w:sz w:val="24"/>
          <w:szCs w:val="24"/>
        </w:rPr>
        <w:t xml:space="preserve">]   </w:t>
      </w:r>
      <w:r>
        <w:rPr>
          <w:rFonts w:ascii="Times New Roman" w:hAnsi="Times New Roman"/>
          <w:sz w:val="24"/>
          <w:szCs w:val="24"/>
        </w:rPr>
        <w:t xml:space="preserve"> FIG. 5 is a schematic of coordinated destruction in a dependency graph, showing propagation of parent destruction to child nodes.</w:t>
      </w:r>
    </w:p>
    <w:p>
      <w:pPr>
        <w:pStyle w:val="BodyText"/>
        <w:bidi w:val="0"/>
        <w:jc w:val="start"/>
        <w:rPr>
          <w:rFonts w:ascii="Times New Roman" w:hAnsi="Times New Roman"/>
          <w:sz w:val="24"/>
          <w:szCs w:val="24"/>
        </w:rPr>
      </w:pPr>
      <w:r>
        <w:rPr>
          <w:rFonts w:ascii="Times New Roman" w:hAnsi="Times New Roman"/>
          <w:b/>
          <w:bCs/>
          <w:sz w:val="24"/>
          <w:szCs w:val="24"/>
        </w:rPr>
        <w:t>[001</w:t>
      </w:r>
      <w:r>
        <w:rPr>
          <w:rFonts w:ascii="Times New Roman" w:hAnsi="Times New Roman"/>
          <w:b/>
          <w:bCs/>
          <w:sz w:val="24"/>
          <w:szCs w:val="24"/>
        </w:rPr>
        <w:t>6</w:t>
      </w:r>
      <w:r>
        <w:rPr>
          <w:rFonts w:ascii="Times New Roman" w:hAnsi="Times New Roman"/>
          <w:b/>
          <w:bCs/>
          <w:sz w:val="24"/>
          <w:szCs w:val="24"/>
        </w:rPr>
        <w:t>]</w:t>
      </w:r>
      <w:r>
        <w:rPr>
          <w:rFonts w:ascii="Times New Roman" w:hAnsi="Times New Roman"/>
          <w:sz w:val="24"/>
          <w:szCs w:val="24"/>
        </w:rPr>
        <w:t xml:space="preserve">    FIG. 6 is a schematic of coordinated migration in a dependency graph, demonstrating migration of a dataset and all dependent assets to a successor cryptographic scheme.</w:t>
      </w:r>
    </w:p>
    <w:p>
      <w:pPr>
        <w:pStyle w:val="BodyText"/>
        <w:bidi w:val="0"/>
        <w:jc w:val="start"/>
        <w:rPr>
          <w:rFonts w:ascii="Times New Roman" w:hAnsi="Times New Roman"/>
          <w:sz w:val="24"/>
          <w:szCs w:val="24"/>
        </w:rPr>
      </w:pPr>
      <w:r>
        <w:rPr>
          <w:rFonts w:ascii="Times New Roman" w:hAnsi="Times New Roman"/>
          <w:b/>
          <w:bCs/>
          <w:sz w:val="24"/>
          <w:szCs w:val="24"/>
        </w:rPr>
        <w:t>[001</w:t>
      </w:r>
      <w:r>
        <w:rPr>
          <w:rFonts w:ascii="Times New Roman" w:hAnsi="Times New Roman"/>
          <w:b/>
          <w:bCs/>
          <w:sz w:val="24"/>
          <w:szCs w:val="24"/>
        </w:rPr>
        <w:t>7</w:t>
      </w:r>
      <w:r>
        <w:rPr>
          <w:rFonts w:ascii="Times New Roman" w:hAnsi="Times New Roman"/>
          <w:b/>
          <w:bCs/>
          <w:sz w:val="24"/>
          <w:szCs w:val="24"/>
        </w:rPr>
        <w:t>]</w:t>
      </w:r>
      <w:r>
        <w:rPr>
          <w:rFonts w:ascii="Times New Roman" w:hAnsi="Times New Roman"/>
          <w:sz w:val="24"/>
          <w:szCs w:val="24"/>
        </w:rPr>
        <w:t xml:space="preserve">    FIG. 7 is a flow diagram of verifier logic for reconstructing a lifecycle graph from receipts and verifying dependency consistency without access to the underlying assets.</w:t>
      </w:r>
    </w:p>
    <w:p>
      <w:pPr>
        <w:pStyle w:val="BodyText"/>
        <w:bidi w:val="0"/>
        <w:jc w:val="start"/>
        <w:rPr>
          <w:rFonts w:ascii="Times New Roman" w:hAnsi="Times New Roman"/>
          <w:sz w:val="24"/>
          <w:szCs w:val="24"/>
        </w:rPr>
      </w:pPr>
      <w:r>
        <w:rPr>
          <w:rFonts w:ascii="Times New Roman" w:hAnsi="Times New Roman"/>
          <w:b/>
          <w:bCs/>
          <w:sz w:val="24"/>
          <w:szCs w:val="24"/>
        </w:rPr>
        <w:t>[001</w:t>
      </w:r>
      <w:r>
        <w:rPr>
          <w:rFonts w:ascii="Times New Roman" w:hAnsi="Times New Roman"/>
          <w:b/>
          <w:bCs/>
          <w:sz w:val="24"/>
          <w:szCs w:val="24"/>
        </w:rPr>
        <w:t>8</w:t>
      </w:r>
      <w:r>
        <w:rPr>
          <w:rFonts w:ascii="Times New Roman" w:hAnsi="Times New Roman"/>
          <w:b/>
          <w:bCs/>
          <w:sz w:val="24"/>
          <w:szCs w:val="24"/>
        </w:rPr>
        <w:t xml:space="preserve">] </w:t>
      </w:r>
      <w:r>
        <w:rPr>
          <w:rFonts w:ascii="Times New Roman" w:hAnsi="Times New Roman"/>
          <w:sz w:val="24"/>
          <w:szCs w:val="24"/>
        </w:rPr>
        <w:t xml:space="preserve">   FIG. 8 is a data-structure layout for a graph lifecycle receipt, showing fields for node identifiers, edge relations, commitments, and Merkle proofs.</w:t>
      </w:r>
    </w:p>
    <w:p>
      <w:pPr>
        <w:pStyle w:val="BodyText"/>
        <w:bidi w:val="0"/>
        <w:jc w:val="start"/>
        <w:rPr>
          <w:rFonts w:ascii="Times New Roman" w:hAnsi="Times New Roman"/>
          <w:sz w:val="24"/>
          <w:szCs w:val="24"/>
        </w:rPr>
      </w:pPr>
      <w:r>
        <w:rPr>
          <w:rFonts w:ascii="Times New Roman" w:hAnsi="Times New Roman"/>
          <w:b/>
          <w:bCs/>
          <w:sz w:val="24"/>
          <w:szCs w:val="24"/>
        </w:rPr>
        <w:t>[001</w:t>
      </w:r>
      <w:r>
        <w:rPr>
          <w:rFonts w:ascii="Times New Roman" w:hAnsi="Times New Roman"/>
          <w:b/>
          <w:bCs/>
          <w:sz w:val="24"/>
          <w:szCs w:val="24"/>
        </w:rPr>
        <w:t>9</w:t>
      </w:r>
      <w:r>
        <w:rPr>
          <w:rFonts w:ascii="Times New Roman" w:hAnsi="Times New Roman"/>
          <w:b/>
          <w:bCs/>
          <w:sz w:val="24"/>
          <w:szCs w:val="24"/>
        </w:rPr>
        <w:t xml:space="preserve">] </w:t>
      </w:r>
      <w:r>
        <w:rPr>
          <w:rFonts w:ascii="Times New Roman" w:hAnsi="Times New Roman"/>
          <w:sz w:val="24"/>
          <w:szCs w:val="24"/>
        </w:rPr>
        <w:t xml:space="preserve">   List of Reference Numerals</w:t>
      </w:r>
    </w:p>
    <w:p>
      <w:pPr>
        <w:pStyle w:val="BodyText"/>
        <w:bidi w:val="0"/>
        <w:jc w:val="start"/>
        <w:rPr>
          <w:rFonts w:ascii="Times New Roman" w:hAnsi="Times New Roman"/>
          <w:sz w:val="24"/>
          <w:szCs w:val="24"/>
        </w:rPr>
      </w:pPr>
      <w:r>
        <w:rPr>
          <w:rFonts w:ascii="Times New Roman" w:hAnsi="Times New Roman"/>
          <w:sz w:val="24"/>
          <w:szCs w:val="24"/>
        </w:rPr>
        <w:t>100 – Digital Asset</w:t>
      </w:r>
    </w:p>
    <w:p>
      <w:pPr>
        <w:pStyle w:val="BodyText"/>
        <w:bidi w:val="0"/>
        <w:jc w:val="start"/>
        <w:rPr>
          <w:rFonts w:ascii="Times New Roman" w:hAnsi="Times New Roman"/>
          <w:sz w:val="24"/>
          <w:szCs w:val="24"/>
        </w:rPr>
      </w:pPr>
      <w:r>
        <w:rPr>
          <w:rFonts w:ascii="Times New Roman" w:hAnsi="Times New Roman"/>
          <w:sz w:val="24"/>
          <w:szCs w:val="24"/>
        </w:rPr>
        <w:t>110 – State Transition Engine</w:t>
      </w:r>
    </w:p>
    <w:p>
      <w:pPr>
        <w:pStyle w:val="BodyText"/>
        <w:bidi w:val="0"/>
        <w:jc w:val="start"/>
        <w:rPr>
          <w:rFonts w:ascii="Times New Roman" w:hAnsi="Times New Roman"/>
          <w:sz w:val="24"/>
          <w:szCs w:val="24"/>
        </w:rPr>
      </w:pPr>
      <w:r>
        <w:rPr>
          <w:rFonts w:ascii="Times New Roman" w:hAnsi="Times New Roman"/>
          <w:sz w:val="24"/>
          <w:szCs w:val="24"/>
        </w:rPr>
        <w:t>120 – Verification Module</w:t>
      </w:r>
    </w:p>
    <w:p>
      <w:pPr>
        <w:pStyle w:val="BodyText"/>
        <w:bidi w:val="0"/>
        <w:jc w:val="start"/>
        <w:rPr>
          <w:rFonts w:ascii="Times New Roman" w:hAnsi="Times New Roman"/>
          <w:sz w:val="24"/>
          <w:szCs w:val="24"/>
        </w:rPr>
      </w:pPr>
      <w:r>
        <w:rPr>
          <w:rFonts w:ascii="Times New Roman" w:hAnsi="Times New Roman"/>
          <w:sz w:val="24"/>
          <w:szCs w:val="24"/>
        </w:rPr>
        <w:t>130 – Graph Constructor</w:t>
      </w:r>
    </w:p>
    <w:p>
      <w:pPr>
        <w:pStyle w:val="BodyText"/>
        <w:bidi w:val="0"/>
        <w:jc w:val="start"/>
        <w:rPr>
          <w:rFonts w:ascii="Times New Roman" w:hAnsi="Times New Roman"/>
          <w:sz w:val="24"/>
          <w:szCs w:val="24"/>
        </w:rPr>
      </w:pPr>
      <w:r>
        <w:rPr>
          <w:rFonts w:ascii="Times New Roman" w:hAnsi="Times New Roman"/>
          <w:sz w:val="24"/>
          <w:szCs w:val="24"/>
        </w:rPr>
        <w:t>140 – Merkle Accumulator</w:t>
      </w:r>
    </w:p>
    <w:p>
      <w:pPr>
        <w:pStyle w:val="BodyText"/>
        <w:bidi w:val="0"/>
        <w:jc w:val="start"/>
        <w:rPr>
          <w:rFonts w:ascii="Times New Roman" w:hAnsi="Times New Roman"/>
          <w:sz w:val="24"/>
          <w:szCs w:val="24"/>
        </w:rPr>
      </w:pPr>
      <w:r>
        <w:rPr>
          <w:rFonts w:ascii="Times New Roman" w:hAnsi="Times New Roman"/>
          <w:sz w:val="24"/>
          <w:szCs w:val="24"/>
        </w:rPr>
        <w:t>150 – Root-Chain Logger</w:t>
      </w:r>
    </w:p>
    <w:p>
      <w:pPr>
        <w:pStyle w:val="BodyText"/>
        <w:bidi w:val="0"/>
        <w:jc w:val="start"/>
        <w:rPr>
          <w:rFonts w:ascii="Times New Roman" w:hAnsi="Times New Roman"/>
          <w:sz w:val="24"/>
          <w:szCs w:val="24"/>
        </w:rPr>
      </w:pPr>
      <w:r>
        <w:rPr>
          <w:rFonts w:ascii="Times New Roman" w:hAnsi="Times New Roman"/>
          <w:sz w:val="24"/>
          <w:szCs w:val="24"/>
        </w:rPr>
        <w:t>160 – Anchor Interface (transparency / audit service)</w:t>
      </w:r>
    </w:p>
    <w:p>
      <w:pPr>
        <w:pStyle w:val="BodyText"/>
        <w:bidi w:val="0"/>
        <w:jc w:val="start"/>
        <w:rPr>
          <w:rFonts w:ascii="Times New Roman" w:hAnsi="Times New Roman"/>
          <w:sz w:val="24"/>
          <w:szCs w:val="24"/>
        </w:rPr>
      </w:pPr>
      <w:r>
        <w:rPr>
          <w:rFonts w:ascii="Times New Roman" w:hAnsi="Times New Roman"/>
          <w:sz w:val="24"/>
          <w:szCs w:val="24"/>
        </w:rPr>
        <w:t>170 – Policy / Regulatory Basis Hash</w:t>
      </w:r>
    </w:p>
    <w:p>
      <w:pPr>
        <w:pStyle w:val="BodyText"/>
        <w:bidi w:val="0"/>
        <w:jc w:val="start"/>
        <w:rPr>
          <w:rFonts w:ascii="Times New Roman" w:hAnsi="Times New Roman"/>
          <w:sz w:val="24"/>
          <w:szCs w:val="24"/>
        </w:rPr>
      </w:pPr>
      <w:r>
        <w:rPr>
          <w:rFonts w:ascii="Times New Roman" w:hAnsi="Times New Roman"/>
          <w:sz w:val="24"/>
          <w:szCs w:val="24"/>
        </w:rPr>
        <w:t>180 – Threshold Authorization Module</w:t>
      </w:r>
    </w:p>
    <w:p>
      <w:pPr>
        <w:pStyle w:val="BodyText"/>
        <w:bidi w:val="0"/>
        <w:jc w:val="start"/>
        <w:rPr>
          <w:rFonts w:ascii="Times New Roman" w:hAnsi="Times New Roman"/>
          <w:sz w:val="24"/>
          <w:szCs w:val="24"/>
        </w:rPr>
      </w:pPr>
      <w:r>
        <w:rPr>
          <w:rFonts w:ascii="Times New Roman" w:hAnsi="Times New Roman"/>
          <w:sz w:val="24"/>
          <w:szCs w:val="24"/>
        </w:rPr>
        <w:t>190 – Receipt Store</w:t>
      </w:r>
    </w:p>
    <w:p>
      <w:pPr>
        <w:pStyle w:val="BodyText"/>
        <w:bidi w:val="0"/>
        <w:jc w:val="start"/>
        <w:rPr>
          <w:rFonts w:ascii="Times New Roman" w:hAnsi="Times New Roman"/>
          <w:sz w:val="24"/>
          <w:szCs w:val="24"/>
        </w:rPr>
      </w:pPr>
      <w:r>
        <w:rPr>
          <w:rFonts w:ascii="Times New Roman" w:hAnsi="Times New Roman"/>
          <w:sz w:val="24"/>
          <w:szCs w:val="24"/>
        </w:rPr>
        <w:t>200 – Transition-State Node</w:t>
      </w:r>
    </w:p>
    <w:p>
      <w:pPr>
        <w:pStyle w:val="BodyText"/>
        <w:bidi w:val="0"/>
        <w:jc w:val="start"/>
        <w:rPr>
          <w:rFonts w:ascii="Times New Roman" w:hAnsi="Times New Roman"/>
          <w:sz w:val="24"/>
          <w:szCs w:val="24"/>
        </w:rPr>
      </w:pPr>
      <w:r>
        <w:rPr>
          <w:rFonts w:ascii="Times New Roman" w:hAnsi="Times New Roman"/>
          <w:sz w:val="24"/>
          <w:szCs w:val="24"/>
        </w:rPr>
        <w:t>210 – Node Commitment (asset_id ∥ epoch ∥ transition_type ∥ salt)</w:t>
      </w:r>
    </w:p>
    <w:p>
      <w:pPr>
        <w:pStyle w:val="BodyText"/>
        <w:bidi w:val="0"/>
        <w:jc w:val="start"/>
        <w:rPr>
          <w:rFonts w:ascii="Times New Roman" w:hAnsi="Times New Roman"/>
          <w:sz w:val="24"/>
          <w:szCs w:val="24"/>
        </w:rPr>
      </w:pPr>
      <w:r>
        <w:rPr>
          <w:rFonts w:ascii="Times New Roman" w:hAnsi="Times New Roman"/>
          <w:sz w:val="24"/>
          <w:szCs w:val="24"/>
        </w:rPr>
        <w:t>215 – Node Identifier</w:t>
      </w:r>
    </w:p>
    <w:p>
      <w:pPr>
        <w:pStyle w:val="BodyText"/>
        <w:bidi w:val="0"/>
        <w:jc w:val="start"/>
        <w:rPr>
          <w:rFonts w:ascii="Times New Roman" w:hAnsi="Times New Roman"/>
          <w:sz w:val="24"/>
          <w:szCs w:val="24"/>
        </w:rPr>
      </w:pPr>
      <w:r>
        <w:rPr>
          <w:rFonts w:ascii="Times New Roman" w:hAnsi="Times New Roman"/>
          <w:sz w:val="24"/>
          <w:szCs w:val="24"/>
        </w:rPr>
        <w:t>220 – Merkle Path</w:t>
      </w:r>
    </w:p>
    <w:p>
      <w:pPr>
        <w:pStyle w:val="BodyText"/>
        <w:bidi w:val="0"/>
        <w:jc w:val="start"/>
        <w:rPr>
          <w:rFonts w:ascii="Times New Roman" w:hAnsi="Times New Roman"/>
          <w:sz w:val="24"/>
          <w:szCs w:val="24"/>
        </w:rPr>
      </w:pPr>
      <w:r>
        <w:rPr>
          <w:rFonts w:ascii="Times New Roman" w:hAnsi="Times New Roman"/>
          <w:sz w:val="24"/>
          <w:szCs w:val="24"/>
        </w:rPr>
        <w:t>230 – Epoch Root</w:t>
      </w:r>
    </w:p>
    <w:p>
      <w:pPr>
        <w:pStyle w:val="BodyText"/>
        <w:bidi w:val="0"/>
        <w:jc w:val="start"/>
        <w:rPr>
          <w:rFonts w:ascii="Times New Roman" w:hAnsi="Times New Roman"/>
          <w:sz w:val="24"/>
          <w:szCs w:val="24"/>
        </w:rPr>
      </w:pPr>
      <w:r>
        <w:rPr>
          <w:rFonts w:ascii="Times New Roman" w:hAnsi="Times New Roman"/>
          <w:sz w:val="24"/>
          <w:szCs w:val="24"/>
        </w:rPr>
        <w:t>240 – Cumulative Root Chain Value</w:t>
      </w:r>
    </w:p>
    <w:p>
      <w:pPr>
        <w:pStyle w:val="BodyText"/>
        <w:bidi w:val="0"/>
        <w:jc w:val="start"/>
        <w:rPr>
          <w:rFonts w:ascii="Times New Roman" w:hAnsi="Times New Roman"/>
          <w:sz w:val="24"/>
          <w:szCs w:val="24"/>
        </w:rPr>
      </w:pPr>
      <w:r>
        <w:rPr>
          <w:rFonts w:ascii="Times New Roman" w:hAnsi="Times New Roman"/>
          <w:sz w:val="24"/>
          <w:szCs w:val="24"/>
        </w:rPr>
        <w:t>250 – Dependency Edge (parent–child / predecessor–successor / jurisdictional)</w:t>
      </w:r>
    </w:p>
    <w:p>
      <w:pPr>
        <w:pStyle w:val="BodyText"/>
        <w:bidi w:val="0"/>
        <w:jc w:val="start"/>
        <w:rPr>
          <w:rFonts w:ascii="Times New Roman" w:hAnsi="Times New Roman"/>
          <w:sz w:val="24"/>
          <w:szCs w:val="24"/>
        </w:rPr>
      </w:pPr>
      <w:r>
        <w:rPr>
          <w:rFonts w:ascii="Times New Roman" w:hAnsi="Times New Roman"/>
          <w:sz w:val="24"/>
          <w:szCs w:val="24"/>
        </w:rPr>
        <w:t>255 – Edge Commitment</w:t>
      </w:r>
    </w:p>
    <w:p>
      <w:pPr>
        <w:pStyle w:val="BodyText"/>
        <w:bidi w:val="0"/>
        <w:jc w:val="start"/>
        <w:rPr>
          <w:rFonts w:ascii="Times New Roman" w:hAnsi="Times New Roman"/>
          <w:sz w:val="24"/>
          <w:szCs w:val="24"/>
        </w:rPr>
      </w:pPr>
      <w:r>
        <w:rPr>
          <w:rFonts w:ascii="Times New Roman" w:hAnsi="Times New Roman"/>
          <w:sz w:val="24"/>
          <w:szCs w:val="24"/>
        </w:rPr>
        <w:t>260 – State-Before Digest</w:t>
      </w:r>
    </w:p>
    <w:p>
      <w:pPr>
        <w:pStyle w:val="BodyText"/>
        <w:bidi w:val="0"/>
        <w:jc w:val="start"/>
        <w:rPr>
          <w:rFonts w:ascii="Times New Roman" w:hAnsi="Times New Roman"/>
          <w:sz w:val="24"/>
          <w:szCs w:val="24"/>
        </w:rPr>
      </w:pPr>
      <w:r>
        <w:rPr>
          <w:rFonts w:ascii="Times New Roman" w:hAnsi="Times New Roman"/>
          <w:sz w:val="24"/>
          <w:szCs w:val="24"/>
        </w:rPr>
        <w:t>270 – Null Digest (state-after)</w:t>
      </w:r>
    </w:p>
    <w:p>
      <w:pPr>
        <w:pStyle w:val="BodyText"/>
        <w:bidi w:val="0"/>
        <w:jc w:val="start"/>
        <w:rPr>
          <w:rFonts w:ascii="Times New Roman" w:hAnsi="Times New Roman"/>
          <w:sz w:val="24"/>
          <w:szCs w:val="24"/>
        </w:rPr>
      </w:pPr>
      <w:r>
        <w:rPr>
          <w:rFonts w:ascii="Times New Roman" w:hAnsi="Times New Roman"/>
          <w:sz w:val="24"/>
          <w:szCs w:val="24"/>
        </w:rPr>
        <w:t>280 – Jurisdiction A Anchor</w:t>
      </w:r>
    </w:p>
    <w:p>
      <w:pPr>
        <w:pStyle w:val="BodyText"/>
        <w:bidi w:val="0"/>
        <w:jc w:val="start"/>
        <w:rPr>
          <w:rFonts w:ascii="Times New Roman" w:hAnsi="Times New Roman"/>
          <w:sz w:val="24"/>
          <w:szCs w:val="24"/>
        </w:rPr>
      </w:pPr>
      <w:r>
        <w:rPr>
          <w:rFonts w:ascii="Times New Roman" w:hAnsi="Times New Roman"/>
          <w:sz w:val="24"/>
          <w:szCs w:val="24"/>
        </w:rPr>
        <w:t>285 – Jurisdiction B Anchor</w:t>
      </w:r>
    </w:p>
    <w:p>
      <w:pPr>
        <w:pStyle w:val="BodyText"/>
        <w:bidi w:val="0"/>
        <w:jc w:val="start"/>
        <w:rPr>
          <w:rFonts w:ascii="Times New Roman" w:hAnsi="Times New Roman"/>
          <w:sz w:val="24"/>
          <w:szCs w:val="24"/>
        </w:rPr>
      </w:pPr>
      <w:r>
        <w:rPr>
          <w:rFonts w:ascii="Times New Roman" w:hAnsi="Times New Roman"/>
          <w:sz w:val="24"/>
          <w:szCs w:val="24"/>
        </w:rPr>
        <w:t>290 – Scheme Identifier (legacy / successor)</w:t>
      </w:r>
    </w:p>
    <w:p>
      <w:pPr>
        <w:pStyle w:val="BodyText"/>
        <w:bidi w:val="0"/>
        <w:jc w:val="start"/>
        <w:rPr>
          <w:rFonts w:ascii="Times New Roman" w:hAnsi="Times New Roman"/>
          <w:sz w:val="24"/>
          <w:szCs w:val="24"/>
        </w:rPr>
      </w:pPr>
      <w:r>
        <w:rPr>
          <w:rFonts w:ascii="Times New Roman" w:hAnsi="Times New Roman"/>
          <w:sz w:val="24"/>
          <w:szCs w:val="24"/>
        </w:rPr>
        <w:t>300 – Graph Lifecycle Receipt</w:t>
      </w:r>
    </w:p>
    <w:p>
      <w:pPr>
        <w:pStyle w:val="BodyText"/>
        <w:bidi w:val="0"/>
        <w:jc w:val="start"/>
        <w:rPr>
          <w:rFonts w:ascii="Times New Roman" w:hAnsi="Times New Roman"/>
          <w:sz w:val="24"/>
          <w:szCs w:val="24"/>
        </w:rPr>
      </w:pPr>
      <w:r>
        <w:rPr>
          <w:rFonts w:ascii="Times New Roman" w:hAnsi="Times New Roman"/>
          <w:sz w:val="24"/>
          <w:szCs w:val="24"/>
        </w:rPr>
        <w:t>310 – Graph Structure (nodes + edges)</w:t>
      </w:r>
    </w:p>
    <w:p>
      <w:pPr>
        <w:pStyle w:val="BodyText"/>
        <w:bidi w:val="0"/>
        <w:jc w:val="start"/>
        <w:rPr>
          <w:rFonts w:ascii="Times New Roman" w:hAnsi="Times New Roman"/>
          <w:b/>
          <w:bCs/>
          <w:smallCaps/>
          <w:sz w:val="24"/>
          <w:szCs w:val="24"/>
        </w:rPr>
      </w:pPr>
      <w:r>
        <w:rPr>
          <w:rFonts w:ascii="Times New Roman" w:hAnsi="Times New Roman"/>
          <w:b/>
          <w:bCs/>
          <w:smallCaps/>
          <w:sz w:val="24"/>
          <w:szCs w:val="24"/>
        </w:rPr>
        <w:t>Detailed Description</w:t>
      </w:r>
    </w:p>
    <w:p>
      <w:pPr>
        <w:pStyle w:val="BodyText"/>
        <w:bidi w:val="0"/>
        <w:jc w:val="start"/>
        <w:rPr>
          <w:rFonts w:ascii="Times New Roman" w:hAnsi="Times New Roman"/>
          <w:sz w:val="24"/>
          <w:szCs w:val="24"/>
        </w:rPr>
      </w:pPr>
      <w:r>
        <w:rPr>
          <w:rFonts w:ascii="Times New Roman" w:hAnsi="Times New Roman"/>
          <w:b/>
          <w:bCs/>
          <w:sz w:val="24"/>
          <w:szCs w:val="24"/>
        </w:rPr>
        <w:t>[00</w:t>
      </w:r>
      <w:r>
        <w:rPr>
          <w:rFonts w:ascii="Times New Roman" w:hAnsi="Times New Roman"/>
          <w:b/>
          <w:bCs/>
          <w:sz w:val="24"/>
          <w:szCs w:val="24"/>
        </w:rPr>
        <w:t>20</w:t>
      </w:r>
      <w:r>
        <w:rPr>
          <w:rFonts w:ascii="Times New Roman" w:hAnsi="Times New Roman"/>
          <w:b/>
          <w:bCs/>
          <w:sz w:val="24"/>
          <w:szCs w:val="24"/>
        </w:rPr>
        <w:t xml:space="preserve">]  </w:t>
      </w:r>
      <w:r>
        <w:rPr>
          <w:rFonts w:ascii="Times New Roman" w:hAnsi="Times New Roman"/>
          <w:sz w:val="24"/>
          <w:szCs w:val="24"/>
        </w:rPr>
        <w:t xml:space="preserve">  The following description sets forth systems, methods, and computer-readable media for representing digital asset lifecycles as cryptographically verifiable graphs. While the Core Architecture application describes commitments, accumulators, and root chains, and the Transition-State Model elevates lifecycle transitions to first-class cryptographic states, the present application extends these concepts to multi-asset and relational contexts by encoding transition-states into graph structures.</w:t>
      </w:r>
    </w:p>
    <w:p>
      <w:pPr>
        <w:pStyle w:val="BodyText"/>
        <w:bidi w:val="0"/>
        <w:jc w:val="start"/>
        <w:rPr>
          <w:rFonts w:ascii="Times New Roman" w:hAnsi="Times New Roman"/>
          <w:sz w:val="24"/>
          <w:szCs w:val="24"/>
        </w:rPr>
      </w:pPr>
      <w:r>
        <w:rPr>
          <w:rFonts w:ascii="Times New Roman" w:hAnsi="Times New Roman"/>
          <w:b/>
          <w:bCs/>
          <w:sz w:val="24"/>
          <w:szCs w:val="24"/>
        </w:rPr>
        <w:t>[002</w:t>
      </w:r>
      <w:r>
        <w:rPr>
          <w:rFonts w:ascii="Times New Roman" w:hAnsi="Times New Roman"/>
          <w:b/>
          <w:bCs/>
          <w:sz w:val="24"/>
          <w:szCs w:val="24"/>
        </w:rPr>
        <w:t>1</w:t>
      </w:r>
      <w:r>
        <w:rPr>
          <w:rFonts w:ascii="Times New Roman" w:hAnsi="Times New Roman"/>
          <w:b/>
          <w:bCs/>
          <w:sz w:val="24"/>
          <w:szCs w:val="24"/>
        </w:rPr>
        <w:t xml:space="preserve">] </w:t>
      </w:r>
      <w:r>
        <w:rPr>
          <w:rFonts w:ascii="Times New Roman" w:hAnsi="Times New Roman"/>
          <w:sz w:val="24"/>
          <w:szCs w:val="24"/>
        </w:rPr>
        <w:t xml:space="preserve">   A graph lifecycle comprises a set of nodes corresponding to transition-states of individual assets and a set of edges encoding dependency relations between them. Nodes may represent creation, migration, retention, or destruction of an asset, while edges capture constraints such as parent–child, predecessor–successor, or jurisdictional linkage.</w:t>
      </w:r>
    </w:p>
    <w:p>
      <w:pPr>
        <w:pStyle w:val="BodyText"/>
        <w:bidi w:val="0"/>
        <w:jc w:val="start"/>
        <w:rPr>
          <w:rFonts w:ascii="Times New Roman" w:hAnsi="Times New Roman"/>
          <w:sz w:val="24"/>
          <w:szCs w:val="24"/>
        </w:rPr>
      </w:pPr>
      <w:r>
        <w:rPr>
          <w:rFonts w:ascii="Times New Roman" w:hAnsi="Times New Roman"/>
          <w:b/>
          <w:bCs/>
          <w:sz w:val="24"/>
          <w:szCs w:val="24"/>
        </w:rPr>
        <w:t>[002</w:t>
      </w:r>
      <w:r>
        <w:rPr>
          <w:rFonts w:ascii="Times New Roman" w:hAnsi="Times New Roman"/>
          <w:b/>
          <w:bCs/>
          <w:sz w:val="24"/>
          <w:szCs w:val="24"/>
        </w:rPr>
        <w:t>2]</w:t>
      </w:r>
      <w:r>
        <w:rPr>
          <w:rFonts w:ascii="Times New Roman" w:hAnsi="Times New Roman"/>
          <w:b/>
          <w:bCs/>
          <w:sz w:val="24"/>
          <w:szCs w:val="24"/>
        </w:rPr>
        <w:t xml:space="preserve"> </w:t>
      </w:r>
      <w:r>
        <w:rPr>
          <w:rFonts w:ascii="Times New Roman" w:hAnsi="Times New Roman"/>
          <w:sz w:val="24"/>
          <w:szCs w:val="24"/>
        </w:rPr>
        <w:t xml:space="preserve">    Each node–edge pair is bound into a commitment 210/255, which is inserted into a Merkle accumulator 140, chained forward through cumulative root values 240, and anchored via anchor interfaces 160. This structure ensures that both the authenticity of individual nodes and the integrity of dependency relations are immutably recorded and independently verifiable.</w:t>
      </w:r>
    </w:p>
    <w:p>
      <w:pPr>
        <w:pStyle w:val="BodyText"/>
        <w:bidi w:val="0"/>
        <w:jc w:val="start"/>
        <w:rPr>
          <w:rFonts w:ascii="Times New Roman" w:hAnsi="Times New Roman"/>
          <w:sz w:val="24"/>
          <w:szCs w:val="24"/>
        </w:rPr>
      </w:pPr>
      <w:r>
        <w:rPr>
          <w:rFonts w:ascii="Times New Roman" w:hAnsi="Times New Roman"/>
          <w:b/>
          <w:bCs/>
          <w:sz w:val="24"/>
          <w:szCs w:val="24"/>
        </w:rPr>
        <w:t>[002</w:t>
      </w:r>
      <w:r>
        <w:rPr>
          <w:rFonts w:ascii="Times New Roman" w:hAnsi="Times New Roman"/>
          <w:b/>
          <w:bCs/>
          <w:sz w:val="24"/>
          <w:szCs w:val="24"/>
        </w:rPr>
        <w:t>3</w:t>
      </w:r>
      <w:r>
        <w:rPr>
          <w:rFonts w:ascii="Times New Roman" w:hAnsi="Times New Roman"/>
          <w:b/>
          <w:bCs/>
          <w:sz w:val="24"/>
          <w:szCs w:val="24"/>
        </w:rPr>
        <w:t xml:space="preserve">] </w:t>
      </w:r>
      <w:r>
        <w:rPr>
          <w:rFonts w:ascii="Times New Roman" w:hAnsi="Times New Roman"/>
          <w:sz w:val="24"/>
          <w:szCs w:val="24"/>
        </w:rPr>
        <w:t xml:space="preserve">    In one aspect, the lifecycle graph is persistent and composable: new nodes and edges extend the existing structure without invalidating prior commitments. Dependencies propagate through the graph, so that destruction of a parent node implies destruction of child nodes, and migration of a dataset implies migration of all constituent nodes.</w:t>
      </w:r>
    </w:p>
    <w:p>
      <w:pPr>
        <w:pStyle w:val="BodyText"/>
        <w:bidi w:val="0"/>
        <w:jc w:val="start"/>
        <w:rPr>
          <w:rFonts w:ascii="Times New Roman" w:hAnsi="Times New Roman"/>
          <w:sz w:val="24"/>
          <w:szCs w:val="24"/>
        </w:rPr>
      </w:pPr>
      <w:r>
        <w:rPr>
          <w:rFonts w:ascii="Times New Roman" w:hAnsi="Times New Roman"/>
          <w:b/>
          <w:bCs/>
          <w:sz w:val="24"/>
          <w:szCs w:val="24"/>
        </w:rPr>
        <w:t>[002</w:t>
      </w:r>
      <w:r>
        <w:rPr>
          <w:rFonts w:ascii="Times New Roman" w:hAnsi="Times New Roman"/>
          <w:b/>
          <w:bCs/>
          <w:sz w:val="24"/>
          <w:szCs w:val="24"/>
        </w:rPr>
        <w:t>4</w:t>
      </w:r>
      <w:r>
        <w:rPr>
          <w:rFonts w:ascii="Times New Roman" w:hAnsi="Times New Roman"/>
          <w:b/>
          <w:bCs/>
          <w:sz w:val="24"/>
          <w:szCs w:val="24"/>
        </w:rPr>
        <w:t xml:space="preserve">] </w:t>
      </w:r>
      <w:r>
        <w:rPr>
          <w:rFonts w:ascii="Times New Roman" w:hAnsi="Times New Roman"/>
          <w:sz w:val="24"/>
          <w:szCs w:val="24"/>
        </w:rPr>
        <w:t xml:space="preserve">    In another aspect, graph lifecycle receipts 300 contain sufficient data to reconstruct subgraphs for audit purposes, including node identifiers 215, edge relations 250, Merkle proofs 220, cumulative root values 240, and optional regulatory basis hashes 170. Because receipts are content-opaque, verification does not require access to underlying asset data.</w:t>
      </w:r>
    </w:p>
    <w:p>
      <w:pPr>
        <w:pStyle w:val="BodyText"/>
        <w:bidi w:val="0"/>
        <w:jc w:val="start"/>
        <w:rPr>
          <w:rFonts w:ascii="Times New Roman" w:hAnsi="Times New Roman"/>
          <w:sz w:val="24"/>
          <w:szCs w:val="24"/>
        </w:rPr>
      </w:pPr>
      <w:r>
        <w:rPr>
          <w:rFonts w:ascii="Times New Roman" w:hAnsi="Times New Roman"/>
          <w:b/>
          <w:bCs/>
          <w:sz w:val="24"/>
          <w:szCs w:val="24"/>
        </w:rPr>
        <w:t>[002</w:t>
      </w:r>
      <w:r>
        <w:rPr>
          <w:rFonts w:ascii="Times New Roman" w:hAnsi="Times New Roman"/>
          <w:b/>
          <w:bCs/>
          <w:sz w:val="24"/>
          <w:szCs w:val="24"/>
        </w:rPr>
        <w:t>5</w:t>
      </w:r>
      <w:r>
        <w:rPr>
          <w:rFonts w:ascii="Times New Roman" w:hAnsi="Times New Roman"/>
          <w:b/>
          <w:bCs/>
          <w:sz w:val="24"/>
          <w:szCs w:val="24"/>
        </w:rPr>
        <w:t xml:space="preserve">] </w:t>
      </w:r>
      <w:r>
        <w:rPr>
          <w:rFonts w:ascii="Times New Roman" w:hAnsi="Times New Roman"/>
          <w:sz w:val="24"/>
          <w:szCs w:val="24"/>
        </w:rPr>
        <w:t xml:space="preserve">    The graph lifecycle model thereby enables auditors to validate not only individual transitions but also the consistency of interrelated transitions across multiple assets, meeting compliance obligations for coordinated erasure, chain-of-custody, and dependency integrity in safety-critical environments.</w:t>
      </w:r>
    </w:p>
    <w:p>
      <w:pPr>
        <w:pStyle w:val="BodyText"/>
        <w:bidi w:val="0"/>
        <w:jc w:val="start"/>
        <w:rPr>
          <w:rFonts w:ascii="Times New Roman" w:hAnsi="Times New Roman"/>
          <w:smallCaps/>
          <w:sz w:val="24"/>
          <w:szCs w:val="24"/>
        </w:rPr>
      </w:pPr>
      <w:r>
        <w:rPr>
          <w:rFonts w:ascii="Times New Roman" w:hAnsi="Times New Roman"/>
          <w:smallCaps/>
          <w:sz w:val="24"/>
          <w:szCs w:val="24"/>
        </w:rPr>
        <w:t>System Embodiments</w:t>
      </w:r>
    </w:p>
    <w:p>
      <w:pPr>
        <w:pStyle w:val="BodyText"/>
        <w:bidi w:val="0"/>
        <w:jc w:val="start"/>
        <w:rPr>
          <w:rFonts w:ascii="Times New Roman" w:hAnsi="Times New Roman"/>
          <w:sz w:val="24"/>
          <w:szCs w:val="24"/>
        </w:rPr>
      </w:pPr>
      <w:r>
        <w:rPr>
          <w:rFonts w:ascii="Times New Roman" w:hAnsi="Times New Roman"/>
          <w:b/>
          <w:bCs/>
          <w:sz w:val="24"/>
          <w:szCs w:val="24"/>
        </w:rPr>
        <w:t>[002</w:t>
      </w:r>
      <w:r>
        <w:rPr>
          <w:rFonts w:ascii="Times New Roman" w:hAnsi="Times New Roman"/>
          <w:b/>
          <w:bCs/>
          <w:sz w:val="24"/>
          <w:szCs w:val="24"/>
        </w:rPr>
        <w:t>6</w:t>
      </w:r>
      <w:r>
        <w:rPr>
          <w:rFonts w:ascii="Times New Roman" w:hAnsi="Times New Roman"/>
          <w:b/>
          <w:bCs/>
          <w:sz w:val="24"/>
          <w:szCs w:val="24"/>
        </w:rPr>
        <w:t xml:space="preserve">] </w:t>
      </w:r>
      <w:r>
        <w:rPr>
          <w:rFonts w:ascii="Times New Roman" w:hAnsi="Times New Roman"/>
          <w:sz w:val="24"/>
          <w:szCs w:val="24"/>
        </w:rPr>
        <w:t xml:space="preserve">   In one embodiment, the invention provides a system for cryptographically managing graph lifecycles of digital assets. The system comprises a state transition engine 110, a graph constructor 130, a Merkle accumulator 140, a root-chain logger 150, an anchor interface 160, a receipt store 190, and a verification module 120.</w:t>
      </w:r>
    </w:p>
    <w:p>
      <w:pPr>
        <w:pStyle w:val="BodyText"/>
        <w:bidi w:val="0"/>
        <w:jc w:val="start"/>
        <w:rPr>
          <w:rFonts w:ascii="Times New Roman" w:hAnsi="Times New Roman"/>
          <w:sz w:val="24"/>
          <w:szCs w:val="24"/>
        </w:rPr>
      </w:pPr>
      <w:r>
        <w:rPr>
          <w:rFonts w:ascii="Times New Roman" w:hAnsi="Times New Roman"/>
          <w:b/>
          <w:bCs/>
          <w:sz w:val="24"/>
          <w:szCs w:val="24"/>
        </w:rPr>
        <w:t>[002</w:t>
      </w:r>
      <w:r>
        <w:rPr>
          <w:rFonts w:ascii="Times New Roman" w:hAnsi="Times New Roman"/>
          <w:b/>
          <w:bCs/>
          <w:sz w:val="24"/>
          <w:szCs w:val="24"/>
        </w:rPr>
        <w:t>7</w:t>
      </w:r>
      <w:r>
        <w:rPr>
          <w:rFonts w:ascii="Times New Roman" w:hAnsi="Times New Roman"/>
          <w:b/>
          <w:bCs/>
          <w:sz w:val="24"/>
          <w:szCs w:val="24"/>
        </w:rPr>
        <w:t>]</w:t>
      </w:r>
      <w:r>
        <w:rPr>
          <w:rFonts w:ascii="Times New Roman" w:hAnsi="Times New Roman"/>
          <w:sz w:val="24"/>
          <w:szCs w:val="24"/>
        </w:rPr>
        <w:t xml:space="preserve">    The state transition engine 110 detects lifecycle events such as creation, migration, retention, or destruction. For each event, the engine generates a transition-state node 200 that includes a node identifier 215, a transition type, and an epoch value.</w:t>
      </w:r>
    </w:p>
    <w:p>
      <w:pPr>
        <w:pStyle w:val="BodyText"/>
        <w:bidi w:val="0"/>
        <w:jc w:val="start"/>
        <w:rPr>
          <w:rFonts w:ascii="Times New Roman" w:hAnsi="Times New Roman"/>
          <w:sz w:val="24"/>
          <w:szCs w:val="24"/>
        </w:rPr>
      </w:pPr>
      <w:r>
        <w:rPr>
          <w:rFonts w:ascii="Times New Roman" w:hAnsi="Times New Roman"/>
          <w:b/>
          <w:bCs/>
          <w:sz w:val="24"/>
          <w:szCs w:val="24"/>
        </w:rPr>
        <w:t>[002</w:t>
      </w:r>
      <w:r>
        <w:rPr>
          <w:rFonts w:ascii="Times New Roman" w:hAnsi="Times New Roman"/>
          <w:b/>
          <w:bCs/>
          <w:sz w:val="24"/>
          <w:szCs w:val="24"/>
        </w:rPr>
        <w:t>8</w:t>
      </w:r>
      <w:r>
        <w:rPr>
          <w:rFonts w:ascii="Times New Roman" w:hAnsi="Times New Roman"/>
          <w:b/>
          <w:bCs/>
          <w:sz w:val="24"/>
          <w:szCs w:val="24"/>
        </w:rPr>
        <w:t xml:space="preserve">] </w:t>
      </w:r>
      <w:r>
        <w:rPr>
          <w:rFonts w:ascii="Times New Roman" w:hAnsi="Times New Roman"/>
          <w:sz w:val="24"/>
          <w:szCs w:val="24"/>
        </w:rPr>
        <w:t xml:space="preserve">   The graph constructor 130 links transition-state nodes 200 through dependency edges 250. Each edge encodes a relation such as parent–child, predecessor–successor, or jurisdictional linkage. An edge commitment 255 binds the relation between node identifiers into a cryptographic form suitable for verification.</w:t>
      </w:r>
    </w:p>
    <w:p>
      <w:pPr>
        <w:pStyle w:val="BodyText"/>
        <w:bidi w:val="0"/>
        <w:jc w:val="start"/>
        <w:rPr>
          <w:rFonts w:ascii="Times New Roman" w:hAnsi="Times New Roman"/>
          <w:sz w:val="24"/>
          <w:szCs w:val="24"/>
        </w:rPr>
      </w:pPr>
      <w:r>
        <w:rPr>
          <w:rFonts w:ascii="Times New Roman" w:hAnsi="Times New Roman"/>
          <w:b/>
          <w:bCs/>
          <w:sz w:val="24"/>
          <w:szCs w:val="24"/>
        </w:rPr>
        <w:t>[002</w:t>
      </w:r>
      <w:r>
        <w:rPr>
          <w:rFonts w:ascii="Times New Roman" w:hAnsi="Times New Roman"/>
          <w:b/>
          <w:bCs/>
          <w:sz w:val="24"/>
          <w:szCs w:val="24"/>
        </w:rPr>
        <w:t>9</w:t>
      </w:r>
      <w:r>
        <w:rPr>
          <w:rFonts w:ascii="Times New Roman" w:hAnsi="Times New Roman"/>
          <w:b/>
          <w:bCs/>
          <w:sz w:val="24"/>
          <w:szCs w:val="24"/>
        </w:rPr>
        <w:t xml:space="preserve">]  </w:t>
      </w:r>
      <w:r>
        <w:rPr>
          <w:rFonts w:ascii="Times New Roman" w:hAnsi="Times New Roman"/>
          <w:sz w:val="24"/>
          <w:szCs w:val="24"/>
        </w:rPr>
        <w:t xml:space="preserve">  Node commitments 210 and edge commitments 255 are inserted into the Merkle accumulator 140, which produces an epoch root 230 representing the authenticated set of commitments. Successive epoch roots are chained forward through cumulative root values 240 recorded by the root-chain logger 150.</w:t>
      </w:r>
    </w:p>
    <w:p>
      <w:pPr>
        <w:pStyle w:val="BodyText"/>
        <w:bidi w:val="0"/>
        <w:jc w:val="start"/>
        <w:rPr>
          <w:rFonts w:ascii="Times New Roman" w:hAnsi="Times New Roman"/>
          <w:sz w:val="24"/>
          <w:szCs w:val="24"/>
        </w:rPr>
      </w:pPr>
      <w:r>
        <w:rPr>
          <w:rFonts w:ascii="Times New Roman" w:hAnsi="Times New Roman"/>
          <w:b/>
          <w:bCs/>
          <w:sz w:val="24"/>
          <w:szCs w:val="24"/>
        </w:rPr>
        <w:t>[00</w:t>
      </w:r>
      <w:r>
        <w:rPr>
          <w:rFonts w:ascii="Times New Roman" w:hAnsi="Times New Roman"/>
          <w:b/>
          <w:bCs/>
          <w:sz w:val="24"/>
          <w:szCs w:val="24"/>
        </w:rPr>
        <w:t>30</w:t>
      </w:r>
      <w:r>
        <w:rPr>
          <w:rFonts w:ascii="Times New Roman" w:hAnsi="Times New Roman"/>
          <w:b/>
          <w:bCs/>
          <w:sz w:val="24"/>
          <w:szCs w:val="24"/>
        </w:rPr>
        <w:t xml:space="preserve">] </w:t>
      </w:r>
      <w:r>
        <w:rPr>
          <w:rFonts w:ascii="Times New Roman" w:hAnsi="Times New Roman"/>
          <w:sz w:val="24"/>
          <w:szCs w:val="24"/>
        </w:rPr>
        <w:t xml:space="preserve">   The anchor interface 160 publishes epoch roots or cumulative values into independent transparency services or jurisdictional anchors 280, 285. Anchoring prevents history modification and enables multi-jurisdiction verification.</w:t>
      </w:r>
    </w:p>
    <w:p>
      <w:pPr>
        <w:pStyle w:val="BodyText"/>
        <w:bidi w:val="0"/>
        <w:jc w:val="start"/>
        <w:rPr>
          <w:rFonts w:ascii="Times New Roman" w:hAnsi="Times New Roman"/>
          <w:sz w:val="24"/>
          <w:szCs w:val="24"/>
        </w:rPr>
      </w:pPr>
      <w:r>
        <w:rPr>
          <w:rFonts w:ascii="Times New Roman" w:hAnsi="Times New Roman"/>
          <w:b/>
          <w:bCs/>
          <w:sz w:val="24"/>
          <w:szCs w:val="24"/>
        </w:rPr>
        <w:t>[003</w:t>
      </w:r>
      <w:r>
        <w:rPr>
          <w:rFonts w:ascii="Times New Roman" w:hAnsi="Times New Roman"/>
          <w:b/>
          <w:bCs/>
          <w:sz w:val="24"/>
          <w:szCs w:val="24"/>
        </w:rPr>
        <w:t>1</w:t>
      </w:r>
      <w:r>
        <w:rPr>
          <w:rFonts w:ascii="Times New Roman" w:hAnsi="Times New Roman"/>
          <w:b/>
          <w:bCs/>
          <w:sz w:val="24"/>
          <w:szCs w:val="24"/>
        </w:rPr>
        <w:t>]</w:t>
      </w:r>
      <w:r>
        <w:rPr>
          <w:rFonts w:ascii="Times New Roman" w:hAnsi="Times New Roman"/>
          <w:sz w:val="24"/>
          <w:szCs w:val="24"/>
        </w:rPr>
        <w:t xml:space="preserve">    Transition-state nodes and dependency edges are persisted as receipts 300 in the receipt store 190. Each receipt contains mandatory fields (node identifier 215, transition type, Merkle path 220, epoch root 230, cumulative root value 240) and optional fields such as edge commitments 255, state-before digest 260, null digest 270, scheme identifier 290, and regulatory basis hash 170.</w:t>
      </w:r>
    </w:p>
    <w:p>
      <w:pPr>
        <w:pStyle w:val="BodyText"/>
        <w:bidi w:val="0"/>
        <w:jc w:val="start"/>
        <w:rPr>
          <w:rFonts w:ascii="Times New Roman" w:hAnsi="Times New Roman"/>
          <w:sz w:val="24"/>
          <w:szCs w:val="24"/>
        </w:rPr>
      </w:pPr>
      <w:r>
        <w:rPr>
          <w:rFonts w:ascii="Times New Roman" w:hAnsi="Times New Roman"/>
          <w:b/>
          <w:bCs/>
          <w:sz w:val="24"/>
          <w:szCs w:val="24"/>
        </w:rPr>
        <w:t>[003</w:t>
      </w:r>
      <w:r>
        <w:rPr>
          <w:rFonts w:ascii="Times New Roman" w:hAnsi="Times New Roman"/>
          <w:b/>
          <w:bCs/>
          <w:sz w:val="24"/>
          <w:szCs w:val="24"/>
        </w:rPr>
        <w:t>2</w:t>
      </w:r>
      <w:r>
        <w:rPr>
          <w:rFonts w:ascii="Times New Roman" w:hAnsi="Times New Roman"/>
          <w:b/>
          <w:bCs/>
          <w:sz w:val="24"/>
          <w:szCs w:val="24"/>
        </w:rPr>
        <w:t xml:space="preserve">]  </w:t>
      </w:r>
      <w:r>
        <w:rPr>
          <w:rFonts w:ascii="Times New Roman" w:hAnsi="Times New Roman"/>
          <w:sz w:val="24"/>
          <w:szCs w:val="24"/>
        </w:rPr>
        <w:t xml:space="preserve">  The verification module 120 reconstructs subgraphs from receipts, verifies Merkle proofs 220 and cumulative chains 240, and checks consistency of dependency edges 250. Verification confirms not only that individual transitions occurred, but also that interdependent transitions were executed consistently across the lifecycle graph.</w:t>
      </w:r>
    </w:p>
    <w:p>
      <w:pPr>
        <w:pStyle w:val="BodyText"/>
        <w:bidi w:val="0"/>
        <w:jc w:val="start"/>
        <w:rPr>
          <w:rFonts w:ascii="Times New Roman" w:hAnsi="Times New Roman"/>
          <w:sz w:val="24"/>
          <w:szCs w:val="24"/>
        </w:rPr>
      </w:pPr>
      <w:r>
        <w:rPr>
          <w:rFonts w:ascii="Times New Roman" w:hAnsi="Times New Roman"/>
          <w:sz w:val="24"/>
          <w:szCs w:val="24"/>
        </w:rPr>
      </w:r>
    </w:p>
    <w:p>
      <w:pPr>
        <w:pStyle w:val="BodyText"/>
        <w:bidi w:val="0"/>
        <w:jc w:val="start"/>
        <w:rPr>
          <w:rFonts w:ascii="Times New Roman" w:hAnsi="Times New Roman"/>
          <w:b/>
          <w:bCs/>
          <w:smallCaps/>
          <w:sz w:val="24"/>
          <w:szCs w:val="24"/>
        </w:rPr>
      </w:pPr>
      <w:r>
        <w:rPr>
          <w:rFonts w:ascii="Times New Roman" w:hAnsi="Times New Roman"/>
          <w:b/>
          <w:bCs/>
          <w:smallCaps/>
          <w:sz w:val="24"/>
          <w:szCs w:val="24"/>
        </w:rPr>
        <w:t>Method Embodiments</w:t>
      </w:r>
    </w:p>
    <w:p>
      <w:pPr>
        <w:pStyle w:val="BodyText"/>
        <w:bidi w:val="0"/>
        <w:jc w:val="start"/>
        <w:rPr>
          <w:rFonts w:ascii="Times New Roman" w:hAnsi="Times New Roman"/>
          <w:sz w:val="24"/>
          <w:szCs w:val="24"/>
        </w:rPr>
      </w:pPr>
      <w:r>
        <w:rPr>
          <w:rFonts w:ascii="Times New Roman" w:hAnsi="Times New Roman"/>
          <w:b/>
          <w:bCs/>
          <w:sz w:val="24"/>
          <w:szCs w:val="24"/>
        </w:rPr>
        <w:t>[003</w:t>
      </w:r>
      <w:r>
        <w:rPr>
          <w:rFonts w:ascii="Times New Roman" w:hAnsi="Times New Roman"/>
          <w:b/>
          <w:bCs/>
          <w:sz w:val="24"/>
          <w:szCs w:val="24"/>
        </w:rPr>
        <w:t>3</w:t>
      </w:r>
      <w:r>
        <w:rPr>
          <w:rFonts w:ascii="Times New Roman" w:hAnsi="Times New Roman"/>
          <w:b/>
          <w:bCs/>
          <w:sz w:val="24"/>
          <w:szCs w:val="24"/>
        </w:rPr>
        <w:t xml:space="preserve">] </w:t>
      </w:r>
      <w:r>
        <w:rPr>
          <w:rFonts w:ascii="Times New Roman" w:hAnsi="Times New Roman"/>
          <w:sz w:val="24"/>
          <w:szCs w:val="24"/>
        </w:rPr>
        <w:t xml:space="preserve">   In one embodiment, a computer-implemented method is provided for managing digital asset lifecycles in a graph structure. The method begins by representing a digital asset as a transition-state node 200 including a node identifier 215, transition type, and epoch.</w:t>
      </w:r>
    </w:p>
    <w:p>
      <w:pPr>
        <w:pStyle w:val="BodyText"/>
        <w:bidi w:val="0"/>
        <w:jc w:val="start"/>
        <w:rPr>
          <w:rFonts w:ascii="Times New Roman" w:hAnsi="Times New Roman"/>
          <w:sz w:val="24"/>
          <w:szCs w:val="24"/>
        </w:rPr>
      </w:pPr>
      <w:r>
        <w:rPr>
          <w:rFonts w:ascii="Times New Roman" w:hAnsi="Times New Roman"/>
          <w:b/>
          <w:bCs/>
          <w:sz w:val="24"/>
          <w:szCs w:val="24"/>
        </w:rPr>
        <w:t>[003</w:t>
      </w:r>
      <w:r>
        <w:rPr>
          <w:rFonts w:ascii="Times New Roman" w:hAnsi="Times New Roman"/>
          <w:b/>
          <w:bCs/>
          <w:sz w:val="24"/>
          <w:szCs w:val="24"/>
        </w:rPr>
        <w:t>4</w:t>
      </w:r>
      <w:r>
        <w:rPr>
          <w:rFonts w:ascii="Times New Roman" w:hAnsi="Times New Roman"/>
          <w:b/>
          <w:bCs/>
          <w:sz w:val="24"/>
          <w:szCs w:val="24"/>
        </w:rPr>
        <w:t xml:space="preserve">] </w:t>
      </w:r>
      <w:r>
        <w:rPr>
          <w:rFonts w:ascii="Times New Roman" w:hAnsi="Times New Roman"/>
          <w:sz w:val="24"/>
          <w:szCs w:val="24"/>
        </w:rPr>
        <w:t xml:space="preserve">   A dependency relation is then established between two or more nodes, such as a parent–child or predecessor–successor link. The relation is encoded as a dependency edge 250 and bound into an edge commitment 255.</w:t>
      </w:r>
    </w:p>
    <w:p>
      <w:pPr>
        <w:pStyle w:val="BodyText"/>
        <w:bidi w:val="0"/>
        <w:jc w:val="start"/>
        <w:rPr>
          <w:rFonts w:ascii="Times New Roman" w:hAnsi="Times New Roman"/>
          <w:sz w:val="24"/>
          <w:szCs w:val="24"/>
        </w:rPr>
      </w:pPr>
      <w:r>
        <w:rPr>
          <w:rFonts w:ascii="Times New Roman" w:hAnsi="Times New Roman"/>
          <w:b/>
          <w:bCs/>
          <w:sz w:val="24"/>
          <w:szCs w:val="24"/>
        </w:rPr>
        <w:t>[003</w:t>
      </w:r>
      <w:r>
        <w:rPr>
          <w:rFonts w:ascii="Times New Roman" w:hAnsi="Times New Roman"/>
          <w:b/>
          <w:bCs/>
          <w:sz w:val="24"/>
          <w:szCs w:val="24"/>
        </w:rPr>
        <w:t>5</w:t>
      </w:r>
      <w:r>
        <w:rPr>
          <w:rFonts w:ascii="Times New Roman" w:hAnsi="Times New Roman"/>
          <w:b/>
          <w:bCs/>
          <w:sz w:val="24"/>
          <w:szCs w:val="24"/>
        </w:rPr>
        <w:t>]</w:t>
      </w:r>
      <w:r>
        <w:rPr>
          <w:rFonts w:ascii="Times New Roman" w:hAnsi="Times New Roman"/>
          <w:sz w:val="24"/>
          <w:szCs w:val="24"/>
        </w:rPr>
        <w:t xml:space="preserve">    The node commitment 210 and edge commitment 255 are inserted into a Merkle accumulator 140, producing an epoch root 230. The root is extended into a cumulative root value 240 by the root-chain logger 150, linking the current epoch to prior epochs.</w:t>
      </w:r>
    </w:p>
    <w:p>
      <w:pPr>
        <w:pStyle w:val="BodyText"/>
        <w:bidi w:val="0"/>
        <w:jc w:val="start"/>
        <w:rPr>
          <w:rFonts w:ascii="Times New Roman" w:hAnsi="Times New Roman"/>
          <w:sz w:val="24"/>
          <w:szCs w:val="24"/>
        </w:rPr>
      </w:pPr>
      <w:r>
        <w:rPr>
          <w:rFonts w:ascii="Times New Roman" w:hAnsi="Times New Roman"/>
          <w:b/>
          <w:bCs/>
          <w:sz w:val="24"/>
          <w:szCs w:val="24"/>
        </w:rPr>
        <w:t>[003</w:t>
      </w:r>
      <w:r>
        <w:rPr>
          <w:rFonts w:ascii="Times New Roman" w:hAnsi="Times New Roman"/>
          <w:b/>
          <w:bCs/>
          <w:sz w:val="24"/>
          <w:szCs w:val="24"/>
        </w:rPr>
        <w:t>6</w:t>
      </w:r>
      <w:r>
        <w:rPr>
          <w:rFonts w:ascii="Times New Roman" w:hAnsi="Times New Roman"/>
          <w:b/>
          <w:bCs/>
          <w:sz w:val="24"/>
          <w:szCs w:val="24"/>
        </w:rPr>
        <w:t xml:space="preserve">] </w:t>
      </w:r>
      <w:r>
        <w:rPr>
          <w:rFonts w:ascii="Times New Roman" w:hAnsi="Times New Roman"/>
          <w:sz w:val="24"/>
          <w:szCs w:val="24"/>
        </w:rPr>
        <w:t xml:space="preserve">   The cumulative root value 240 is anchored into one or more transparency services or jurisdictional anchors 280, 285 via the anchor interface 160, providing tamper-evident publication and multi-jurisdiction auditability.</w:t>
      </w:r>
    </w:p>
    <w:p>
      <w:pPr>
        <w:pStyle w:val="BodyText"/>
        <w:bidi w:val="0"/>
        <w:jc w:val="start"/>
        <w:rPr>
          <w:rFonts w:ascii="Times New Roman" w:hAnsi="Times New Roman"/>
          <w:sz w:val="24"/>
          <w:szCs w:val="24"/>
        </w:rPr>
      </w:pPr>
      <w:r>
        <w:rPr>
          <w:rFonts w:ascii="Times New Roman" w:hAnsi="Times New Roman"/>
          <w:b/>
          <w:bCs/>
          <w:sz w:val="24"/>
          <w:szCs w:val="24"/>
        </w:rPr>
        <w:t>[003</w:t>
      </w:r>
      <w:r>
        <w:rPr>
          <w:rFonts w:ascii="Times New Roman" w:hAnsi="Times New Roman"/>
          <w:b/>
          <w:bCs/>
          <w:sz w:val="24"/>
          <w:szCs w:val="24"/>
        </w:rPr>
        <w:t>7</w:t>
      </w:r>
      <w:r>
        <w:rPr>
          <w:rFonts w:ascii="Times New Roman" w:hAnsi="Times New Roman"/>
          <w:b/>
          <w:bCs/>
          <w:sz w:val="24"/>
          <w:szCs w:val="24"/>
        </w:rPr>
        <w:t xml:space="preserve">] </w:t>
      </w:r>
      <w:r>
        <w:rPr>
          <w:rFonts w:ascii="Times New Roman" w:hAnsi="Times New Roman"/>
          <w:sz w:val="24"/>
          <w:szCs w:val="24"/>
        </w:rPr>
        <w:t xml:space="preserve">   A graph lifecycle receipt 300 is issued, containing fields necessary to reconstruct and verify the node–edge relation, including the node identifier 215, edge relation 250, Merkle path 220, epoch root 230, and cumulative root value 240. Optional fields such as regulatory basis hashes 170, scheme identifiers 290, or null digest markers 270 may also be included.</w:t>
      </w:r>
    </w:p>
    <w:p>
      <w:pPr>
        <w:pStyle w:val="BodyText"/>
        <w:bidi w:val="0"/>
        <w:jc w:val="start"/>
        <w:rPr>
          <w:rFonts w:ascii="Times New Roman" w:hAnsi="Times New Roman"/>
          <w:sz w:val="24"/>
          <w:szCs w:val="24"/>
        </w:rPr>
      </w:pPr>
      <w:r>
        <w:rPr>
          <w:rFonts w:ascii="Times New Roman" w:hAnsi="Times New Roman"/>
          <w:b/>
          <w:bCs/>
          <w:sz w:val="24"/>
          <w:szCs w:val="24"/>
        </w:rPr>
        <w:t>[003</w:t>
      </w:r>
      <w:r>
        <w:rPr>
          <w:rFonts w:ascii="Times New Roman" w:hAnsi="Times New Roman"/>
          <w:b/>
          <w:bCs/>
          <w:sz w:val="24"/>
          <w:szCs w:val="24"/>
        </w:rPr>
        <w:t>8</w:t>
      </w:r>
      <w:r>
        <w:rPr>
          <w:rFonts w:ascii="Times New Roman" w:hAnsi="Times New Roman"/>
          <w:b/>
          <w:bCs/>
          <w:sz w:val="24"/>
          <w:szCs w:val="24"/>
        </w:rPr>
        <w:t>]</w:t>
      </w:r>
      <w:r>
        <w:rPr>
          <w:rFonts w:ascii="Times New Roman" w:hAnsi="Times New Roman"/>
          <w:sz w:val="24"/>
          <w:szCs w:val="24"/>
        </w:rPr>
        <w:t xml:space="preserve">    The method enforces persistence and consistency of the graph: once a node or edge is recorded, it cannot be reversed or removed. Dependency propagation ensures that destruction of a parent node implies destruction of all child nodes, and migration of a dataset implies migration of all constituent nodes.</w:t>
      </w:r>
    </w:p>
    <w:p>
      <w:pPr>
        <w:pStyle w:val="BodyText"/>
        <w:bidi w:val="0"/>
        <w:jc w:val="start"/>
        <w:rPr>
          <w:rFonts w:ascii="Times New Roman" w:hAnsi="Times New Roman"/>
          <w:sz w:val="24"/>
          <w:szCs w:val="24"/>
        </w:rPr>
      </w:pPr>
      <w:r>
        <w:rPr>
          <w:rFonts w:ascii="Times New Roman" w:hAnsi="Times New Roman"/>
          <w:b/>
          <w:bCs/>
          <w:sz w:val="24"/>
          <w:szCs w:val="24"/>
        </w:rPr>
        <w:t>[003</w:t>
      </w:r>
      <w:r>
        <w:rPr>
          <w:rFonts w:ascii="Times New Roman" w:hAnsi="Times New Roman"/>
          <w:b/>
          <w:bCs/>
          <w:sz w:val="24"/>
          <w:szCs w:val="24"/>
        </w:rPr>
        <w:t>9</w:t>
      </w:r>
      <w:r>
        <w:rPr>
          <w:rFonts w:ascii="Times New Roman" w:hAnsi="Times New Roman"/>
          <w:b/>
          <w:bCs/>
          <w:sz w:val="24"/>
          <w:szCs w:val="24"/>
        </w:rPr>
        <w:t xml:space="preserve">] </w:t>
      </w:r>
      <w:r>
        <w:rPr>
          <w:rFonts w:ascii="Times New Roman" w:hAnsi="Times New Roman"/>
          <w:sz w:val="24"/>
          <w:szCs w:val="24"/>
        </w:rPr>
        <w:t xml:space="preserve">   During verification, a verifier reconstructs the subgraph from receipts, recomputes Merkle proofs 220, validates cumulative root values 240, and checks that dependency edges 250 are satisfied. Verification is performed without access to underlying asset data, ensuring confidentiality while maintaining auditability.</w:t>
      </w:r>
    </w:p>
    <w:p>
      <w:pPr>
        <w:pStyle w:val="Heading3"/>
        <w:bidi w:val="0"/>
        <w:jc w:val="start"/>
        <w:rPr>
          <w:rFonts w:ascii="Times New Roman" w:hAnsi="Times New Roman"/>
          <w:sz w:val="24"/>
          <w:szCs w:val="24"/>
        </w:rPr>
      </w:pPr>
      <w:r>
        <w:rPr>
          <w:rFonts w:ascii="Times New Roman" w:hAnsi="Times New Roman"/>
          <w:sz w:val="24"/>
          <w:szCs w:val="24"/>
        </w:rPr>
        <w:t>Medium Embodiments</w:t>
      </w:r>
    </w:p>
    <w:p>
      <w:pPr>
        <w:pStyle w:val="BodyText"/>
        <w:bidi w:val="0"/>
        <w:jc w:val="start"/>
        <w:rPr>
          <w:rFonts w:ascii="Times New Roman" w:hAnsi="Times New Roman"/>
          <w:sz w:val="24"/>
        </w:rPr>
      </w:pPr>
      <w:r>
        <w:rPr>
          <w:rFonts w:ascii="Times New Roman" w:hAnsi="Times New Roman"/>
          <w:b/>
          <w:bCs/>
        </w:rPr>
        <w:t>[00</w:t>
      </w:r>
      <w:r>
        <w:rPr>
          <w:rFonts w:ascii="Times New Roman" w:hAnsi="Times New Roman"/>
          <w:b/>
          <w:bCs/>
        </w:rPr>
        <w:t>40</w:t>
      </w:r>
      <w:r>
        <w:rPr>
          <w:rFonts w:ascii="Times New Roman" w:hAnsi="Times New Roman"/>
          <w:b/>
          <w:bCs/>
        </w:rPr>
        <w:t xml:space="preserve">] </w:t>
      </w:r>
      <w:r>
        <w:rPr>
          <w:rFonts w:ascii="Times New Roman" w:hAnsi="Times New Roman"/>
        </w:rPr>
        <w:t xml:space="preserve">   In one embodiment, the invention provides a non-transitory computer-readable medium storing instructions that, when executed by one or more processors, cause the processors to perform operations corresponding to the graph lifecycle method described herein.</w:t>
      </w:r>
    </w:p>
    <w:p>
      <w:pPr>
        <w:pStyle w:val="BodyText"/>
        <w:bidi w:val="0"/>
        <w:jc w:val="start"/>
        <w:rPr>
          <w:rFonts w:ascii="Times New Roman" w:hAnsi="Times New Roman"/>
          <w:sz w:val="24"/>
        </w:rPr>
      </w:pPr>
      <w:r>
        <w:rPr>
          <w:rFonts w:ascii="Times New Roman" w:hAnsi="Times New Roman"/>
          <w:b/>
          <w:bCs/>
        </w:rPr>
        <w:t>[004</w:t>
      </w:r>
      <w:r>
        <w:rPr>
          <w:rFonts w:ascii="Times New Roman" w:hAnsi="Times New Roman"/>
          <w:b/>
          <w:bCs/>
        </w:rPr>
        <w:t>1</w:t>
      </w:r>
      <w:r>
        <w:rPr>
          <w:rFonts w:ascii="Times New Roman" w:hAnsi="Times New Roman"/>
          <w:b/>
          <w:bCs/>
        </w:rPr>
        <w:t xml:space="preserve">] </w:t>
      </w:r>
      <w:r>
        <w:rPr>
          <w:rFonts w:ascii="Times New Roman" w:hAnsi="Times New Roman"/>
        </w:rPr>
        <w:t xml:space="preserve">   The instructions cause the system to represent digital assets as transition-state nodes 200, each including a node identifier 215, transition type, and epoch.</w:t>
      </w:r>
    </w:p>
    <w:p>
      <w:pPr>
        <w:pStyle w:val="BodyText"/>
        <w:bidi w:val="0"/>
        <w:jc w:val="start"/>
        <w:rPr>
          <w:rFonts w:ascii="Times New Roman" w:hAnsi="Times New Roman"/>
          <w:sz w:val="24"/>
        </w:rPr>
      </w:pPr>
      <w:r>
        <w:rPr>
          <w:rFonts w:ascii="Times New Roman" w:hAnsi="Times New Roman"/>
          <w:b/>
          <w:bCs/>
        </w:rPr>
        <w:t>[004</w:t>
      </w:r>
      <w:r>
        <w:rPr>
          <w:rFonts w:ascii="Times New Roman" w:hAnsi="Times New Roman"/>
          <w:b/>
          <w:bCs/>
        </w:rPr>
        <w:t>2</w:t>
      </w:r>
      <w:r>
        <w:rPr>
          <w:rFonts w:ascii="Times New Roman" w:hAnsi="Times New Roman"/>
          <w:b/>
          <w:bCs/>
        </w:rPr>
        <w:t xml:space="preserve">] </w:t>
      </w:r>
      <w:r>
        <w:rPr>
          <w:rFonts w:ascii="Times New Roman" w:hAnsi="Times New Roman"/>
        </w:rPr>
        <w:t xml:space="preserve">   The instructions further cause the system to establish dependency edges 250 between nodes, encode those relations as edge commitments 255, and insert both node commitments 210 and edge commitments 255 into a Merkle accumulator 140.</w:t>
      </w:r>
    </w:p>
    <w:p>
      <w:pPr>
        <w:pStyle w:val="BodyText"/>
        <w:bidi w:val="0"/>
        <w:jc w:val="start"/>
        <w:rPr>
          <w:rFonts w:ascii="Times New Roman" w:hAnsi="Times New Roman"/>
          <w:sz w:val="24"/>
        </w:rPr>
      </w:pPr>
      <w:r>
        <w:rPr>
          <w:rFonts w:ascii="Times New Roman" w:hAnsi="Times New Roman"/>
          <w:b/>
          <w:bCs/>
        </w:rPr>
        <w:t>[004</w:t>
      </w:r>
      <w:r>
        <w:rPr>
          <w:rFonts w:ascii="Times New Roman" w:hAnsi="Times New Roman"/>
          <w:b/>
          <w:bCs/>
        </w:rPr>
        <w:t>3</w:t>
      </w:r>
      <w:r>
        <w:rPr>
          <w:rFonts w:ascii="Times New Roman" w:hAnsi="Times New Roman"/>
          <w:b/>
          <w:bCs/>
        </w:rPr>
        <w:t xml:space="preserve">] </w:t>
      </w:r>
      <w:r>
        <w:rPr>
          <w:rFonts w:ascii="Times New Roman" w:hAnsi="Times New Roman"/>
        </w:rPr>
        <w:t xml:space="preserve">   The instructions cause the root-chain logger 150 to extend epoch roots 230 into cumulative root values 240, and the anchor interface 160 to anchor these values in independent transparency services or jurisdictional anchors 280, 285.</w:t>
      </w:r>
    </w:p>
    <w:p>
      <w:pPr>
        <w:pStyle w:val="BodyText"/>
        <w:bidi w:val="0"/>
        <w:jc w:val="start"/>
        <w:rPr>
          <w:rFonts w:ascii="Times New Roman" w:hAnsi="Times New Roman"/>
          <w:sz w:val="24"/>
        </w:rPr>
      </w:pPr>
      <w:r>
        <w:rPr>
          <w:rFonts w:ascii="Times New Roman" w:hAnsi="Times New Roman"/>
          <w:b/>
          <w:bCs/>
        </w:rPr>
        <w:t>[004</w:t>
      </w:r>
      <w:r>
        <w:rPr>
          <w:rFonts w:ascii="Times New Roman" w:hAnsi="Times New Roman"/>
          <w:b/>
          <w:bCs/>
        </w:rPr>
        <w:t>4</w:t>
      </w:r>
      <w:r>
        <w:rPr>
          <w:rFonts w:ascii="Times New Roman" w:hAnsi="Times New Roman"/>
          <w:b/>
          <w:bCs/>
        </w:rPr>
        <w:t>]</w:t>
      </w:r>
      <w:r>
        <w:rPr>
          <w:rFonts w:ascii="Times New Roman" w:hAnsi="Times New Roman"/>
        </w:rPr>
        <w:t xml:space="preserve">    The instructions further cause the system to generate graph lifecycle receipts 300 containing node identifiers 215, edge relations 250, Merkle paths 220, epoch roots 230, cumulative root values 240, and optional fields such as regulatory basis hashes 170, scheme identifiers 290, or null digest markers 270.</w:t>
      </w:r>
    </w:p>
    <w:p>
      <w:pPr>
        <w:pStyle w:val="BodyText"/>
        <w:bidi w:val="0"/>
        <w:jc w:val="start"/>
        <w:rPr>
          <w:rFonts w:ascii="Times New Roman" w:hAnsi="Times New Roman"/>
          <w:sz w:val="24"/>
        </w:rPr>
      </w:pPr>
      <w:r>
        <w:rPr>
          <w:rFonts w:ascii="Times New Roman" w:hAnsi="Times New Roman"/>
          <w:b/>
          <w:bCs/>
        </w:rPr>
        <w:t>[004</w:t>
      </w:r>
      <w:r>
        <w:rPr>
          <w:rFonts w:ascii="Times New Roman" w:hAnsi="Times New Roman"/>
          <w:b/>
          <w:bCs/>
        </w:rPr>
        <w:t>5</w:t>
      </w:r>
      <w:r>
        <w:rPr>
          <w:rFonts w:ascii="Times New Roman" w:hAnsi="Times New Roman"/>
          <w:b/>
          <w:bCs/>
        </w:rPr>
        <w:t xml:space="preserve">] </w:t>
      </w:r>
      <w:r>
        <w:rPr>
          <w:rFonts w:ascii="Times New Roman" w:hAnsi="Times New Roman"/>
        </w:rPr>
        <w:t xml:space="preserve">   The instructions enforce persistence and consistency of the graph lifecycle by ensuring that once nodes and edges are recorded, they cannot be reversed or removed, and by propagating dependencies such that destruction or migration of parent nodes implies corresponding changes in dependent nodes.</w:t>
      </w:r>
    </w:p>
    <w:p>
      <w:pPr>
        <w:pStyle w:val="BodyText"/>
        <w:bidi w:val="0"/>
        <w:jc w:val="start"/>
        <w:rPr>
          <w:rFonts w:ascii="Times New Roman" w:hAnsi="Times New Roman"/>
          <w:sz w:val="24"/>
        </w:rPr>
      </w:pPr>
      <w:r>
        <w:rPr>
          <w:rFonts w:ascii="Times New Roman" w:hAnsi="Times New Roman"/>
          <w:b/>
          <w:bCs/>
        </w:rPr>
        <w:t>[004</w:t>
      </w:r>
      <w:r>
        <w:rPr>
          <w:rFonts w:ascii="Times New Roman" w:hAnsi="Times New Roman"/>
          <w:b/>
          <w:bCs/>
        </w:rPr>
        <w:t>6</w:t>
      </w:r>
      <w:r>
        <w:rPr>
          <w:rFonts w:ascii="Times New Roman" w:hAnsi="Times New Roman"/>
          <w:b/>
          <w:bCs/>
        </w:rPr>
        <w:t xml:space="preserve">]  </w:t>
      </w:r>
      <w:r>
        <w:rPr>
          <w:rFonts w:ascii="Times New Roman" w:hAnsi="Times New Roman"/>
        </w:rPr>
        <w:t xml:space="preserve">  The instructions also enable verifiers to reconstruct subgraphs from receipts, validate Merkle proofs 220 and cumulative root values 240, and check consistency of dependency edges 250, thereby providing cryptographic assurance of both individual transitions and interrelated lifecycles without requiring access to underlying asset data.</w:t>
      </w:r>
    </w:p>
    <w:p>
      <w:pPr>
        <w:pStyle w:val="Heading3"/>
        <w:bidi w:val="0"/>
        <w:jc w:val="start"/>
        <w:rPr>
          <w:rFonts w:ascii="Times New Roman" w:hAnsi="Times New Roman"/>
          <w:smallCaps/>
          <w:sz w:val="24"/>
          <w:szCs w:val="24"/>
        </w:rPr>
      </w:pPr>
      <w:r>
        <w:rPr>
          <w:rFonts w:ascii="Times New Roman" w:hAnsi="Times New Roman"/>
          <w:smallCaps/>
          <w:sz w:val="24"/>
          <w:szCs w:val="24"/>
        </w:rPr>
        <w:t>Illustrative Embodiments</w:t>
      </w:r>
    </w:p>
    <w:p>
      <w:pPr>
        <w:pStyle w:val="BodyText"/>
        <w:bidi w:val="0"/>
        <w:jc w:val="start"/>
        <w:rPr>
          <w:rFonts w:ascii="Times New Roman" w:hAnsi="Times New Roman"/>
          <w:sz w:val="24"/>
        </w:rPr>
      </w:pPr>
      <w:r>
        <w:rPr>
          <w:rFonts w:ascii="Times New Roman" w:hAnsi="Times New Roman"/>
          <w:b/>
          <w:bCs/>
        </w:rPr>
        <w:t>[004</w:t>
      </w:r>
      <w:r>
        <w:rPr>
          <w:rFonts w:ascii="Times New Roman" w:hAnsi="Times New Roman"/>
          <w:b/>
          <w:bCs/>
        </w:rPr>
        <w:t>7</w:t>
      </w:r>
      <w:r>
        <w:rPr>
          <w:rFonts w:ascii="Times New Roman" w:hAnsi="Times New Roman"/>
          <w:b/>
          <w:bCs/>
        </w:rPr>
        <w:t xml:space="preserve">] </w:t>
      </w:r>
      <w:r>
        <w:rPr>
          <w:rFonts w:ascii="Times New Roman" w:hAnsi="Times New Roman"/>
        </w:rPr>
        <w:t xml:space="preserve">   </w:t>
      </w:r>
      <w:r>
        <w:rPr>
          <w:rStyle w:val="Strong"/>
          <w:rFonts w:ascii="Times New Roman" w:hAnsi="Times New Roman"/>
        </w:rPr>
        <w:t>Coordinated Erasure (Privacy Compliance).</w:t>
      </w:r>
      <w:r>
        <w:rPr>
          <w:rFonts w:ascii="Times New Roman" w:hAnsi="Times New Roman"/>
        </w:rPr>
        <w:br/>
        <w:t>In one embodiment, the system manages coordinated destruction across a dependency graph. A parent dataset node 200 representing a customer record is linked via dependency edges 250 to multiple child nodes 200 representing derived attributes or transactions. When the parent node is destroyed, corresponding child nodes are also destroyed, and receipts 300 record both the parent and propagated child transitions. This provides cryptographic proof of coordinated erasure across the dataset, meeting mandates such as GDPR requirements for deletion “without undue delay.”</w:t>
      </w:r>
    </w:p>
    <w:p>
      <w:pPr>
        <w:pStyle w:val="BodyText"/>
        <w:bidi w:val="0"/>
        <w:jc w:val="start"/>
        <w:rPr>
          <w:rFonts w:ascii="Times New Roman" w:hAnsi="Times New Roman"/>
          <w:sz w:val="24"/>
        </w:rPr>
      </w:pPr>
      <w:r>
        <w:rPr>
          <w:rStyle w:val="Strong"/>
          <w:rFonts w:ascii="Times New Roman" w:hAnsi="Times New Roman"/>
        </w:rPr>
        <w:t>[004</w:t>
      </w:r>
      <w:r>
        <w:rPr>
          <w:rStyle w:val="Strong"/>
          <w:rFonts w:ascii="Times New Roman" w:hAnsi="Times New Roman"/>
        </w:rPr>
        <w:t>8</w:t>
      </w:r>
      <w:r>
        <w:rPr>
          <w:rStyle w:val="Strong"/>
          <w:rFonts w:ascii="Times New Roman" w:hAnsi="Times New Roman"/>
        </w:rPr>
        <w:t>]    Graph Traversal Algorithms.</w:t>
      </w:r>
      <w:r>
        <w:rPr>
          <w:rFonts w:ascii="Times New Roman" w:hAnsi="Times New Roman"/>
        </w:rPr>
        <w:br/>
        <w:t>In one embodiment, graph verification is performed using deterministic traversal algorithms such as depth-first search (DFS) or breadth-first search (BFS). Traversal enables reconstruction of dependency chains from receipts 300 and detection of disconnected or orphaned nodes. Traversal order does not affect verification outcomes, as each edge 250 is individually bound into a cryptographic commitment 255, but implementers may select traversal strategies based on efficiency requirements.</w:t>
      </w:r>
    </w:p>
    <w:p>
      <w:pPr>
        <w:pStyle w:val="BodyText"/>
        <w:bidi w:val="0"/>
        <w:spacing w:lineRule="auto" w:line="276" w:before="0" w:after="140"/>
        <w:jc w:val="start"/>
        <w:rPr/>
      </w:pPr>
      <w:r>
        <w:rPr>
          <w:rStyle w:val="Strong"/>
          <w:rFonts w:ascii="Times New Roman" w:hAnsi="Times New Roman"/>
        </w:rPr>
        <w:t>[004</w:t>
      </w:r>
      <w:r>
        <w:rPr>
          <w:rStyle w:val="Strong"/>
          <w:rFonts w:ascii="Times New Roman" w:hAnsi="Times New Roman"/>
        </w:rPr>
        <w:t>9</w:t>
      </w:r>
      <w:r>
        <w:rPr>
          <w:rStyle w:val="Strong"/>
          <w:rFonts w:ascii="Times New Roman" w:hAnsi="Times New Roman"/>
        </w:rPr>
        <w:t>]    Maximum Graph Size and Depth.</w:t>
      </w:r>
      <w:r>
        <w:rPr>
          <w:rFonts w:ascii="Times New Roman" w:hAnsi="Times New Roman"/>
        </w:rPr>
        <w:br/>
        <w:t xml:space="preserve">The lifecycle graph may be bounded in size or depth according to system requirements. In one embodiment, the system enforces a maximum depth D, preventing unbounded dependency chains that could impair verification performance. Similarly, maximum graph size N may be configured per epoch to ensure Merkle accumulator 140 operations remain tractable. For example, with N = 10⁶ nodes per epoch, Merkle proofs 220 require approximately log₂(N) ≈ 20 hash computations, well within commodity processor capabilities.  </w:t>
      </w:r>
      <w:r>
        <w:rPr/>
        <w:t xml:space="preserve">For example, with D = 10 levels of dependency, even complex organizational hierarchies or supply chains can be represented while maintaining tractable verification performance. </w:t>
      </w:r>
    </w:p>
    <w:p>
      <w:pPr>
        <w:pStyle w:val="BodyText"/>
        <w:bidi w:val="0"/>
        <w:jc w:val="start"/>
        <w:rPr/>
      </w:pPr>
      <w:r>
        <w:rPr>
          <w:rStyle w:val="Strong"/>
          <w:rFonts w:ascii="Times New Roman" w:hAnsi="Times New Roman"/>
        </w:rPr>
        <w:t>[00</w:t>
      </w:r>
      <w:r>
        <w:rPr>
          <w:rStyle w:val="Strong"/>
          <w:rFonts w:ascii="Times New Roman" w:hAnsi="Times New Roman"/>
        </w:rPr>
        <w:t>50</w:t>
      </w:r>
      <w:r>
        <w:rPr>
          <w:rStyle w:val="Strong"/>
          <w:rFonts w:ascii="Times New Roman" w:hAnsi="Times New Roman"/>
        </w:rPr>
        <w:t>]    Cycle Detection and Prevention.</w:t>
      </w:r>
      <w:r>
        <w:rPr>
          <w:rFonts w:ascii="Times New Roman" w:hAnsi="Times New Roman"/>
        </w:rPr>
        <w:br/>
        <w:t xml:space="preserve">In another embodiment, the graph constructor 130 enforces acyclicity of dependency edges 250. Cycles are detected during insertion using algorithms such as union-find with path compression or topological ordering checks. If a cycle is detected—e.g., </w:t>
      </w:r>
      <w:r>
        <w:rPr/>
        <w:t xml:space="preserve">asset A depends on asset B which transitively depends back on asset A </w:t>
      </w:r>
      <w:r>
        <w:rPr>
          <w:rFonts w:ascii="Times New Roman" w:hAnsi="Times New Roman"/>
        </w:rPr>
        <w:t>—the system rejects the edge commitment 255 and issues an error state. Preventing cycles ensures that lifecycle graphs remain directed acyclic graphs (DAGs), which guarantees termination of traversal and unambiguous propagation of transitions.</w:t>
      </w:r>
    </w:p>
    <w:p>
      <w:pPr>
        <w:pStyle w:val="BodyText"/>
        <w:bidi w:val="0"/>
        <w:jc w:val="start"/>
        <w:rPr>
          <w:rFonts w:ascii="Times New Roman" w:hAnsi="Times New Roman"/>
          <w:sz w:val="24"/>
        </w:rPr>
      </w:pPr>
      <w:r>
        <w:rPr>
          <w:rFonts w:ascii="Times New Roman" w:hAnsi="Times New Roman"/>
          <w:b/>
          <w:bCs/>
        </w:rPr>
        <w:t>[00</w:t>
      </w:r>
      <w:r>
        <w:rPr>
          <w:rFonts w:ascii="Times New Roman" w:hAnsi="Times New Roman"/>
          <w:b/>
          <w:bCs/>
        </w:rPr>
        <w:t>51</w:t>
      </w:r>
      <w:r>
        <w:rPr>
          <w:rFonts w:ascii="Times New Roman" w:hAnsi="Times New Roman"/>
          <w:b/>
          <w:bCs/>
        </w:rPr>
        <w:t xml:space="preserve">] </w:t>
      </w:r>
      <w:r>
        <w:rPr>
          <w:rFonts w:ascii="Times New Roman" w:hAnsi="Times New Roman"/>
        </w:rPr>
        <w:t xml:space="preserve">   </w:t>
      </w:r>
      <w:r>
        <w:rPr>
          <w:rStyle w:val="Strong"/>
          <w:rFonts w:ascii="Times New Roman" w:hAnsi="Times New Roman"/>
        </w:rPr>
        <w:t xml:space="preserve">Dataset Migration (Quantum-Safe Transition).  </w:t>
      </w:r>
      <w:r>
        <w:rPr>
          <w:rFonts w:ascii="Times New Roman" w:hAnsi="Times New Roman"/>
        </w:rPr>
        <w:t>In another embodiment, the system manages dataset-wide migration from a quantum-vulnerable scheme to a quantum-safe scheme. A migration node 200 is created for the dataset, and edges 250 link each child node representing a constituent record. The resulting receipts 300 prove that migration of the dataset included all dependent records, ensuring continuity of protection for the entire dataset.</w:t>
      </w:r>
    </w:p>
    <w:p>
      <w:pPr>
        <w:pStyle w:val="BodyText"/>
        <w:bidi w:val="0"/>
        <w:jc w:val="start"/>
        <w:rPr>
          <w:rFonts w:ascii="Times New Roman" w:hAnsi="Times New Roman"/>
          <w:sz w:val="24"/>
        </w:rPr>
      </w:pPr>
      <w:r>
        <w:rPr>
          <w:rFonts w:ascii="Times New Roman" w:hAnsi="Times New Roman"/>
          <w:b/>
          <w:bCs/>
        </w:rPr>
        <w:t>[00</w:t>
      </w:r>
      <w:r>
        <w:rPr>
          <w:rFonts w:ascii="Times New Roman" w:hAnsi="Times New Roman"/>
          <w:b/>
          <w:bCs/>
        </w:rPr>
        <w:t>52</w:t>
      </w:r>
      <w:r>
        <w:rPr>
          <w:rFonts w:ascii="Times New Roman" w:hAnsi="Times New Roman"/>
          <w:b/>
          <w:bCs/>
        </w:rPr>
        <w:t>]</w:t>
      </w:r>
      <w:r>
        <w:rPr>
          <w:rFonts w:ascii="Times New Roman" w:hAnsi="Times New Roman"/>
        </w:rPr>
        <w:t xml:space="preserve">    </w:t>
      </w:r>
      <w:r>
        <w:rPr>
          <w:rStyle w:val="Strong"/>
          <w:rFonts w:ascii="Times New Roman" w:hAnsi="Times New Roman"/>
        </w:rPr>
        <w:t xml:space="preserve">Evidentiary Chain-of-Custody.  </w:t>
      </w:r>
      <w:r>
        <w:rPr>
          <w:rFonts w:ascii="Times New Roman" w:hAnsi="Times New Roman"/>
        </w:rPr>
        <w:t>In a further embodiment, the graph lifecycle structure is applied to digital evidence management. Each evidence item is represented as a node 200, with dependency edges 250 encoding custody relations (e.g., transfer from one custodian to another). A destruction transition for an expired sample propagates to dependent derivative artifacts, proving that all items in the custody chain were retired together. This prevents inconsistencies in evidence handling and provides an immutable, verifiable record for judicial or regulatory review.</w:t>
      </w:r>
    </w:p>
    <w:p>
      <w:pPr>
        <w:pStyle w:val="BodyText"/>
        <w:bidi w:val="0"/>
        <w:jc w:val="start"/>
        <w:rPr>
          <w:rFonts w:ascii="Times New Roman" w:hAnsi="Times New Roman"/>
          <w:sz w:val="24"/>
        </w:rPr>
      </w:pPr>
      <w:r>
        <w:rPr>
          <w:rFonts w:ascii="Times New Roman" w:hAnsi="Times New Roman"/>
          <w:b/>
          <w:bCs/>
        </w:rPr>
        <w:t>[00</w:t>
      </w:r>
      <w:r>
        <w:rPr>
          <w:rFonts w:ascii="Times New Roman" w:hAnsi="Times New Roman"/>
          <w:b/>
          <w:bCs/>
        </w:rPr>
        <w:t>53</w:t>
      </w:r>
      <w:r>
        <w:rPr>
          <w:rFonts w:ascii="Times New Roman" w:hAnsi="Times New Roman"/>
          <w:b/>
          <w:bCs/>
        </w:rPr>
        <w:t xml:space="preserve">] </w:t>
      </w:r>
      <w:r>
        <w:rPr>
          <w:rFonts w:ascii="Times New Roman" w:hAnsi="Times New Roman"/>
        </w:rPr>
        <w:t xml:space="preserve">   </w:t>
      </w:r>
      <w:r>
        <w:rPr>
          <w:rStyle w:val="Strong"/>
          <w:rFonts w:ascii="Times New Roman" w:hAnsi="Times New Roman"/>
        </w:rPr>
        <w:t xml:space="preserve">Cross-Jurisdictional Verification.  </w:t>
      </w:r>
      <w:r>
        <w:rPr>
          <w:rFonts w:ascii="Times New Roman" w:hAnsi="Times New Roman"/>
        </w:rPr>
        <w:t>In another embodiment, parallel accumulators 140 produce roots 230 that are anchored into separate transparency services 280, 285. A lifecycle graph may thus be verified independently by different regulators, each checking only the subset of nodes and edges relevant to their jurisdiction. This enables distributed oversight of shared datasets without disclosure of unrelated dependencies.</w:t>
      </w:r>
    </w:p>
    <w:p>
      <w:pPr>
        <w:pStyle w:val="BodyText"/>
        <w:bidi w:val="0"/>
        <w:jc w:val="start"/>
        <w:rPr>
          <w:rFonts w:ascii="Times New Roman" w:hAnsi="Times New Roman"/>
          <w:sz w:val="24"/>
        </w:rPr>
      </w:pPr>
      <w:r>
        <w:rPr>
          <w:rFonts w:ascii="Times New Roman" w:hAnsi="Times New Roman"/>
          <w:b/>
          <w:bCs/>
        </w:rPr>
        <w:t>[005</w:t>
      </w:r>
      <w:r>
        <w:rPr>
          <w:rFonts w:ascii="Times New Roman" w:hAnsi="Times New Roman"/>
          <w:b/>
          <w:bCs/>
        </w:rPr>
        <w:t>4</w:t>
      </w:r>
      <w:r>
        <w:rPr>
          <w:rFonts w:ascii="Times New Roman" w:hAnsi="Times New Roman"/>
          <w:b/>
          <w:bCs/>
        </w:rPr>
        <w:t xml:space="preserve">] </w:t>
      </w:r>
      <w:r>
        <w:rPr>
          <w:rFonts w:ascii="Times New Roman" w:hAnsi="Times New Roman"/>
        </w:rPr>
        <w:t xml:space="preserve">   </w:t>
      </w:r>
      <w:r>
        <w:rPr>
          <w:rStyle w:val="Strong"/>
          <w:rFonts w:ascii="Times New Roman" w:hAnsi="Times New Roman"/>
        </w:rPr>
        <w:t xml:space="preserve">Composable Lifecycle Histories.  </w:t>
      </w:r>
      <w:r>
        <w:rPr>
          <w:rFonts w:ascii="Times New Roman" w:hAnsi="Times New Roman"/>
        </w:rPr>
        <w:t>In yet another embodiment, lifecycle graphs are chained across epochs by cumulative root values 240. An asset may progress through creation, retention, migration, and destruction, with each node linked through dependency edges to related assets. The resulting graph represents a composable lifecycle history that captures both individual asset transitions and inter-asset dependencies, enabling organizations to reconstruct complex, multi-asset histories without reliance on mutable logs.</w:t>
      </w:r>
    </w:p>
    <w:p>
      <w:pPr>
        <w:pStyle w:val="Heading3"/>
        <w:bidi w:val="0"/>
        <w:jc w:val="start"/>
        <w:rPr>
          <w:rFonts w:ascii="Times New Roman" w:hAnsi="Times New Roman"/>
          <w:sz w:val="24"/>
          <w:szCs w:val="24"/>
        </w:rPr>
      </w:pPr>
      <w:r>
        <w:rPr>
          <w:rFonts w:ascii="Times New Roman" w:hAnsi="Times New Roman"/>
          <w:sz w:val="24"/>
          <w:szCs w:val="24"/>
        </w:rPr>
        <w:t>Figure Descriptions</w:t>
      </w:r>
    </w:p>
    <w:p>
      <w:pPr>
        <w:pStyle w:val="BodyText"/>
        <w:bidi w:val="0"/>
        <w:jc w:val="start"/>
        <w:rPr>
          <w:rFonts w:ascii="Times New Roman" w:hAnsi="Times New Roman"/>
          <w:sz w:val="24"/>
        </w:rPr>
      </w:pPr>
      <w:r>
        <w:rPr>
          <w:rFonts w:ascii="Times New Roman" w:hAnsi="Times New Roman"/>
          <w:b/>
          <w:bCs/>
        </w:rPr>
        <w:t>[005</w:t>
      </w:r>
      <w:r>
        <w:rPr>
          <w:rFonts w:ascii="Times New Roman" w:hAnsi="Times New Roman"/>
          <w:b/>
          <w:bCs/>
        </w:rPr>
        <w:t>5</w:t>
      </w:r>
      <w:r>
        <w:rPr>
          <w:rFonts w:ascii="Times New Roman" w:hAnsi="Times New Roman"/>
          <w:b/>
          <w:bCs/>
        </w:rPr>
        <w:t xml:space="preserve">] </w:t>
      </w:r>
      <w:r>
        <w:rPr>
          <w:rFonts w:ascii="Times New Roman" w:hAnsi="Times New Roman"/>
        </w:rPr>
        <w:t xml:space="preserve">   </w:t>
      </w:r>
      <w:r>
        <w:rPr>
          <w:rStyle w:val="Strong"/>
          <w:rFonts w:ascii="Times New Roman" w:hAnsi="Times New Roman"/>
        </w:rPr>
        <w:t>FIG. 1</w:t>
      </w:r>
      <w:r>
        <w:rPr>
          <w:rFonts w:ascii="Times New Roman" w:hAnsi="Times New Roman"/>
        </w:rPr>
        <w:t xml:space="preserve"> is a block diagram of a system architecture for constructing and verifying graph-based lifecycles of digital assets. The architecture includes a state transition engine 110, a graph constructor 130, a Merkle accumulator 140, a root-chain logger 150, an anchor interface 160, a receipt store 190, and a verification module 120.</w:t>
      </w:r>
    </w:p>
    <w:p>
      <w:pPr>
        <w:pStyle w:val="BodyText"/>
        <w:bidi w:val="0"/>
        <w:jc w:val="start"/>
        <w:rPr>
          <w:rFonts w:ascii="Times New Roman" w:hAnsi="Times New Roman"/>
          <w:sz w:val="24"/>
        </w:rPr>
      </w:pPr>
      <w:r>
        <w:rPr>
          <w:rFonts w:ascii="Times New Roman" w:hAnsi="Times New Roman"/>
          <w:b/>
          <w:bCs/>
        </w:rPr>
        <w:t>[005</w:t>
      </w:r>
      <w:r>
        <w:rPr>
          <w:rFonts w:ascii="Times New Roman" w:hAnsi="Times New Roman"/>
          <w:b/>
          <w:bCs/>
        </w:rPr>
        <w:t>6</w:t>
      </w:r>
      <w:r>
        <w:rPr>
          <w:rFonts w:ascii="Times New Roman" w:hAnsi="Times New Roman"/>
          <w:b/>
          <w:bCs/>
        </w:rPr>
        <w:t xml:space="preserve">] </w:t>
      </w:r>
      <w:r>
        <w:rPr>
          <w:rFonts w:ascii="Times New Roman" w:hAnsi="Times New Roman"/>
        </w:rPr>
        <w:t xml:space="preserve">   </w:t>
      </w:r>
      <w:r>
        <w:rPr>
          <w:rStyle w:val="Strong"/>
          <w:rFonts w:ascii="Times New Roman" w:hAnsi="Times New Roman"/>
        </w:rPr>
        <w:t>FIG. 2</w:t>
      </w:r>
      <w:r>
        <w:rPr>
          <w:rFonts w:ascii="Times New Roman" w:hAnsi="Times New Roman"/>
        </w:rPr>
        <w:t xml:space="preserve"> is a schematic representation of a lifecycle graph, showing transition-state nodes 200 connected by dependency edges 250. Nodes correspond to individual asset transitions, while edges encode relations such as parent–child or predecessor–successor.</w:t>
      </w:r>
    </w:p>
    <w:p>
      <w:pPr>
        <w:pStyle w:val="BodyText"/>
        <w:bidi w:val="0"/>
        <w:jc w:val="start"/>
        <w:rPr>
          <w:rFonts w:ascii="Times New Roman" w:hAnsi="Times New Roman"/>
          <w:sz w:val="24"/>
        </w:rPr>
      </w:pPr>
      <w:r>
        <w:rPr>
          <w:rFonts w:ascii="Times New Roman" w:hAnsi="Times New Roman"/>
          <w:b/>
          <w:bCs/>
        </w:rPr>
        <w:t>[005</w:t>
      </w:r>
      <w:r>
        <w:rPr>
          <w:rFonts w:ascii="Times New Roman" w:hAnsi="Times New Roman"/>
          <w:b/>
          <w:bCs/>
        </w:rPr>
        <w:t>7]</w:t>
      </w:r>
      <w:r>
        <w:rPr>
          <w:rFonts w:ascii="Times New Roman" w:hAnsi="Times New Roman"/>
          <w:b/>
          <w:bCs/>
        </w:rPr>
        <w:t xml:space="preserve"> </w:t>
      </w:r>
      <w:r>
        <w:rPr>
          <w:rFonts w:ascii="Times New Roman" w:hAnsi="Times New Roman"/>
        </w:rPr>
        <w:t xml:space="preserve">   </w:t>
      </w:r>
      <w:r>
        <w:rPr>
          <w:rStyle w:val="Strong"/>
          <w:rFonts w:ascii="Times New Roman" w:hAnsi="Times New Roman"/>
        </w:rPr>
        <w:t>FIG. 3</w:t>
      </w:r>
      <w:r>
        <w:rPr>
          <w:rFonts w:ascii="Times New Roman" w:hAnsi="Times New Roman"/>
        </w:rPr>
        <w:t xml:space="preserve"> is a sequence diagram illustrating creation of a node–edge commitment. The process includes generating a node commitment 210, encoding an edge commitment 255, inserting both into the Merkle accumulator 140, computing the epoch root 230, and extending it into a cumulative root value 240.</w:t>
      </w:r>
    </w:p>
    <w:p>
      <w:pPr>
        <w:pStyle w:val="BodyText"/>
        <w:bidi w:val="0"/>
        <w:jc w:val="start"/>
        <w:rPr>
          <w:rFonts w:ascii="Times New Roman" w:hAnsi="Times New Roman"/>
          <w:sz w:val="24"/>
        </w:rPr>
      </w:pPr>
      <w:r>
        <w:rPr>
          <w:rFonts w:ascii="Times New Roman" w:hAnsi="Times New Roman"/>
          <w:b/>
          <w:bCs/>
        </w:rPr>
        <w:t>[005</w:t>
      </w:r>
      <w:r>
        <w:rPr>
          <w:rFonts w:ascii="Times New Roman" w:hAnsi="Times New Roman"/>
          <w:b/>
          <w:bCs/>
        </w:rPr>
        <w:t>8</w:t>
      </w:r>
      <w:r>
        <w:rPr>
          <w:rFonts w:ascii="Times New Roman" w:hAnsi="Times New Roman"/>
          <w:b/>
          <w:bCs/>
        </w:rPr>
        <w:t xml:space="preserve">] </w:t>
      </w:r>
      <w:r>
        <w:rPr>
          <w:rFonts w:ascii="Times New Roman" w:hAnsi="Times New Roman"/>
        </w:rPr>
        <w:t xml:space="preserve">   </w:t>
      </w:r>
      <w:r>
        <w:rPr>
          <w:rStyle w:val="Strong"/>
          <w:rFonts w:ascii="Times New Roman" w:hAnsi="Times New Roman"/>
        </w:rPr>
        <w:t>FIG. 4</w:t>
      </w:r>
      <w:r>
        <w:rPr>
          <w:rFonts w:ascii="Times New Roman" w:hAnsi="Times New Roman"/>
        </w:rPr>
        <w:t xml:space="preserve"> is a diagram of cumulative root chaining for graph commitments. Successive epoch roots 230 are linked by cumulative root values 240 to enforce forward-only progression and detect replay of stale commitments.</w:t>
      </w:r>
    </w:p>
    <w:p>
      <w:pPr>
        <w:pStyle w:val="BodyText"/>
        <w:bidi w:val="0"/>
        <w:jc w:val="start"/>
        <w:rPr>
          <w:rFonts w:ascii="Times New Roman" w:hAnsi="Times New Roman"/>
          <w:sz w:val="24"/>
        </w:rPr>
      </w:pPr>
      <w:r>
        <w:rPr>
          <w:rFonts w:ascii="Times New Roman" w:hAnsi="Times New Roman"/>
          <w:b/>
          <w:bCs/>
        </w:rPr>
        <w:t>[005</w:t>
      </w:r>
      <w:r>
        <w:rPr>
          <w:rFonts w:ascii="Times New Roman" w:hAnsi="Times New Roman"/>
          <w:b/>
          <w:bCs/>
        </w:rPr>
        <w:t>9</w:t>
      </w:r>
      <w:r>
        <w:rPr>
          <w:rFonts w:ascii="Times New Roman" w:hAnsi="Times New Roman"/>
          <w:b/>
          <w:bCs/>
        </w:rPr>
        <w:t xml:space="preserve">]  </w:t>
      </w:r>
      <w:r>
        <w:rPr>
          <w:rFonts w:ascii="Times New Roman" w:hAnsi="Times New Roman"/>
        </w:rPr>
        <w:t xml:space="preserve">  </w:t>
      </w:r>
      <w:r>
        <w:rPr>
          <w:rStyle w:val="Strong"/>
          <w:rFonts w:ascii="Times New Roman" w:hAnsi="Times New Roman"/>
        </w:rPr>
        <w:t>FIG. 5</w:t>
      </w:r>
      <w:r>
        <w:rPr>
          <w:rFonts w:ascii="Times New Roman" w:hAnsi="Times New Roman"/>
        </w:rPr>
        <w:t xml:space="preserve"> is a schematic of coordinated destruction in a dependency graph. A parent node 200 is destroyed, producing a null digest 270, and the destruction propagates via edges 250 to linked child nodes, ensuring consistent lifecycle termination across the graph.</w:t>
      </w:r>
    </w:p>
    <w:p>
      <w:pPr>
        <w:pStyle w:val="BodyText"/>
        <w:bidi w:val="0"/>
        <w:jc w:val="start"/>
        <w:rPr>
          <w:rFonts w:ascii="Times New Roman" w:hAnsi="Times New Roman"/>
          <w:sz w:val="24"/>
        </w:rPr>
      </w:pPr>
      <w:r>
        <w:rPr>
          <w:rFonts w:ascii="Times New Roman" w:hAnsi="Times New Roman"/>
          <w:b/>
          <w:bCs/>
        </w:rPr>
        <w:t>[00</w:t>
      </w:r>
      <w:r>
        <w:rPr>
          <w:rFonts w:ascii="Times New Roman" w:hAnsi="Times New Roman"/>
          <w:b/>
          <w:bCs/>
        </w:rPr>
        <w:t>60</w:t>
      </w:r>
      <w:r>
        <w:rPr>
          <w:rFonts w:ascii="Times New Roman" w:hAnsi="Times New Roman"/>
          <w:b/>
          <w:bCs/>
        </w:rPr>
        <w:t xml:space="preserve">] </w:t>
      </w:r>
      <w:r>
        <w:rPr>
          <w:rFonts w:ascii="Times New Roman" w:hAnsi="Times New Roman"/>
        </w:rPr>
        <w:t xml:space="preserve">   </w:t>
      </w:r>
      <w:r>
        <w:rPr>
          <w:rStyle w:val="Strong"/>
          <w:rFonts w:ascii="Times New Roman" w:hAnsi="Times New Roman"/>
        </w:rPr>
        <w:t>FIG. 6</w:t>
      </w:r>
      <w:r>
        <w:rPr>
          <w:rFonts w:ascii="Times New Roman" w:hAnsi="Times New Roman"/>
        </w:rPr>
        <w:t xml:space="preserve"> is a schematic of coordinated migration in a dependency graph. A dataset migration node 200 is created with a scheme identifier 290 representing a quantum-safe successor. Dependency edges 250 link child nodes to the dataset, proving that all constituent assets were migrated together.</w:t>
      </w:r>
    </w:p>
    <w:p>
      <w:pPr>
        <w:pStyle w:val="BodyText"/>
        <w:bidi w:val="0"/>
        <w:jc w:val="start"/>
        <w:rPr>
          <w:rFonts w:ascii="Times New Roman" w:hAnsi="Times New Roman"/>
          <w:sz w:val="24"/>
        </w:rPr>
      </w:pPr>
      <w:r>
        <w:rPr>
          <w:rFonts w:ascii="Times New Roman" w:hAnsi="Times New Roman"/>
          <w:b/>
          <w:bCs/>
        </w:rPr>
        <w:t>[00</w:t>
      </w:r>
      <w:r>
        <w:rPr>
          <w:rFonts w:ascii="Times New Roman" w:hAnsi="Times New Roman"/>
          <w:b/>
          <w:bCs/>
        </w:rPr>
        <w:t>61</w:t>
      </w:r>
      <w:r>
        <w:rPr>
          <w:rFonts w:ascii="Times New Roman" w:hAnsi="Times New Roman"/>
          <w:b/>
          <w:bCs/>
        </w:rPr>
        <w:t xml:space="preserve">] </w:t>
      </w:r>
      <w:r>
        <w:rPr>
          <w:rFonts w:ascii="Times New Roman" w:hAnsi="Times New Roman"/>
        </w:rPr>
        <w:t xml:space="preserve">   </w:t>
      </w:r>
      <w:r>
        <w:rPr>
          <w:rStyle w:val="Strong"/>
          <w:rFonts w:ascii="Times New Roman" w:hAnsi="Times New Roman"/>
        </w:rPr>
        <w:t>FIG. 7</w:t>
      </w:r>
      <w:r>
        <w:rPr>
          <w:rFonts w:ascii="Times New Roman" w:hAnsi="Times New Roman"/>
        </w:rPr>
        <w:t xml:space="preserve"> is a flow diagram of verifier logic. Receipts 300 are collected, Merkle proofs 220 are validated against roots 230, cumulative root values 240 are checked, and dependency edges 250 are reconstructed to confirm consistency of the lifecycle graph without access to underlying asset data.</w:t>
      </w:r>
    </w:p>
    <w:p>
      <w:pPr>
        <w:pStyle w:val="BodyText"/>
        <w:bidi w:val="0"/>
        <w:jc w:val="start"/>
        <w:rPr>
          <w:rFonts w:ascii="Times New Roman" w:hAnsi="Times New Roman"/>
          <w:sz w:val="24"/>
        </w:rPr>
      </w:pPr>
      <w:r>
        <w:rPr>
          <w:rFonts w:ascii="Times New Roman" w:hAnsi="Times New Roman"/>
          <w:b/>
          <w:bCs/>
        </w:rPr>
        <w:t>[00</w:t>
      </w:r>
      <w:r>
        <w:rPr>
          <w:rFonts w:ascii="Times New Roman" w:hAnsi="Times New Roman"/>
          <w:b/>
          <w:bCs/>
        </w:rPr>
        <w:t>62</w:t>
      </w:r>
      <w:r>
        <w:rPr>
          <w:rFonts w:ascii="Times New Roman" w:hAnsi="Times New Roman"/>
          <w:b/>
          <w:bCs/>
        </w:rPr>
        <w:t xml:space="preserve">] </w:t>
      </w:r>
      <w:r>
        <w:rPr>
          <w:rFonts w:ascii="Times New Roman" w:hAnsi="Times New Roman"/>
        </w:rPr>
        <w:t xml:space="preserve">   </w:t>
      </w:r>
      <w:r>
        <w:rPr>
          <w:rStyle w:val="Strong"/>
          <w:rFonts w:ascii="Times New Roman" w:hAnsi="Times New Roman"/>
        </w:rPr>
        <w:t>FIG. 8</w:t>
      </w:r>
      <w:r>
        <w:rPr>
          <w:rFonts w:ascii="Times New Roman" w:hAnsi="Times New Roman"/>
        </w:rPr>
        <w:t xml:space="preserve"> is a data-structure layout for a graph lifecycle receipt 300. The receipt includes fields for node identifiers 215, edge relations 250, commitments 210/255, Merkle paths 220, epoch roots 230, cumulative root values 240, and optional fields such as policy hashes 170, scheme identifiers 290, and jurisdictional anchors 280, 285.</w:t>
      </w:r>
    </w:p>
    <w:p>
      <w:pPr>
        <w:pStyle w:val="Heading3"/>
        <w:bidi w:val="0"/>
        <w:jc w:val="start"/>
        <w:rPr>
          <w:rFonts w:ascii="Times New Roman" w:hAnsi="Times New Roman"/>
          <w:sz w:val="24"/>
          <w:szCs w:val="24"/>
        </w:rPr>
      </w:pPr>
      <w:r>
        <w:rPr>
          <w:rFonts w:ascii="Times New Roman" w:hAnsi="Times New Roman"/>
          <w:sz w:val="24"/>
          <w:szCs w:val="24"/>
        </w:rPr>
        <w:t>Advantages and Unexpected Technical Effects</w:t>
      </w:r>
    </w:p>
    <w:p>
      <w:pPr>
        <w:pStyle w:val="BodyText"/>
        <w:bidi w:val="0"/>
        <w:jc w:val="start"/>
        <w:rPr>
          <w:rFonts w:ascii="Times New Roman" w:hAnsi="Times New Roman"/>
          <w:sz w:val="24"/>
        </w:rPr>
      </w:pPr>
      <w:r>
        <w:rPr>
          <w:rFonts w:ascii="Times New Roman" w:hAnsi="Times New Roman"/>
          <w:b/>
          <w:bCs/>
        </w:rPr>
        <w:t>[00</w:t>
      </w:r>
      <w:r>
        <w:rPr>
          <w:rFonts w:ascii="Times New Roman" w:hAnsi="Times New Roman"/>
          <w:b/>
          <w:bCs/>
        </w:rPr>
        <w:t>63</w:t>
      </w:r>
      <w:r>
        <w:rPr>
          <w:rFonts w:ascii="Times New Roman" w:hAnsi="Times New Roman"/>
          <w:b/>
          <w:bCs/>
        </w:rPr>
        <w:t xml:space="preserve">] </w:t>
      </w:r>
      <w:r>
        <w:rPr>
          <w:rFonts w:ascii="Times New Roman" w:hAnsi="Times New Roman"/>
        </w:rPr>
        <w:t xml:space="preserve">   The system architecture provides a technical improvement by encoding lifecycles as graph structures rather than isolated state sequences. An unexpected effect is that dependencies among assets, previously tracked only in mutable databases, are now represented as immutable cryptographic edges 250. By enforcing propagation of transitions across edges, the system ensures that destruction or migration events apply consistently to dependent assets. Cumulative root chaining (claim 3) produces verifiable graph histories, and anchoring into jurisdictional services (claim 5) allows multi-domain verification without disclosure of unrelated subgraphs.</w:t>
      </w:r>
    </w:p>
    <w:p>
      <w:pPr>
        <w:pStyle w:val="BodyText"/>
        <w:bidi w:val="0"/>
        <w:jc w:val="start"/>
        <w:rPr>
          <w:rFonts w:ascii="Times New Roman" w:hAnsi="Times New Roman"/>
          <w:sz w:val="24"/>
        </w:rPr>
      </w:pPr>
      <w:r>
        <w:rPr>
          <w:rFonts w:ascii="Times New Roman" w:hAnsi="Times New Roman"/>
          <w:b/>
          <w:bCs/>
        </w:rPr>
        <w:t>[006</w:t>
      </w:r>
      <w:r>
        <w:rPr>
          <w:rFonts w:ascii="Times New Roman" w:hAnsi="Times New Roman"/>
          <w:b/>
          <w:bCs/>
        </w:rPr>
        <w:t>4</w:t>
      </w:r>
      <w:r>
        <w:rPr>
          <w:rFonts w:ascii="Times New Roman" w:hAnsi="Times New Roman"/>
          <w:b/>
          <w:bCs/>
        </w:rPr>
        <w:t xml:space="preserve">] </w:t>
      </w:r>
      <w:r>
        <w:rPr>
          <w:rFonts w:ascii="Times New Roman" w:hAnsi="Times New Roman"/>
        </w:rPr>
        <w:t xml:space="preserve">   The computer-implemented method improves lifecycle verification by reconstructing and validating graphs of transition-states. An unexpected effect is that auditors can confirm both the authenticity of individual transitions and the consistency of interdependent transitions across assets. The method’s encoding of dependency edges (claim 7) eliminates ambiguity about parent–child or predecessor–successor relations, while propagation rules (claim 8) enforce coordinated erasure and migration. Verification routines (claim 9) operate without access to asset contents, addressing the technical challenge of lifecycle auditability under confidentiality constraints.</w:t>
      </w:r>
    </w:p>
    <w:p>
      <w:pPr>
        <w:pStyle w:val="BodyText"/>
        <w:bidi w:val="0"/>
        <w:jc w:val="start"/>
        <w:rPr>
          <w:rFonts w:ascii="Times New Roman" w:hAnsi="Times New Roman"/>
          <w:sz w:val="24"/>
        </w:rPr>
      </w:pPr>
      <w:r>
        <w:rPr>
          <w:rFonts w:ascii="Times New Roman" w:hAnsi="Times New Roman"/>
          <w:b/>
          <w:bCs/>
        </w:rPr>
        <w:t>[006</w:t>
      </w:r>
      <w:r>
        <w:rPr>
          <w:rFonts w:ascii="Times New Roman" w:hAnsi="Times New Roman"/>
          <w:b/>
          <w:bCs/>
        </w:rPr>
        <w:t>5</w:t>
      </w:r>
      <w:r>
        <w:rPr>
          <w:rFonts w:ascii="Times New Roman" w:hAnsi="Times New Roman"/>
          <w:b/>
          <w:bCs/>
        </w:rPr>
        <w:t xml:space="preserve">] </w:t>
      </w:r>
      <w:r>
        <w:rPr>
          <w:rFonts w:ascii="Times New Roman" w:hAnsi="Times New Roman"/>
        </w:rPr>
        <w:t xml:space="preserve">   The computer-readable medium encodes instructions to enforce the graph lifecycle model across heterogeneous systems. This enables distributed environments to maintain consistent dependency proofs. By binding edges and nodes into commitments (claim 12), the medium ensures that graph structure is cryptographically verifiable, not merely application-defined. Instructions enforcing propagation (claim 13) and cumulative root chaining (claim 14) provide software-level safeguards against inconsistent histories. Inclusion of jurisdictional anchors and regulatory basis hashes (claim 15) creates portable, audit-ready receipts usable in multi-regulator contexts.</w:t>
      </w:r>
    </w:p>
    <w:p>
      <w:pPr>
        <w:pStyle w:val="BodyText"/>
        <w:bidi w:val="0"/>
        <w:jc w:val="start"/>
        <w:rPr>
          <w:rFonts w:ascii="Times New Roman" w:hAnsi="Times New Roman"/>
          <w:sz w:val="24"/>
        </w:rPr>
      </w:pPr>
      <w:r>
        <w:rPr>
          <w:rFonts w:ascii="Times New Roman" w:hAnsi="Times New Roman"/>
          <w:b/>
          <w:bCs/>
        </w:rPr>
        <w:t>[006</w:t>
      </w:r>
      <w:r>
        <w:rPr>
          <w:rFonts w:ascii="Times New Roman" w:hAnsi="Times New Roman"/>
          <w:b/>
          <w:bCs/>
        </w:rPr>
        <w:t>6</w:t>
      </w:r>
      <w:r>
        <w:rPr>
          <w:rFonts w:ascii="Times New Roman" w:hAnsi="Times New Roman"/>
          <w:b/>
          <w:bCs/>
        </w:rPr>
        <w:t>]</w:t>
      </w:r>
      <w:r>
        <w:rPr>
          <w:rFonts w:ascii="Times New Roman" w:hAnsi="Times New Roman"/>
        </w:rPr>
        <w:t xml:space="preserve">    </w:t>
      </w:r>
      <w:r>
        <w:rPr>
          <w:rStyle w:val="Strong"/>
          <w:rFonts w:ascii="Times New Roman" w:hAnsi="Times New Roman"/>
        </w:rPr>
        <w:t xml:space="preserve">Cross-cutting effects.  </w:t>
      </w:r>
      <w:r>
        <w:rPr>
          <w:rFonts w:ascii="Times New Roman" w:hAnsi="Times New Roman"/>
        </w:rPr>
        <w:t>The graph lifecycle model also enables novel regulatory and operational assurances. Coordinated erasure across graphs provides provable compliance with privacy mandates. Dataset migration receipts prove that algorithmic upgrades covered all constituent records, an effect not taught in prior art. Evidentiary chain-of-custody graphs extend beyond single-asset proofs to multi-party custody trails. Finally, independent verifiers can validate graph consistency without access to asset data, enabling confidentiality-preserving audits at scale.</w:t>
      </w:r>
    </w:p>
    <w:p>
      <w:pPr>
        <w:pStyle w:val="BodyText"/>
        <w:bidi w:val="0"/>
        <w:jc w:val="start"/>
        <w:rPr>
          <w:rFonts w:ascii="Times New Roman" w:hAnsi="Times New Roman"/>
          <w:sz w:val="24"/>
        </w:rPr>
      </w:pPr>
      <w:r>
        <w:rPr>
          <w:rFonts w:ascii="Times New Roman" w:hAnsi="Times New Roman"/>
          <w:b/>
          <w:bCs/>
        </w:rPr>
        <w:t>[006</w:t>
      </w:r>
      <w:r>
        <w:rPr>
          <w:rFonts w:ascii="Times New Roman" w:hAnsi="Times New Roman"/>
          <w:b/>
          <w:bCs/>
        </w:rPr>
        <w:t>7</w:t>
      </w:r>
      <w:r>
        <w:rPr>
          <w:rFonts w:ascii="Times New Roman" w:hAnsi="Times New Roman"/>
          <w:b/>
          <w:bCs/>
        </w:rPr>
        <w:t xml:space="preserve">] </w:t>
      </w:r>
      <w:r>
        <w:rPr>
          <w:rFonts w:ascii="Times New Roman" w:hAnsi="Times New Roman"/>
        </w:rPr>
        <w:t xml:space="preserve">   Unlike prior systems that treat dependencies as metadata in mutable databases, the present invention binds dependencies into cryptographic proofs. This inversion—proving that relations among lifecycle events exist and were consistently applied—enables auditors to validate composable multi-asset histories without reliance on mutable logs or trusted assertions.</w:t>
      </w:r>
    </w:p>
    <w:p>
      <w:pPr>
        <w:pStyle w:val="BodyText"/>
        <w:bidi w:val="0"/>
        <w:spacing w:before="0" w:after="140"/>
        <w:jc w:val="start"/>
        <w:rPr>
          <w:rFonts w:ascii="Times New Roman" w:hAnsi="Times New Roman"/>
          <w:sz w:val="24"/>
          <w:szCs w:val="24"/>
        </w:rPr>
      </w:pPr>
      <w:r>
        <w:rPr>
          <w:rFonts w:ascii="Times New Roman" w:hAnsi="Times New Roman"/>
          <w:sz w:val="24"/>
          <w:szCs w:val="24"/>
        </w:rPr>
      </w:r>
    </w:p>
    <w:sectPr>
      <w:footerReference w:type="default" r:id="rId2"/>
      <w:type w:val="nextPage"/>
      <w:pgSz w:w="12240" w:h="15840"/>
      <w:pgMar w:left="1440" w:right="1134" w:gutter="0" w:header="0" w:top="1134"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0" w:name="PageNumWizard_FOOTER_Default_Page_Style6"/>
    <w:r>
      <w:rPr/>
      <w:fldChar w:fldCharType="begin"/>
    </w:r>
    <w:r>
      <w:rPr/>
      <w:instrText xml:space="preserve"> PAGE </w:instrText>
    </w:r>
    <w:r>
      <w:rPr/>
      <w:fldChar w:fldCharType="separate"/>
    </w:r>
    <w:r>
      <w:rPr/>
      <w:t>10</w:t>
    </w:r>
    <w:r>
      <w:rPr/>
      <w:fldChar w:fldCharType="end"/>
    </w:r>
    <w:bookmarkEnd w:id="0"/>
  </w:p>
</w:ftr>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Times New Roman" w:hAnsi="Times New Roman" w:eastAsia="NSimSun" w:cs="Arial Unicode MS"/>
      <w:color w:val="auto"/>
      <w:kern w:val="2"/>
      <w:sz w:val="24"/>
      <w:szCs w:val="24"/>
      <w:lang w:val="en-US" w:eastAsia="zh-CN" w:bidi="hi-IN"/>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Arial Unicode MS"/>
      <w:b/>
      <w:bCs/>
      <w:sz w:val="28"/>
      <w:szCs w:val="28"/>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Times New Roman" w:hAnsi="Times New Roman"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Arial Unicode MS"/>
    </w:rPr>
  </w:style>
  <w:style w:type="paragraph" w:styleId="Caption">
    <w:name w:val="caption"/>
    <w:basedOn w:val="Normal"/>
    <w:qFormat/>
    <w:pPr>
      <w:suppressLineNumbers/>
      <w:spacing w:before="120" w:after="120"/>
    </w:pPr>
    <w:rPr>
      <w:rFonts w:ascii="Times New Roman" w:hAnsi="Times New Roman" w:cs="Arial Unicode MS"/>
      <w:i/>
      <w:iCs/>
      <w:sz w:val="24"/>
      <w:szCs w:val="24"/>
    </w:rPr>
  </w:style>
  <w:style w:type="paragraph" w:styleId="Index">
    <w:name w:val="Index"/>
    <w:basedOn w:val="Normal"/>
    <w:qFormat/>
    <w:pPr>
      <w:suppressLineNumbers/>
    </w:pPr>
    <w:rPr>
      <w:rFonts w:ascii="Times New Roman" w:hAnsi="Times New Roman" w:cs="Arial Unicode MS"/>
    </w:rPr>
  </w:style>
  <w:style w:type="paragraph" w:styleId="HeaderandFooter">
    <w:name w:val="Header and Footer"/>
    <w:basedOn w:val="Normal"/>
    <w:qFormat/>
    <w:pPr>
      <w:suppressLineNumbers/>
      <w:tabs>
        <w:tab w:val="clear" w:pos="709"/>
        <w:tab w:val="center" w:pos="4833" w:leader="none"/>
        <w:tab w:val="right" w:pos="9666"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LibreOffice/25.8.1.1$Windows_X86_64 LibreOffice_project/54047653041915e595ad4e45cccea684809c77b5</Application>
  <AppVersion>15.0000</AppVersion>
  <Pages>10</Pages>
  <Words>3355</Words>
  <Characters>20758</Characters>
  <CharactersWithSpaces>24224</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2025-09-20T14:50:24Z</dcterms:created>
  <dc:creator/>
  <dc:description/>
  <dc:language>en-US</dc:language>
  <cp:lastModifiedBy/>
  <dcterms:modified xsi:type="dcterms:W3CDTF">2025-09-21T22:06:39Z</dcterms:modified>
  <cp:revision>6</cp:revision>
  <dc:subject/>
  <dc:title/>
</cp:coreProperties>
</file>