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f643334fc434e621241eaf3824c005de3d2989e"/>
    <w:p>
      <w:pPr>
        <w:pStyle w:val="Heading1"/>
      </w:pPr>
      <w:r>
        <w:t xml:space="preserve">CSTP–Graph Lifecycle: A Formal Mathematical Model (Draft v1.0)</w:t>
      </w:r>
    </w:p>
    <w:p>
      <w:pPr>
        <w:pStyle w:val="FirstParagraph"/>
      </w:pPr>
      <w:r>
        <w:rPr>
          <w:i/>
          <w:iCs/>
        </w:rPr>
        <w:t xml:space="preserve">Prepared for internal review and non-public distribution. This document formalizes the Cryptographic State Transition Proofs (CSTP) on Graph Lifecycles based on prior informal specifications. Where the source materials are silent, we propose a consistent formal model and explicitly mark gaps/assumptions.</w:t>
      </w:r>
    </w:p>
    <w:p>
      <w:r>
        <w:pict>
          <v:rect style="width:0;height:1.5pt" o:hralign="center" o:hrstd="t" o:hr="t"/>
        </w:pict>
      </w:r>
    </w:p>
    <w:bookmarkStart w:id="20" w:name="notation-conventions"/>
    <w:p>
      <w:pPr>
        <w:pStyle w:val="Heading2"/>
      </w:pPr>
      <w:r>
        <w:t xml:space="preserve">0. Notation &amp; Conventions</w:t>
      </w:r>
    </w:p>
    <w:p>
      <w:pPr>
        <w:pStyle w:val="Compact"/>
        <w:numPr>
          <w:ilvl w:val="0"/>
          <w:numId w:val="1001"/>
        </w:numPr>
      </w:pPr>
      <w:r>
        <w:t xml:space="preserve">Sets in calligraphic font:</w:t>
      </w:r>
      <w:r>
        <w:t xml:space="preserve"> </w:t>
      </w:r>
      <m:oMath>
        <m:r>
          <m:rPr>
            <m:sty m:val="p"/>
            <m:scr m:val="script"/>
          </m:rPr>
          <m:t>V</m:t>
        </m:r>
        <m:r>
          <m:rPr>
            <m:sty m:val="p"/>
          </m:rPr>
          <m:t>,</m:t>
        </m:r>
        <m:r>
          <m:rPr>
            <m:sty m:val="p"/>
            <m:scr m:val="script"/>
          </m:rPr>
          <m:t>E</m:t>
        </m:r>
        <m:r>
          <m:rPr>
            <m:sty m:val="p"/>
          </m:rPr>
          <m:t>,</m:t>
        </m:r>
        <m:r>
          <m:rPr>
            <m:sty m:val="p"/>
            <m:scr m:val="script"/>
          </m:rPr>
          <m:t>D</m:t>
        </m:r>
      </m:oMath>
      <w:r>
        <w:t xml:space="preserve">; finite maps as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rPr>
                <m:sty m:val="p"/>
              </m:rPr>
              <m:t>↦</m:t>
            </m:r>
            <m:r>
              <m:t>v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Bitstrings: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 security parameter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Cryptographic hash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κ</m:t>
            </m:r>
          </m:sup>
        </m:sSup>
      </m:oMath>
      <w:r>
        <w:t xml:space="preserve"> </w:t>
      </w:r>
      <w:r>
        <w:t xml:space="preserve">modeled as a random oracle (or collision-resistant hash function family). Digest length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κ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Commitment scheme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m</m:t>
        </m:r>
      </m:oMath>
      <w:r>
        <w:t xml:space="preserve"> </w:t>
      </w:r>
      <w:r>
        <w:t xml:space="preserve">is binding and hiding; Merkle-commitments built from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for positional encodings;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⋅</m:t>
        </m:r>
        <m:r>
          <m:rPr>
            <m:sty m:val="p"/>
          </m:rPr>
          <m:t>⟩</m:t>
        </m:r>
      </m:oMath>
      <w:r>
        <w:t xml:space="preserve"> </w:t>
      </w:r>
      <w:r>
        <w:t xml:space="preserve">for canonical serialization.</w:t>
      </w:r>
    </w:p>
    <w:p>
      <w:pPr>
        <w:pStyle w:val="Compact"/>
        <w:numPr>
          <w:ilvl w:val="0"/>
          <w:numId w:val="1001"/>
        </w:numPr>
      </w:pPr>
      <w:r>
        <w:t xml:space="preserve">Complexity:</w:t>
      </w:r>
      <w:r>
        <w:t xml:space="preserve"> </w:t>
      </w:r>
      <m:oMath>
        <m:acc>
          <m:accPr>
            <m:chr m:val="̃"/>
          </m:accPr>
          <m:e>
            <m:r>
              <m:t>O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hides polylog factors; logs base 2.</w:t>
      </w:r>
    </w:p>
    <w:p>
      <w:r>
        <w:pict>
          <v:rect style="width:0;height:1.5pt" o:hralign="center" o:hrstd="t" o:hr="t"/>
        </w:pict>
      </w:r>
    </w:p>
    <w:bookmarkEnd w:id="20"/>
    <w:bookmarkStart w:id="24" w:name="core-objects"/>
    <w:p>
      <w:pPr>
        <w:pStyle w:val="Heading2"/>
      </w:pPr>
      <w:r>
        <w:t xml:space="preserve">1. Core Objects</w:t>
      </w:r>
    </w:p>
    <w:bookmarkStart w:id="21" w:name="domain-hierarchy-namespaces"/>
    <w:p>
      <w:pPr>
        <w:pStyle w:val="Heading3"/>
      </w:pPr>
      <w:r>
        <w:t xml:space="preserve">1.1 Domain Hierarchy &amp; Namespaces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Domains</w:t>
      </w:r>
      <w:r>
        <w:t xml:space="preserve"> </w:t>
      </w:r>
      <w:r>
        <w:t xml:space="preserve">form a rooted, directed-acyclic forest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script"/>
              </m:rP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≺</m:t>
            </m:r>
          </m:e>
        </m:d>
      </m:oMath>
      <w:r>
        <w:t xml:space="preserve"> </w:t>
      </w:r>
      <w:r>
        <w:t xml:space="preserve">with partial order</w:t>
      </w:r>
      <w:r>
        <w:t xml:space="preserve"> </w:t>
      </w:r>
      <m:oMath>
        <m:r>
          <m:rPr>
            <m:sty m:val="p"/>
          </m:rPr>
          <m:t>≺</m:t>
        </m:r>
      </m:oMath>
      <w:r>
        <w:t xml:space="preserve"> </w:t>
      </w:r>
      <w:r>
        <w:t xml:space="preserve">(</w:t>
      </w:r>
      <w:r>
        <w:t xml:space="preserve">“is-subdomain-of”</w:t>
      </w:r>
      <w:r>
        <w:t xml:space="preserve">). Each domain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  <m:scr m:val="script"/>
          </m:rPr>
          <m:t>D</m:t>
        </m:r>
      </m:oMath>
      <w:r>
        <w:t xml:space="preserve"> </w:t>
      </w:r>
      <w:r>
        <w:t xml:space="preserve">has a unique parent except roots. We assume a canonical root</w:t>
      </w:r>
      <w:r>
        <w:t xml:space="preserve"> </w:t>
      </w:r>
      <m:oMath>
        <m:r>
          <m:rPr>
            <m:sty m:val="p"/>
          </m:rPr>
          <m:t>⊥</m:t>
        </m:r>
      </m:oMath>
      <w:r>
        <w:t xml:space="preserve"> </w:t>
      </w:r>
      <w:r>
        <w:t xml:space="preserve">so that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script"/>
              </m:rP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≺</m:t>
            </m:r>
          </m:e>
        </m:d>
      </m:oMath>
      <w:r>
        <w:t xml:space="preserve"> </w:t>
      </w:r>
      <w:r>
        <w:t xml:space="preserve">is a rooted tree unless otherwise stated.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Namespace</w:t>
      </w:r>
      <w:r>
        <w:t xml:space="preserve"> </w:t>
      </w:r>
      <w:r>
        <w:t xml:space="preserve">of domain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set of labels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N</m:t>
            </m:r>
          </m:e>
          <m:sub>
            <m:r>
              <m:t>d</m:t>
            </m:r>
          </m:sub>
        </m:sSub>
      </m:oMath>
      <w:r>
        <w:t xml:space="preserve">; fully-qualified identifiers (FQIDs) are tuples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ℓ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N</m:t>
            </m:r>
          </m:e>
          <m:sub>
            <m:r>
              <m:t>d</m:t>
            </m:r>
          </m:sub>
        </m:sSub>
      </m:oMath>
      <w:r>
        <w:t xml:space="preserve">. The mapping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q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: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ℓ</m:t>
            </m:r>
          </m:e>
        </m:d>
        <m:r>
          <m:rPr>
            <m:sty m:val="p"/>
          </m:rPr>
          <m:t>↦</m:t>
        </m:r>
        <m:r>
          <m:rPr>
            <m:nor/>
            <m:sty m:val="p"/>
          </m:rPr>
          <m:t>UID</m:t>
        </m:r>
        <m:r>
          <m:rPr>
            <m:sty m:val="p"/>
          </m:rPr>
          <m:t>∈</m:t>
        </m:r>
        <m:r>
          <m:rPr>
            <m:sty m:val="p"/>
            <m:scr m:val="script"/>
          </m:rPr>
          <m:t>U</m:t>
        </m:r>
      </m:oMath>
      <w:r>
        <w:t xml:space="preserve"> </w:t>
      </w:r>
      <w:r>
        <w:t xml:space="preserve">is injective.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 inheritance</w:t>
      </w:r>
      <w:r>
        <w:t xml:space="preserve">: Policies attach to domains (Sec. 2) and inherit along</w:t>
      </w:r>
      <w:r>
        <w:t xml:space="preserve"> </w:t>
      </w:r>
      <m:oMath>
        <m:r>
          <m:rPr>
            <m:sty m:val="p"/>
          </m:rPr>
          <m:t>≺</m:t>
        </m:r>
      </m:oMath>
      <w:r>
        <w:t xml:space="preserve"> </w:t>
      </w:r>
      <w:r>
        <w:t xml:space="preserve">via a monotone operator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h</m:t>
        </m:r>
        <m:r>
          <m:rPr>
            <m:sty m:val="p"/>
          </m:rPr>
          <m:t>:</m:t>
        </m:r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  <m:scr m:val="script"/>
              </m:rPr>
              <m:t>D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  <m:scr m:val="script"/>
              </m:rPr>
              <m:t>D</m:t>
            </m:r>
          </m:sup>
        </m:sSup>
      </m:oMath>
      <w:r>
        <w:t xml:space="preserve"> </w:t>
      </w:r>
      <w:r>
        <w:t xml:space="preserve">preserving partial order (greatest fixed point is effective policy set per domain).</w:t>
      </w:r>
    </w:p>
    <w:bookmarkEnd w:id="21"/>
    <w:bookmarkStart w:id="22" w:name="lifecycle-graph"/>
    <w:p>
      <w:pPr>
        <w:pStyle w:val="Heading3"/>
      </w:pPr>
      <w:r>
        <w:t xml:space="preserve">1.2 Lifecycle Graph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Vertices</w:t>
      </w:r>
      <w:r>
        <w:t xml:space="preserve"> </w:t>
      </w:r>
      <m:oMath>
        <m:r>
          <m:rPr>
            <m:sty m:val="p"/>
            <m:scr m:val="script"/>
          </m:rPr>
          <m:t>V</m:t>
        </m:r>
      </m:oMath>
      <w:r>
        <w:t xml:space="preserve">: assets, principals, processes, cryptographic materials (keys, EIVs), artifacts, and abstract lifecycle states.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carries a type</w:t>
      </w:r>
      <w:r>
        <w:t xml:space="preserve"> </w:t>
      </w:r>
      <m:oMath>
        <m:r>
          <m:t>τ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</m:e>
        </m:d>
        <m:r>
          <m:rPr>
            <m:sty m:val="p"/>
          </m:rPr>
          <m:t>∈</m:t>
        </m:r>
        <m:r>
          <m:rPr>
            <m:sty m:val="p"/>
            <m:scr m:val="script"/>
          </m:rPr>
          <m:t>T</m:t>
        </m:r>
      </m:oMath>
      <w:r>
        <w:t xml:space="preserve"> </w:t>
      </w:r>
      <w:r>
        <w:t xml:space="preserve">and domain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o</m:t>
        </m:r>
        <m:r>
          <m:rPr>
            <m:sty m:val="p"/>
          </m:rPr>
          <m:t>m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</m:e>
        </m:d>
        <m:r>
          <m:rPr>
            <m:sty m:val="p"/>
          </m:rPr>
          <m:t>∈</m:t>
        </m:r>
        <m:r>
          <m:rPr>
            <m:sty m:val="p"/>
            <m:scr m:val="script"/>
          </m:rPr>
          <m:t>D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Edges</w:t>
      </w:r>
      <w:r>
        <w:t xml:space="preserve"> </w:t>
      </w:r>
      <m:oMath>
        <m:r>
          <m:rPr>
            <m:sty m:val="p"/>
            <m:scr m:val="script"/>
          </m:rPr>
          <m:t>E</m:t>
        </m:r>
        <m:r>
          <m:rPr>
            <m:sty m:val="p"/>
          </m:rPr>
          <m:t>⊆</m:t>
        </m:r>
        <m:r>
          <m:rPr>
            <m:sty m:val="p"/>
            <m:scr m:val="script"/>
          </m:rPr>
          <m:t>V</m:t>
        </m:r>
        <m:r>
          <m:rPr>
            <m:sty m:val="p"/>
          </m:rPr>
          <m:t>×</m:t>
        </m:r>
        <m:r>
          <m:rPr>
            <m:sty m:val="p"/>
            <m:scr m:val="script"/>
          </m:rPr>
          <m:t>V</m:t>
        </m:r>
        <m:r>
          <m:rPr>
            <m:sty m:val="p"/>
          </m:rPr>
          <m:t>×</m:t>
        </m:r>
        <m:r>
          <m:rPr>
            <m:sty m:val="p"/>
            <m:scr m:val="script"/>
          </m:rPr>
          <m:t>R</m:t>
        </m:r>
      </m:oMath>
      <w:r>
        <w:t xml:space="preserve">: typed relations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  <m:scr m:val="script"/>
          </m:rPr>
          <m:t>R</m:t>
        </m:r>
      </m:oMath>
      <w:r>
        <w:t xml:space="preserve"> </w:t>
      </w:r>
      <w:r>
        <w:t xml:space="preserve">(e.g.,</w:t>
      </w:r>
      <w:r>
        <w:t xml:space="preserve"> </w:t>
      </w:r>
      <w:r>
        <w:rPr>
          <w:i/>
          <w:iCs/>
        </w:rPr>
        <w:t xml:space="preserve">produced-by</w:t>
      </w:r>
      <w:r>
        <w:t xml:space="preserve">,</w:t>
      </w:r>
      <w:r>
        <w:t xml:space="preserve"> </w:t>
      </w:r>
      <w:r>
        <w:rPr>
          <w:i/>
          <w:iCs/>
        </w:rPr>
        <w:t xml:space="preserve">consumed-by</w:t>
      </w:r>
      <w:r>
        <w:t xml:space="preserve">,</w:t>
      </w:r>
      <w:r>
        <w:t xml:space="preserve"> </w:t>
      </w:r>
      <w:r>
        <w:rPr>
          <w:i/>
          <w:iCs/>
        </w:rPr>
        <w:t xml:space="preserve">authorizes</w:t>
      </w:r>
      <w:r>
        <w:t xml:space="preserve">,</w:t>
      </w:r>
      <w:r>
        <w:t xml:space="preserve"> </w:t>
      </w:r>
      <w:r>
        <w:rPr>
          <w:i/>
          <w:iCs/>
        </w:rPr>
        <w:t xml:space="preserve">derives-from</w:t>
      </w:r>
      <w:r>
        <w:t xml:space="preserve">,</w:t>
      </w:r>
      <w:r>
        <w:t xml:space="preserve"> </w:t>
      </w:r>
      <w:r>
        <w:rPr>
          <w:i/>
          <w:iCs/>
        </w:rPr>
        <w:t xml:space="preserve">in-same-session</w:t>
      </w:r>
      <w:r>
        <w:t xml:space="preserve">,</w:t>
      </w:r>
      <w:r>
        <w:t xml:space="preserve"> </w:t>
      </w:r>
      <w:r>
        <w:rPr>
          <w:i/>
          <w:iCs/>
        </w:rPr>
        <w:t xml:space="preserve">erased-by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Epochs</w:t>
      </w:r>
      <w:r>
        <w:t xml:space="preserve"> </w:t>
      </w:r>
      <m:oMath>
        <m:r>
          <m:rPr>
            <m:sty m:val="p"/>
            <m:scr m:val="double-struck"/>
          </m:rPr>
          <m:t>E</m:t>
        </m:r>
      </m:oMath>
      <w:r>
        <w:t xml:space="preserve">: discrete time segments; each vertex/edge has birth/death epochs; transitions only allowed at epoch boundaries.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script"/>
              </m:rPr>
              <m:t>V</m:t>
            </m:r>
            <m:r>
              <m:rPr>
                <m:sty m:val="p"/>
              </m:rPr>
              <m:t>,</m:t>
            </m:r>
            <m:r>
              <m:rPr>
                <m:sty m:val="p"/>
                <m:scr m:val="script"/>
              </m:rPr>
              <m:t>E</m:t>
            </m:r>
          </m:e>
        </m:d>
      </m:oMath>
      <w:r>
        <w:t xml:space="preserve"> </w:t>
      </w:r>
      <w:r>
        <w:t xml:space="preserve">with labeling functions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ℓ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for metadata and attestation pointers.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Acyclicity</w:t>
      </w:r>
      <w:r>
        <w:t xml:space="preserve">: required in the</w:t>
      </w:r>
      <w:r>
        <w:t xml:space="preserve"> </w:t>
      </w:r>
      <w:r>
        <w:rPr>
          <w:i/>
          <w:iCs/>
        </w:rPr>
        <w:t xml:space="preserve">reachability subspace</w:t>
      </w:r>
      <w:r>
        <w:t xml:space="preserve"> </w:t>
      </w:r>
      <w:r>
        <w:t xml:space="preserve">induced by monotone relations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R</m:t>
            </m:r>
          </m:e>
          <m:sup>
            <m:r>
              <m:rPr>
                <m:sty m:val="p"/>
              </m:rPr>
              <m:t>↑</m:t>
            </m:r>
          </m:sup>
        </m:sSup>
        <m:r>
          <m:rPr>
            <m:sty m:val="p"/>
          </m:rPr>
          <m:t>⊆</m:t>
        </m:r>
        <m:r>
          <m:rPr>
            <m:sty m:val="p"/>
            <m:scr m:val="script"/>
          </m:rPr>
          <m:t>R</m:t>
        </m:r>
      </m:oMath>
      <w:r>
        <w:t xml:space="preserve">. Other relations may be cyclic if marked</w:t>
      </w:r>
      <w:r>
        <w:t xml:space="preserve"> </w:t>
      </w:r>
      <w:r>
        <w:rPr>
          <w:i/>
          <w:iCs/>
        </w:rPr>
        <w:t xml:space="preserve">non-propagating</w:t>
      </w:r>
      <w:r>
        <w:t xml:space="preserve">.</w:t>
      </w:r>
    </w:p>
    <w:bookmarkEnd w:id="22"/>
    <w:bookmarkStart w:id="23" w:name="policy-objects"/>
    <w:p>
      <w:pPr>
        <w:pStyle w:val="Heading3"/>
      </w:pPr>
      <w:r>
        <w:t xml:space="preserve">1.3 Policy Objects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Policy atoms</w:t>
      </w:r>
      <w:r>
        <w:t xml:space="preserve">: predicates</w:t>
      </w:r>
      <w:r>
        <w:t xml:space="preserve"> </w:t>
      </w:r>
      <m:oMath>
        <m:r>
          <m:t>π</m:t>
        </m:r>
        <m:r>
          <m:rPr>
            <m:sty m:val="p"/>
          </m:rPr>
          <m:t>:</m:t>
        </m:r>
        <m:r>
          <m:rPr>
            <m:sty m:val="p"/>
            <m:scr m:val="script"/>
          </m:rPr>
          <m:t>V</m:t>
        </m:r>
        <m:r>
          <m:rPr>
            <m:sty m:val="p"/>
          </m:rPr>
          <m:t>∪</m:t>
        </m:r>
        <m:r>
          <m:rPr>
            <m:sty m:val="p"/>
            <m:scr m:val="script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rPr>
            <m:sty m:val="p"/>
          </m:rPr>
          <m:t>⊤</m:t>
        </m:r>
        <m:r>
          <m:rPr>
            <m:sty m:val="p"/>
          </m:rPr>
          <m:t>,</m:t>
        </m:r>
        <m:r>
          <m:rPr>
            <m:sty m:val="p"/>
          </m:rPr>
          <m:t>⊥</m:t>
        </m:r>
        <m:r>
          <m:rPr>
            <m:sty m:val="p"/>
          </m:rPr>
          <m:t>}</m:t>
        </m:r>
      </m:oMath>
      <w:r>
        <w:t xml:space="preserve"> </w:t>
      </w:r>
      <w:r>
        <w:t xml:space="preserve">(e.g.,</w:t>
      </w:r>
      <w:r>
        <w:t xml:space="preserve"> </w:t>
      </w:r>
      <w:r>
        <w:rPr>
          <w:i/>
          <w:iCs/>
        </w:rPr>
        <w:t xml:space="preserve">no-edge-from class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to class</w:t>
      </w:r>
      <w:r>
        <w:rPr>
          <w:i/>
          <w:iCs/>
        </w:rPr>
        <w:t xml:space="preserve"> </w:t>
      </w:r>
      <m:oMath>
        <m:r>
          <m:t>C</m:t>
        </m:r>
        <m:r>
          <m:rPr>
            <m:sty m:val="p"/>
          </m:rPr>
          <m:t>′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max path length from key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to data</w:t>
      </w:r>
      <w:r>
        <w:rPr>
          <w:i/>
          <w:iCs/>
        </w:rP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non-reachability of state</w:t>
      </w:r>
      <w:r>
        <w:rPr>
          <w:i/>
          <w:iCs/>
        </w:rPr>
        <w:t xml:space="preserve"> </w:t>
      </w:r>
      <m:oMath>
        <m:r>
          <m:t>σ</m:t>
        </m:r>
      </m:oMath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Policy formulae</w:t>
      </w:r>
      <w:r>
        <w:t xml:space="preserve">: monotone Boolean combinations over atoms with temporal/epoch modalities (LTL fragment without until), written in guarded form. Example:</w:t>
      </w:r>
      <w:r>
        <w:t xml:space="preserve"> </w:t>
      </w:r>
      <m:oMath>
        <m:r>
          <m:rPr>
            <m:sty m:val="p"/>
          </m:rPr>
          <m:t>▫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no-reach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</m:e>
        </m:d>
      </m:oMath>
      <w:r>
        <w:t xml:space="preserve">;</w:t>
      </w:r>
      <w:r>
        <w:t xml:space="preserve"> </w:t>
      </w:r>
      <m:oMath>
        <m:r>
          <m:rPr>
            <m:sty m:val="p"/>
          </m:rPr>
          <m:t>▫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 </m:t>
                </m:r>
                <m:r>
                  <m:rPr>
                    <m:nor/>
                    <m:sty m:val="p"/>
                  </m:rPr>
                  <m:t>destroyed</m:t>
                </m:r>
              </m:e>
            </m:d>
            <m:r>
              <m:rPr>
                <m:sty m:val="p"/>
              </m:rPr>
              <m:t>⇒</m:t>
            </m:r>
            <m:r>
              <m:rPr>
                <m:sty m:val="p"/>
              </m:rPr>
              <m:t>¬</m:t>
            </m:r>
            <m:r>
              <m:rPr>
                <m:sty m:val="p"/>
              </m:rPr>
              <m:t>◇</m:t>
            </m:r>
            <m:r>
              <m:rPr>
                <m:nor/>
                <m:sty m:val="p"/>
              </m:rPr>
              <m:t>reach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</m:d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Closure operators</w:t>
      </w:r>
      <w:r>
        <w:t xml:space="preserve">: see Sec. 3.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tate-transitions-and-receipts-cstp"/>
    <w:p>
      <w:pPr>
        <w:pStyle w:val="Heading2"/>
      </w:pPr>
      <w:r>
        <w:t xml:space="preserve">2. State, Transitions, and Receipts (CSTP)</w:t>
      </w:r>
    </w:p>
    <w:bookmarkStart w:id="25" w:name="states"/>
    <w:p>
      <w:pPr>
        <w:pStyle w:val="Heading3"/>
      </w:pPr>
      <w:r>
        <w:t xml:space="preserve">2.1 States</w:t>
      </w:r>
    </w:p>
    <w:p>
      <w:pPr>
        <w:pStyle w:val="FirstParagraph"/>
      </w:pPr>
      <w:r>
        <w:t xml:space="preserve">Each asset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lifecycle state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Σ</m:t>
        </m:r>
      </m:oMath>
      <w:r>
        <w:t xml:space="preserve"> </w:t>
      </w:r>
      <w:r>
        <w:t xml:space="preserve">(e.g.,</w:t>
      </w:r>
      <w:r>
        <w:t xml:space="preserve"> </w:t>
      </w:r>
      <w:r>
        <w:rPr>
          <w:i/>
          <w:iCs/>
        </w:rPr>
        <w:t xml:space="preserve">created</w:t>
      </w:r>
      <w:r>
        <w:t xml:space="preserve">,</w:t>
      </w:r>
      <w:r>
        <w:t xml:space="preserve"> </w:t>
      </w:r>
      <w:r>
        <w:rPr>
          <w:i/>
          <w:iCs/>
        </w:rPr>
        <w:t xml:space="preserve">active</w:t>
      </w:r>
      <w:r>
        <w:t xml:space="preserve">,</w:t>
      </w:r>
      <w:r>
        <w:t xml:space="preserve"> </w:t>
      </w:r>
      <w:r>
        <w:rPr>
          <w:i/>
          <w:iCs/>
        </w:rPr>
        <w:t xml:space="preserve">archived</w:t>
      </w:r>
      <w:r>
        <w:t xml:space="preserve">,</w:t>
      </w:r>
      <w:r>
        <w:t xml:space="preserve"> </w:t>
      </w:r>
      <w:r>
        <w:rPr>
          <w:i/>
          <w:iCs/>
        </w:rPr>
        <w:t xml:space="preserve">destroyed</w:t>
      </w:r>
      <w:r>
        <w:t xml:space="preserve">). A</w:t>
      </w:r>
      <w:r>
        <w:t xml:space="preserve"> </w:t>
      </w:r>
      <w:r>
        <w:rPr>
          <w:i/>
          <w:iCs/>
        </w:rPr>
        <w:t xml:space="preserve">state assertion</w:t>
      </w:r>
      <w:r>
        <w:t xml:space="preserve"> </w:t>
      </w:r>
      <w:r>
        <w:t xml:space="preserve">is a tuple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UID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m</m:t>
              </m:r>
            </m:e>
          </m:d>
        </m:oMath>
      </m:oMathPara>
    </w:p>
    <w:p>
      <w:pPr>
        <w:pStyle w:val="FirstParagraph"/>
      </w:pPr>
      <w:r>
        <w:t xml:space="preserve">with epoch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E</m:t>
        </m:r>
      </m:oMath>
      <w:r>
        <w:t xml:space="preserve"> </w:t>
      </w:r>
      <w:r>
        <w:t xml:space="preserve">and metadata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(policy tags, signer key, etc.).</w:t>
      </w:r>
    </w:p>
    <w:bookmarkEnd w:id="25"/>
    <w:bookmarkStart w:id="26" w:name="transitions"/>
    <w:p>
      <w:pPr>
        <w:pStyle w:val="Heading3"/>
      </w:pPr>
      <w:r>
        <w:t xml:space="preserve">2.2 Transitions</w:t>
      </w:r>
    </w:p>
    <w:p>
      <w:pPr>
        <w:pStyle w:val="FirstParagraph"/>
      </w:pPr>
      <w:r>
        <w:t xml:space="preserve">A transition rule is a guarded production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: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φ</m:t>
              </m:r>
            </m:e>
          </m:d>
          <m:r>
            <m:rPr>
              <m:sty m:val="p"/>
            </m:rPr>
            <m:t>→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is a predicate over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α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time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emits side-effects (edge additions/removals, attestations). Valid execution yields a</w:t>
      </w:r>
      <w:r>
        <w:t xml:space="preserve"> </w:t>
      </w:r>
      <w:r>
        <w:rPr>
          <w:i/>
          <w:iCs/>
        </w:rPr>
        <w:t xml:space="preserve">transition receipt</w:t>
      </w:r>
      <w:r>
        <w:t xml:space="preserve"> </w:t>
      </w:r>
      <w:r>
        <w:t xml:space="preserve">(Sec. 2.4).</w:t>
      </w:r>
    </w:p>
    <w:bookmarkEnd w:id="26"/>
    <w:bookmarkStart w:id="27" w:name="destruction-semantics"/>
    <w:p>
      <w:pPr>
        <w:pStyle w:val="Heading3"/>
      </w:pPr>
      <w:r>
        <w:t xml:space="preserve">2.3 Destruction Semantics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Destructible objects</w:t>
      </w:r>
      <w:r>
        <w:t xml:space="preserve">: keys</w:t>
      </w:r>
      <w:r>
        <w:t xml:space="preserve"> </w:t>
      </w:r>
      <m:oMath>
        <m:r>
          <m:t>k</m:t>
        </m:r>
      </m:oMath>
      <w:r>
        <w:t xml:space="preserve">, EIVs, sessions, and data shards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subject to policy.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Irreversibility</w:t>
      </w:r>
      <w:r>
        <w:t xml:space="preserve"> </w:t>
      </w:r>
      <w:r>
        <w:t xml:space="preserve">modeled via event</w:t>
      </w:r>
      <w:r>
        <w:t xml:space="preserve"> </w:t>
      </w:r>
      <m:oMath>
        <m:r>
          <m:rPr>
            <m:sty m:val="p"/>
            <m:scr m:val="sans-serif"/>
          </m:rPr>
          <m:t>d</m:t>
        </m:r>
        <m:r>
          <m:rPr>
            <m:sty m:val="p"/>
            <m:scr m:val="sans-serif"/>
          </m:rPr>
          <m:t>e</m:t>
        </m:r>
        <m:r>
          <m:rPr>
            <m:sty m:val="p"/>
            <m:scr m:val="sans-serif"/>
          </m:rPr>
          <m:t>s</m:t>
        </m:r>
        <m:r>
          <m:rPr>
            <m:sty m:val="p"/>
            <m:scr m:val="sans-serif"/>
          </m:rPr>
          <m:t>t</m:t>
        </m:r>
        <m:r>
          <m:rPr>
            <m:sty m:val="p"/>
            <m:scr m:val="sans-serif"/>
          </m:rPr>
          <m:t>r</m:t>
        </m:r>
        <m:r>
          <m:rPr>
            <m:sty m:val="p"/>
            <m:scr m:val="sans-serif"/>
          </m:rPr>
          <m:t>o</m:t>
        </m:r>
        <m:r>
          <m:rPr>
            <m:sty m:val="p"/>
            <m:scr m:val="sans-serif"/>
          </m:rPr>
          <m:t>y</m:t>
        </m:r>
        <m:d>
          <m:dPr>
            <m:begChr m:val="("/>
            <m:sepChr m:val=""/>
            <m:endChr m:val=")"/>
            <m:grow/>
          </m:dPr>
          <m:e>
            <m:r>
              <m:t>o</m:t>
            </m:r>
          </m:e>
        </m:d>
      </m:oMath>
      <w:r>
        <w:t xml:space="preserve"> </w:t>
      </w:r>
      <w:r>
        <w:t xml:space="preserve">that removes future reachability edges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rPr>
            <m:sty m:val="p"/>
          </m:rPr>
          <m:t>⋅</m:t>
        </m:r>
      </m:oMath>
      <w:r>
        <w:t xml:space="preserve"> </w:t>
      </w:r>
      <w:r>
        <w:t xml:space="preserve">in the propagating relation set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R</m:t>
            </m:r>
          </m:e>
          <m:sup>
            <m:r>
              <m:rPr>
                <m:sty m:val="p"/>
              </m:rPr>
              <m:t>↑</m:t>
            </m:r>
          </m:sup>
        </m:sSup>
      </m:oMath>
      <w:r>
        <w:t xml:space="preserve"> </w:t>
      </w:r>
      <w:r>
        <w:t xml:space="preserve">and attaches a destruction attestation.</w:t>
      </w:r>
    </w:p>
    <w:bookmarkEnd w:id="27"/>
    <w:bookmarkStart w:id="28" w:name="cryptographic-receipts"/>
    <w:p>
      <w:pPr>
        <w:pStyle w:val="Heading3"/>
      </w:pPr>
      <w:r>
        <w:t xml:space="preserve">2.4 Cryptographic Receipts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a canonical receipt body: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rPr>
              <m:nor/>
              <m:sty m:val="p"/>
            </m:rPr>
            <m:t>UID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event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witness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policy-id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prev-root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aux</m:t>
          </m:r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receipt commitment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</m:oMath>
      <w:r>
        <w:t xml:space="preserve">. Receipts are linked through a sparse/relational Merkle structure (Sec. 4) with epoch roots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rPr>
                <m:sty m:val="p"/>
                <m:scr m:val="sans-serif"/>
              </m:rPr>
              <m:t>R</m:t>
            </m:r>
            <m:r>
              <m:rPr>
                <m:sty m:val="p"/>
                <m:scr m:val="sans-serif"/>
              </m:rPr>
              <m:t>o</m:t>
            </m:r>
            <m:r>
              <m:rPr>
                <m:sty m:val="p"/>
                <m:scr m:val="sans-serif"/>
              </m:rPr>
              <m:t>o</m:t>
            </m:r>
            <m:r>
              <m:rPr>
                <m:sty m:val="p"/>
                <m:scr m:val="sans-serif"/>
              </m:rP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}</m:t>
        </m:r>
      </m:oMath>
      <w:r>
        <w:t xml:space="preserve">. A</w:t>
      </w:r>
      <w:r>
        <w:t xml:space="preserve"> </w:t>
      </w:r>
      <w:r>
        <w:rPr>
          <w:i/>
          <w:iCs/>
        </w:rPr>
        <w:t xml:space="preserve">CSTP proof of non-occurrence</w:t>
      </w:r>
      <w:r>
        <w:t xml:space="preserve"> </w:t>
      </w:r>
      <w:r>
        <w:t xml:space="preserve">for a forbidden event</w:t>
      </w:r>
      <w:r>
        <w:t xml:space="preserve"> </w:t>
      </w:r>
      <m:oMath>
        <m:r>
          <m:rPr>
            <m:sty m:val="p"/>
            <m:scr m:val="sans-serif"/>
          </m:rPr>
          <m:t>E</m:t>
        </m:r>
      </m:oMath>
      <w:r>
        <w:t xml:space="preserve"> </w:t>
      </w:r>
      <w:r>
        <w:t xml:space="preserve">at epoch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an inclusion proof of</w:t>
      </w:r>
      <w:r>
        <w:t xml:space="preserve"> </w:t>
      </w:r>
      <m:oMath>
        <m:sSub>
          <m:e>
            <m:r>
              <m:rPr>
                <m:sty m:val="p"/>
                <m:scr m:val="sans-serif"/>
              </m:rPr>
              <m:t>R</m:t>
            </m:r>
            <m:r>
              <m:rPr>
                <m:sty m:val="p"/>
                <m:scr m:val="sans-serif"/>
              </m:rPr>
              <m:t>o</m:t>
            </m:r>
            <m:r>
              <m:rPr>
                <m:sty m:val="p"/>
                <m:scr m:val="sans-serif"/>
              </m:rPr>
              <m:t>o</m:t>
            </m:r>
            <m:r>
              <m:rPr>
                <m:sty m:val="p"/>
                <m:scr m:val="sans-serif"/>
              </m:rPr>
              <m:t>t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plus a non-membership witness that no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event</m:t>
        </m:r>
        <m:r>
          <m:rPr>
            <m:sty m:val="p"/>
          </m:rPr>
          <m:t>=</m:t>
        </m:r>
        <m:r>
          <m:rPr>
            <m:sty m:val="p"/>
            <m:scr m:val="sans-serif"/>
          </m:rPr>
          <m:t>E</m:t>
        </m:r>
      </m:oMath>
      <w:r>
        <w:t xml:space="preserve"> </w:t>
      </w:r>
      <w:r>
        <w:t xml:space="preserve">and matching selectors exists in the committed index.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8b652f8948d112dd41a56d2eceb19cf393f0a6e"/>
    <w:p>
      <w:pPr>
        <w:pStyle w:val="Heading2"/>
      </w:pPr>
      <w:r>
        <w:t xml:space="preserve">3. Closures, Reachability, and Non-Reachability</w:t>
      </w:r>
    </w:p>
    <w:bookmarkStart w:id="30" w:name="typed-reachability"/>
    <w:p>
      <w:pPr>
        <w:pStyle w:val="Heading3"/>
      </w:pPr>
      <w:r>
        <w:t xml:space="preserve">3.1 Typed Reachability</w:t>
      </w:r>
    </w:p>
    <w:p>
      <w:pPr>
        <w:pStyle w:val="FirstParagraph"/>
      </w:pPr>
      <w:r>
        <w:t xml:space="preserve">Given edge relation subset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R</m:t>
            </m:r>
          </m:e>
          <m:sup>
            <m:r>
              <m:rPr>
                <m:sty m:val="p"/>
              </m:rPr>
              <m:t>↑</m:t>
            </m:r>
          </m:sup>
        </m:sSup>
      </m:oMath>
      <w:r>
        <w:t xml:space="preserve">, define typed successor: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r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{</m:t>
          </m:r>
          <m:r>
            <m:t>v</m:t>
          </m:r>
          <m:r>
            <m:rPr>
              <m:sty m:val="p"/>
            </m:rPr>
            <m:t>′</m:t>
          </m:r>
          <m:r>
            <m:rPr>
              <m:sty m:val="p"/>
            </m:rPr>
            <m:t>∣</m:t>
          </m:r>
          <m:r>
            <m:rPr>
              <m:sty m:val="p"/>
            </m:rPr>
            <m:t>∃</m:t>
          </m:r>
          <m:r>
            <m:t>v</m:t>
          </m:r>
          <m:r>
            <m:rPr>
              <m:sty m:val="p"/>
            </m:rPr>
            <m:t>∈</m:t>
          </m:r>
          <m:r>
            <m:t>S</m:t>
          </m:r>
          <m:r>
            <m:rPr>
              <m:sty m:val="p"/>
            </m:rPr>
            <m:t>: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E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Γ</m:t>
              </m:r>
            </m:e>
            <m:sup>
              <m:r>
                <m:rPr>
                  <m:sty m:val="p"/>
                </m:rPr>
                <m:t>↑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limLow>
            <m:e>
              <m:r>
                <m:rPr>
                  <m:sty m:val="p"/>
                </m:rPr>
                <m:t>⋃</m:t>
              </m:r>
            </m:e>
            <m:lim>
              <m:r>
                <m:t>r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script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↑</m:t>
                  </m:r>
                </m:sup>
              </m:sSup>
            </m:lim>
          </m:limLow>
          <m:sSub>
            <m:e>
              <m:r>
                <m:t>Γ</m:t>
              </m:r>
            </m:e>
            <m:sub>
              <m:r>
                <m:t>r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closure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t>X</m:t>
        </m:r>
        <m:r>
          <m:rPr>
            <m:sty m:val="p"/>
          </m:rPr>
          <m:t>.</m:t>
        </m:r>
        <m:r>
          <m:t> </m:t>
        </m:r>
        <m:r>
          <m:t>S</m:t>
        </m:r>
        <m:r>
          <m:rPr>
            <m:sty m:val="p"/>
          </m:rPr>
          <m:t>∪</m:t>
        </m:r>
        <m:sSup>
          <m:e>
            <m:r>
              <m:t>Γ</m:t>
            </m:r>
          </m:e>
          <m:sup>
            <m:r>
              <m:rPr>
                <m:sty m:val="p"/>
              </m:rPr>
              <m:t>↑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(least fixed point). Non-reachability policy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asserts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.</w:t>
      </w:r>
    </w:p>
    <w:bookmarkEnd w:id="30"/>
    <w:bookmarkStart w:id="31" w:name="policy-closure-under-domains"/>
    <w:p>
      <w:pPr>
        <w:pStyle w:val="Heading3"/>
      </w:pPr>
      <w:r>
        <w:t xml:space="preserve">3.2 Policy Closure under Domains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c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be ancestors of domain</w:t>
      </w:r>
      <w:r>
        <w:t xml:space="preserve"> </w:t>
      </w:r>
      <m:oMath>
        <m:r>
          <m:t>d</m:t>
        </m:r>
      </m:oMath>
      <w:r>
        <w:t xml:space="preserve">. Effective policy set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  <m:scr m:val="script"/>
                </m:rP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limLow>
            <m:e>
              <m:r>
                <m:rPr>
                  <m:sty m:val="p"/>
                </m:rPr>
                <m:t>⋂</m:t>
              </m:r>
            </m:e>
            <m:lim>
              <m:r>
                <m:t>d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{</m:t>
              </m:r>
              <m:r>
                <m:t>d</m:t>
              </m:r>
              <m:r>
                <m:rPr>
                  <m:sty m:val="p"/>
                </m:rPr>
                <m:t>}</m:t>
              </m:r>
            </m:lim>
          </m:limLow>
          <m:sSub>
            <m:e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↓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  <m:scr m:val="script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′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↓</m:t>
            </m:r>
          </m:sub>
        </m:sSub>
      </m:oMath>
      <w:r>
        <w:t xml:space="preserve"> </w:t>
      </w:r>
      <w:r>
        <w:t xml:space="preserve">is the downward projection (shadowing/override resolved by lattice join over policy atoms).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436f44e0d15e6220b7f575e101e739d34f01203"/>
    <w:p>
      <w:pPr>
        <w:pStyle w:val="Heading2"/>
      </w:pPr>
      <w:r>
        <w:t xml:space="preserve">4. Relational Merkle Trees (RMT) for Efficient Non-Membership</w:t>
      </w:r>
    </w:p>
    <w:bookmarkStart w:id="33" w:name="motivation"/>
    <w:p>
      <w:pPr>
        <w:pStyle w:val="Heading3"/>
      </w:pPr>
      <w:r>
        <w:t xml:space="preserve">4.1 Motivation</w:t>
      </w:r>
    </w:p>
    <w:p>
      <w:pPr>
        <w:pStyle w:val="FirstParagraph"/>
      </w:pPr>
      <w:r>
        <w:t xml:space="preserve">Sparse Merkle Trees (SMTs) provide</w:t>
      </w:r>
      <w:r>
        <w:t xml:space="preserve"> </w:t>
      </w:r>
      <m:oMath>
        <m:acc>
          <m:accPr>
            <m:chr m:val="̃"/>
          </m:accPr>
          <m:e>
            <m:r>
              <m:t>O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 </w:t>
      </w:r>
      <w:r>
        <w:t xml:space="preserve">(non-)membership for flat key spaces. Lifecycle proofs require</w:t>
      </w:r>
      <w:r>
        <w:t xml:space="preserve"> </w:t>
      </w:r>
      <w:r>
        <w:rPr>
          <w:i/>
          <w:iCs/>
        </w:rPr>
        <w:t xml:space="preserve">path-sensitive</w:t>
      </w:r>
      <w:r>
        <w:t xml:space="preserve"> </w:t>
      </w:r>
      <w:r>
        <w:t xml:space="preserve">(relation-sensitive) non-membership:</w:t>
      </w:r>
      <w:r>
        <w:t xml:space="preserve"> </w:t>
      </w:r>
      <w:r>
        <w:rPr>
          <w:b/>
          <w:bCs/>
        </w:rPr>
        <w:t xml:space="preserve">no path</w:t>
      </w:r>
      <w:r>
        <w:t xml:space="preserve"> </w:t>
      </w:r>
      <w:r>
        <w:t xml:space="preserve">of allowed relation types connects a source selector to a sink selector in a given epoch.</w:t>
      </w:r>
    </w:p>
    <w:bookmarkEnd w:id="33"/>
    <w:bookmarkStart w:id="34" w:name="construction-relational-key-encoding"/>
    <w:p>
      <w:pPr>
        <w:pStyle w:val="Heading3"/>
      </w:pPr>
      <w:r>
        <w:t xml:space="preserve">4.2 Construction: Relational Key Encoding</w:t>
      </w:r>
    </w:p>
    <w:p>
      <w:pPr>
        <w:pStyle w:val="Compact"/>
        <w:numPr>
          <w:ilvl w:val="0"/>
          <w:numId w:val="1006"/>
        </w:numPr>
      </w:pPr>
      <w:r>
        <w:t xml:space="preserve">Let selectors be tuples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src-type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sink-type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_</m:t>
            </m:r>
            <m:r>
              <m:rPr>
                <m:nor/>
                <m:sty m:val="p"/>
              </m:rPr>
              <m:t>schema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domain-scope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epoch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 concrete path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limUpp>
              <m:e>
                <m:r>
                  <m:rPr>
                    <m:sty m:val="p"/>
                  </m:rPr>
                  <m:t>→</m:t>
                </m:r>
              </m:e>
              <m:lim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</m:lim>
            </m:limUpp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limUpp>
              <m:e>
                <m:r>
                  <m:rPr>
                    <m:sty m:val="p"/>
                  </m:rPr>
                  <m:t>→</m:t>
                </m:r>
              </m:e>
              <m:lim>
                <m:sSub>
                  <m:e>
                    <m:r>
                      <m:t>r</m:t>
                    </m:r>
                  </m:e>
                  <m:sub>
                    <m:r>
                      <m:t>2</m:t>
                    </m:r>
                  </m:sub>
                </m:sSub>
              </m:lim>
            </m:limUpp>
            <m:r>
              <m:rPr>
                <m:sty m:val="p"/>
              </m:rPr>
              <m:t>⋯</m:t>
            </m:r>
            <m:limUpp>
              <m:e>
                <m:r>
                  <m:rPr>
                    <m:sty m:val="p"/>
                  </m:rPr>
                  <m:t>→</m:t>
                </m:r>
              </m:e>
              <m:lim>
                <m:sSub>
                  <m:e>
                    <m:r>
                      <m:t>r</m:t>
                    </m:r>
                  </m:e>
                  <m:sub>
                    <m:r>
                      <m:t>k</m:t>
                    </m:r>
                  </m:sub>
                </m:sSub>
              </m:lim>
            </m:limUpp>
            <m:sSub>
              <m:e>
                <m:r>
                  <m:t>v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consistent with policy schema</w:t>
      </w:r>
      <w:r>
        <w:t xml:space="preserve"> </w:t>
      </w:r>
      <m:oMath>
        <m:r>
          <m:t>r</m:t>
        </m:r>
        <m:r>
          <m:rPr>
            <m:sty m:val="p"/>
          </m:rPr>
          <m:t>_</m:t>
        </m:r>
        <m:r>
          <m:rPr>
            <m:nor/>
            <m:sty m:val="p"/>
          </m:rPr>
          <m:t>schema</m:t>
        </m:r>
      </m:oMath>
      <w:r>
        <w:t xml:space="preserve">, define a canonical</w:t>
      </w:r>
      <w:r>
        <w:t xml:space="preserve"> </w:t>
      </w:r>
      <w:r>
        <w:rPr>
          <w:i/>
          <w:iCs/>
        </w:rPr>
        <w:t xml:space="preserve">path key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K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H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</m:e>
              </m:d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For each realized path at epoch</w:t>
      </w:r>
      <w:r>
        <w:t xml:space="preserve"> </w:t>
      </w:r>
      <m:oMath>
        <m:r>
          <m:t>e</m:t>
        </m:r>
      </m:oMath>
      <w:r>
        <w:t xml:space="preserve">, insert</w:t>
      </w:r>
      <w:r>
        <w:t xml:space="preserve"> </w:t>
      </w:r>
      <m:oMath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into a</w:t>
      </w:r>
      <w:r>
        <w:t xml:space="preserve"> </w:t>
      </w:r>
      <w:r>
        <w:rPr>
          <w:b/>
          <w:bCs/>
        </w:rPr>
        <w:t xml:space="preserve">sparse Merkle map</w:t>
      </w:r>
      <w:r>
        <w:t xml:space="preserve"> </w:t>
      </w:r>
      <m:oMath>
        <m:sSub>
          <m:e>
            <m:r>
              <m:rPr>
                <m:sty m:val="p"/>
                <m:scr m:val="sans-serif"/>
              </m:rPr>
              <m:t>S</m:t>
            </m:r>
            <m:r>
              <m:rPr>
                <m:sty m:val="p"/>
                <m:scr m:val="sans-serif"/>
              </m:rPr>
              <m:t>M</m:t>
            </m:r>
            <m:r>
              <m:rPr>
                <m:sty m:val="p"/>
                <m:scr m:val="sans-serif"/>
              </m:rPr>
              <m:t>M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keyed over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κ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Relational Merkle Tree</w:t>
      </w:r>
      <w:r>
        <w:t xml:space="preserve"> </w:t>
      </w:r>
      <w:r>
        <w:t xml:space="preserve">at epoch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the SMT over the key space with value payloads</w:t>
      </w:r>
      <w:r>
        <w:t xml:space="preserve"> </w:t>
      </w:r>
      <m:oMath>
        <m:r>
          <m:rPr>
            <m:sty m:val="p"/>
            <m:scr m:val="sans-serif"/>
          </m:rPr>
          <m:t>v</m:t>
        </m:r>
        <m:r>
          <m:rPr>
            <m:sty m:val="p"/>
            <m:scr m:val="sans-serif"/>
          </m:rPr>
          <m:t>a</m:t>
        </m:r>
        <m:r>
          <m:rPr>
            <m:sty m:val="p"/>
            <m:scr m:val="sans-serif"/>
          </m:rPr>
          <m:t>l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p</m:t>
                </m:r>
              </m:e>
            </m:d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H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⟨</m:t>
            </m:r>
            <m:r>
              <m:t>p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attn</m:t>
            </m:r>
            <m:r>
              <m:rPr>
                <m:sty m:val="p"/>
              </m:rPr>
              <m:t>⟩</m:t>
            </m:r>
          </m:e>
        </m:d>
      </m:oMath>
      <w:r>
        <w:t xml:space="preserve">, where</w:t>
      </w:r>
      <w:r>
        <w:t xml:space="preserve"> </w:t>
      </w:r>
      <w:r>
        <w:rPr>
          <w:i/>
          <w:iCs/>
        </w:rPr>
        <w:t xml:space="preserve">attn</w:t>
      </w:r>
      <w:r>
        <w:t xml:space="preserve"> </w:t>
      </w:r>
      <w:r>
        <w:t xml:space="preserve">binds to the set of receipts supporting every edge in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Non-membership proof</w:t>
      </w:r>
      <w:r>
        <w:t xml:space="preserve"> </w:t>
      </w:r>
      <w:r>
        <w:t xml:space="preserve">for selector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reduces to proving absence of any</w:t>
      </w:r>
      <w:r>
        <w:t xml:space="preserve"> </w:t>
      </w:r>
      <m:oMath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within the selector’s constraint preimage. We achieve this by</w:t>
      </w:r>
      <w:r>
        <w:t xml:space="preserve"> </w:t>
      </w:r>
      <w:r>
        <w:rPr>
          <w:i/>
          <w:iCs/>
        </w:rPr>
        <w:t xml:space="preserve">deterministic prefix bucketing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Define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t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rPr>
                <m:nor/>
                <m:sty m:val="p"/>
              </m:rPr>
              <m:t>prefix</m:t>
            </m:r>
          </m:e>
          <m:sub>
            <m:r>
              <m:t>t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⟨</m:t>
                </m:r>
                <m:r>
                  <m:t>q</m:t>
                </m:r>
                <m:r>
                  <m:rPr>
                    <m:sty m:val="p"/>
                  </m:rPr>
                  <m:t>⟩</m:t>
                </m:r>
              </m:e>
            </m:d>
          </m:e>
        </m:d>
      </m:oMath>
      <w:r>
        <w:t xml:space="preserve"> </w:t>
      </w:r>
      <w:r>
        <w:t xml:space="preserve">of length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chosen so expected load per bucket is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Maintain auxiliary map</w:t>
      </w:r>
      <w:r>
        <w:t xml:space="preserve"> </w:t>
      </w:r>
      <m:oMath>
        <m:sSub>
          <m:e>
            <m:r>
              <m:rPr>
                <m:sty m:val="p"/>
                <m:scr m:val="sans-serif"/>
              </m:rPr>
              <m:t>B</m:t>
            </m:r>
            <m:r>
              <m:rPr>
                <m:sty m:val="p"/>
                <m:scr m:val="sans-serif"/>
              </m:rPr>
              <m:t>K</m:t>
            </m:r>
            <m:r>
              <m:rPr>
                <m:sty m:val="p"/>
                <m:scr m:val="sans-serif"/>
              </m:rPr>
              <m:t>T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from bucket prefixes to</w:t>
      </w:r>
      <w:r>
        <w:t xml:space="preserve"> </w:t>
      </w:r>
      <w:r>
        <w:rPr>
          <w:b/>
          <w:bCs/>
        </w:rPr>
        <w:t xml:space="preserve">Bloom-Commitments</w:t>
      </w:r>
      <w:r>
        <w:t xml:space="preserve"> </w:t>
      </w:r>
      <m:oMath>
        <m:r>
          <m:rPr>
            <m:sty m:val="p"/>
            <m:scr m:val="sans-serif"/>
          </m:rPr>
          <m:t>B</m:t>
        </m:r>
        <m:r>
          <m:rPr>
            <m:sty m:val="p"/>
            <m:scr m:val="sans-serif"/>
          </m:rPr>
          <m:t>C</m:t>
        </m:r>
      </m:oMath>
      <w:r>
        <w:t xml:space="preserve"> </w:t>
      </w:r>
      <w:r>
        <w:t xml:space="preserve">over present</w:t>
      </w:r>
      <w:r>
        <w:t xml:space="preserve"> </w:t>
      </w:r>
      <m:oMath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in the bucket, constructed as a Merkleized Bloom filter (MBF) with false-positive rate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non-membership proof for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t xml:space="preserve"> </w:t>
      </w:r>
      <w:r>
        <w:t xml:space="preserve">consists of:</w:t>
      </w:r>
    </w:p>
    <w:p>
      <w:pPr>
        <w:pStyle w:val="Compact"/>
        <w:numPr>
          <w:ilvl w:val="1"/>
          <w:numId w:val="1008"/>
        </w:numPr>
      </w:pPr>
      <w:r>
        <w:t xml:space="preserve">SMT proof that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t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</m:oMath>
      <w:r>
        <w:t xml:space="preserve"> </w:t>
      </w:r>
      <w:r>
        <w:t xml:space="preserve">has commitment</w:t>
      </w:r>
      <w:r>
        <w:t xml:space="preserve"> </w:t>
      </w:r>
      <m:oMath>
        <m:r>
          <m:rPr>
            <m:sty m:val="p"/>
            <m:scr m:val="sans-serif"/>
          </m:rPr>
          <m:t>B</m:t>
        </m:r>
        <m:r>
          <m:rPr>
            <m:sty m:val="p"/>
            <m:scr m:val="sans-serif"/>
          </m:rPr>
          <m:t>C</m:t>
        </m:r>
      </m:oMath>
      <w:r>
        <w:t xml:space="preserve"> </w:t>
      </w:r>
      <w:r>
        <w:t xml:space="preserve">(or is empty) in</w:t>
      </w:r>
      <w:r>
        <w:t xml:space="preserve"> </w:t>
      </w:r>
      <m:oMath>
        <m:sSub>
          <m:e>
            <m:r>
              <m:rPr>
                <m:sty m:val="p"/>
                <m:scr m:val="sans-serif"/>
              </m:rPr>
              <m:t>B</m:t>
            </m:r>
            <m:r>
              <m:rPr>
                <m:sty m:val="p"/>
                <m:scr m:val="sans-serif"/>
              </m:rPr>
              <m:t>K</m:t>
            </m:r>
            <m:r>
              <m:rPr>
                <m:sty m:val="p"/>
                <m:scr m:val="sans-serif"/>
              </m:rPr>
              <m:t>T</m:t>
            </m:r>
          </m:e>
          <m:sub>
            <m:r>
              <m:t>e</m:t>
            </m:r>
          </m:sub>
        </m:sSub>
      </m:oMath>
      <w:r>
        <w:t xml:space="preserve">;</w:t>
      </w:r>
    </w:p>
    <w:p>
      <w:pPr>
        <w:pStyle w:val="Compact"/>
        <w:numPr>
          <w:ilvl w:val="1"/>
          <w:numId w:val="1008"/>
        </w:numPr>
      </w:pPr>
      <w:r>
        <w:t xml:space="preserve">MBF non-membership witness that 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consistent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in the bucket; and</w:t>
      </w:r>
    </w:p>
    <w:p>
      <w:pPr>
        <w:pStyle w:val="Compact"/>
        <w:numPr>
          <w:ilvl w:val="1"/>
          <w:numId w:val="1008"/>
        </w:numPr>
      </w:pPr>
      <w:r>
        <w:t xml:space="preserve">Domain-scope witness showing that any path consistent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must hash into this bucket family (sound because bucket is derived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deterministically).</w:t>
      </w:r>
    </w:p>
    <w:p>
      <w:pPr>
        <w:pStyle w:val="FirstParagraph"/>
      </w:pPr>
      <w:r>
        <w:rPr>
          <w:b/>
          <w:bCs/>
        </w:rPr>
        <w:t xml:space="preserve">Complexity</w:t>
      </w:r>
      <w:r>
        <w:t xml:space="preserve">: proof size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κ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+</m:t>
            </m:r>
            <m:r>
              <m:t>β</m:t>
            </m:r>
          </m:e>
        </m:d>
      </m:oMath>
      <w:r>
        <w:t xml:space="preserve">; verifier time</w:t>
      </w:r>
      <w:r>
        <w:t xml:space="preserve"> </w:t>
      </w:r>
      <m:oMath>
        <m:acc>
          <m:accPr>
            <m:chr m:val="̃"/>
          </m:accPr>
          <m:e>
            <m:r>
              <m:t>O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  <m:r>
              <m:rPr>
                <m:sty m:val="p"/>
              </m:rPr>
              <m:t>+</m:t>
            </m:r>
            <m:r>
              <m:t>k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MBF checks. Choose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Θ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r>
              <m:t>M</m:t>
            </m:r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number of query families. Set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Θ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</m:e>
        </m:d>
      </m:oMath>
      <w:r>
        <w:t xml:space="preserve"> </w:t>
      </w:r>
      <w:r>
        <w:t xml:space="preserve">for negligible FPR.</w:t>
      </w:r>
    </w:p>
    <w:p>
      <w:pPr>
        <w:pStyle w:val="BlockText"/>
      </w:pPr>
      <w:r>
        <w:rPr>
          <w:b/>
          <w:bCs/>
        </w:rPr>
        <w:t xml:space="preserve">Note (gap)</w:t>
      </w:r>
      <w:r>
        <w:t xml:space="preserve">: The source documents must specify exact selector schemas and bucket preimage mapping to guarantee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coverage; we propose the prefix bucketing as a consistent, auditable method.</w:t>
      </w:r>
    </w:p>
    <w:bookmarkEnd w:id="34"/>
    <w:bookmarkStart w:id="35" w:name="X747b4b61ef754a5e739444c6d546598f465366b"/>
    <w:p>
      <w:pPr>
        <w:pStyle w:val="Heading3"/>
      </w:pPr>
      <w:r>
        <w:t xml:space="preserve">4.3 Epoch Roots and Cross-Epoch Non-Reachability</w:t>
      </w:r>
    </w:p>
    <w:p>
      <w:pPr>
        <w:pStyle w:val="FirstParagraph"/>
      </w:pPr>
      <w:r>
        <w:t xml:space="preserve">Maintain per-epoch roots</w:t>
      </w:r>
      <w:r>
        <w:t xml:space="preserve"> </w:t>
      </w:r>
      <m:oMath>
        <m:sSubSup>
          <m:e>
            <m:r>
              <m:rPr>
                <m:sty m:val="p"/>
                <m:scr m:val="sans-serif"/>
              </m:rPr>
              <m:t>R</m:t>
            </m:r>
            <m:r>
              <m:rPr>
                <m:sty m:val="p"/>
                <m:scr m:val="sans-serif"/>
              </m:rPr>
              <m:t>o</m:t>
            </m:r>
            <m:r>
              <m:rPr>
                <m:sty m:val="p"/>
                <m:scr m:val="sans-serif"/>
              </m:rPr>
              <m:t>o</m:t>
            </m:r>
            <m:r>
              <m:rPr>
                <m:sty m:val="p"/>
                <m:scr m:val="sans-serif"/>
              </m:rPr>
              <m:t>t</m:t>
            </m:r>
          </m:e>
          <m:sub>
            <m:r>
              <m:t>e</m:t>
            </m:r>
          </m:sub>
          <m:sup>
            <m:r>
              <m:rPr>
                <m:nor/>
                <m:sty m:val="p"/>
              </m:rPr>
              <m:t>RMT</m:t>
            </m:r>
          </m:sup>
        </m:sSubSup>
      </m:oMath>
      <w:r>
        <w:t xml:space="preserve"> </w:t>
      </w:r>
      <w:r>
        <w:t xml:space="preserve">and a chain</w:t>
      </w:r>
      <w:r>
        <w:t xml:space="preserve"> </w:t>
      </w:r>
      <m:oMath>
        <m:sSub>
          <m:e>
            <m:r>
              <m:rPr>
                <m:sty m:val="p"/>
                <m:scr m:val="sans-serif"/>
              </m:rPr>
              <m:t>H</m:t>
            </m:r>
            <m:r>
              <m:rPr>
                <m:sty m:val="p"/>
                <m:scr m:val="sans-serif"/>
              </m:rPr>
              <m:t>d</m:t>
            </m:r>
            <m:r>
              <m:rPr>
                <m:sty m:val="p"/>
                <m:scr m:val="sans-serif"/>
              </m:rPr>
              <m:t>r</m:t>
            </m:r>
          </m:e>
          <m:sub>
            <m:r>
              <m:t>e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H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⟨</m:t>
            </m:r>
            <m:r>
              <m:t>e</m:t>
            </m:r>
            <m:r>
              <m:rPr>
                <m:sty m:val="p"/>
              </m:rPr>
              <m:t>,</m:t>
            </m:r>
            <m:sSubSup>
              <m:e>
                <m:r>
                  <m:rPr>
                    <m:sty m:val="p"/>
                    <m:scr m:val="sans-serif"/>
                  </m:rPr>
                  <m:t>R</m:t>
                </m:r>
                <m:r>
                  <m:rPr>
                    <m:sty m:val="p"/>
                    <m:scr m:val="sans-serif"/>
                  </m:rPr>
                  <m:t>o</m:t>
                </m:r>
                <m:r>
                  <m:rPr>
                    <m:sty m:val="p"/>
                    <m:scr m:val="sans-serif"/>
                  </m:rPr>
                  <m:t>o</m:t>
                </m:r>
                <m:r>
                  <m:rPr>
                    <m:sty m:val="p"/>
                    <m:scr m:val="sans-serif"/>
                  </m:rPr>
                  <m:t>t</m:t>
                </m:r>
              </m:e>
              <m:sub>
                <m:r>
                  <m:t>e</m:t>
                </m:r>
              </m:sub>
              <m:sup>
                <m:r>
                  <m:rPr>
                    <m:nor/>
                    <m:sty m:val="p"/>
                  </m:rPr>
                  <m:t>RMT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rPr>
                    <m:sty m:val="p"/>
                    <m:scr m:val="sans-serif"/>
                  </m:rPr>
                  <m:t>R</m:t>
                </m:r>
                <m:r>
                  <m:rPr>
                    <m:sty m:val="p"/>
                    <m:scr m:val="sans-serif"/>
                  </m:rPr>
                  <m:t>o</m:t>
                </m:r>
                <m:r>
                  <m:rPr>
                    <m:sty m:val="p"/>
                    <m:scr m:val="sans-serif"/>
                  </m:rPr>
                  <m:t>o</m:t>
                </m:r>
                <m:r>
                  <m:rPr>
                    <m:sty m:val="p"/>
                    <m:scr m:val="sans-serif"/>
                  </m:rPr>
                  <m:t>t</m:t>
                </m:r>
              </m:e>
              <m:sub>
                <m:r>
                  <m:t>e</m:t>
                </m:r>
              </m:sub>
              <m:sup>
                <m:r>
                  <m:rPr>
                    <m:nor/>
                    <m:sty m:val="p"/>
                  </m:rPr>
                  <m:t>RCT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rPr>
                    <m:sty m:val="p"/>
                    <m:scr m:val="sans-serif"/>
                  </m:rPr>
                  <m:t>R</m:t>
                </m:r>
                <m:r>
                  <m:rPr>
                    <m:sty m:val="p"/>
                    <m:scr m:val="sans-serif"/>
                  </m:rPr>
                  <m:t>o</m:t>
                </m:r>
                <m:r>
                  <m:rPr>
                    <m:sty m:val="p"/>
                    <m:scr m:val="sans-serif"/>
                  </m:rPr>
                  <m:t>o</m:t>
                </m:r>
                <m:r>
                  <m:rPr>
                    <m:sty m:val="p"/>
                    <m:scr m:val="sans-serif"/>
                  </m:rPr>
                  <m:t>t</m:t>
                </m:r>
              </m:e>
              <m:sub>
                <m:r>
                  <m:t>e</m:t>
                </m:r>
              </m:sub>
              <m:sup>
                <m:r>
                  <m:rPr>
                    <m:nor/>
                    <m:sty m:val="p"/>
                  </m:rPr>
                  <m:t>REC</m:t>
                </m:r>
              </m:sup>
            </m:sSubSup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ans-serif"/>
                  </m:rPr>
                  <m:t>H</m:t>
                </m:r>
                <m:r>
                  <m:rPr>
                    <m:sty m:val="p"/>
                    <m:scr m:val="sans-serif"/>
                  </m:rPr>
                  <m:t>d</m:t>
                </m:r>
                <m:r>
                  <m:rPr>
                    <m:sty m:val="p"/>
                    <m:scr m:val="sans-serif"/>
                  </m:rPr>
                  <m:t>r</m:t>
                </m:r>
              </m:e>
              <m:sub>
                <m:r>
                  <m:t>e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⟩</m:t>
            </m:r>
          </m:e>
        </m:d>
      </m:oMath>
      <w:r>
        <w:t xml:space="preserve"> </w:t>
      </w:r>
      <w:r>
        <w:t xml:space="preserve">combining relational tree (RMT), receipt catalog tree (RCT by UID/event), and record tree (REC by vertex/edge materialization). Cross-epoch non-reachability leverages monotonicity: if</w:t>
      </w:r>
      <w:r>
        <w:t xml:space="preserve"> </w:t>
      </w:r>
      <m:oMath>
        <m:r>
          <m:rPr>
            <m:sty m:val="p"/>
          </m:rPr>
          <m:t>¬</m:t>
        </m:r>
        <m:sSub>
          <m:e>
            <m:r>
              <m:rPr>
                <m:nor/>
                <m:sty m:val="p"/>
              </m:rPr>
              <m:t>reach</m:t>
            </m:r>
          </m:e>
          <m:sub>
            <m:r>
              <m:t>e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and destruction receipts collapse edges forward, then</w:t>
      </w:r>
      <w:r>
        <w:t xml:space="preserve"> </w:t>
      </w:r>
      <m:oMath>
        <m:r>
          <m:rPr>
            <m:sty m:val="p"/>
          </m:rPr>
          <m:t>¬</m:t>
        </m:r>
        <m:sSub>
          <m:e>
            <m:r>
              <m:rPr>
                <m:nor/>
                <m:sty m:val="p"/>
              </m:rPr>
              <m:t>reach</m:t>
            </m:r>
          </m:e>
          <m:sub>
            <m:r>
              <m:t>e</m:t>
            </m:r>
            <m:r>
              <m:rPr>
                <m:sty m:val="p"/>
              </m:rPr>
              <m:t>′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e</m:t>
        </m:r>
        <m:r>
          <m:rPr>
            <m:sty m:val="p"/>
          </m:rPr>
          <m:t>′</m:t>
        </m:r>
        <m:r>
          <m:rPr>
            <m:sty m:val="p"/>
          </m:rPr>
          <m:t>≥</m:t>
        </m:r>
        <m:r>
          <m:t>e</m:t>
        </m:r>
      </m:oMath>
      <w:r>
        <w:t xml:space="preserve"> </w:t>
      </w:r>
      <w:r>
        <w:t xml:space="preserve">unless new edges are introduced; proofs quote both epochs’ headers.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76c443ad98789e6a9adebb0ff95a300e70e179a"/>
    <w:p>
      <w:pPr>
        <w:pStyle w:val="Heading2"/>
      </w:pPr>
      <w:r>
        <w:t xml:space="preserve">5. Multiparty Computation (MPC) Protocol for Federated Proofs</w:t>
      </w:r>
    </w:p>
    <w:bookmarkStart w:id="37" w:name="setting-goal"/>
    <w:p>
      <w:pPr>
        <w:pStyle w:val="Heading3"/>
      </w:pPr>
      <w:r>
        <w:t xml:space="preserve">5.1 Setting &amp; Goal</w:t>
      </w:r>
    </w:p>
    <w:p>
      <w:pPr>
        <w:pStyle w:val="FirstParagraph"/>
      </w:pPr>
      <w:r>
        <w:t xml:space="preserve">Parties</w:t>
      </w:r>
      <w:r>
        <w:t xml:space="preserve"> </w:t>
      </w:r>
      <m:oMath>
        <m:r>
          <m:rPr>
            <m:sty m:val="p"/>
            <m:scr m:val="script"/>
          </m:rP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hold local lifecycle subgraphs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, unwilling to reveal raw edges. Goal: jointly produce a public non-reachability proof that no permitted path connects a public source selector to a public sink selector across the</w:t>
      </w:r>
      <w:r>
        <w:t xml:space="preserve"> </w:t>
      </w:r>
      <w:r>
        <w:rPr>
          <w:i/>
          <w:iCs/>
        </w:rPr>
        <w:t xml:space="preserve">union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⨆</m:t>
            </m:r>
          </m:e>
          <m:sub>
            <m:r>
              <m:t>i</m:t>
            </m:r>
          </m:sub>
        </m:sSub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(with interface vertices reconciled by FQIDs), while revealing only committed proofs.</w:t>
      </w:r>
    </w:p>
    <w:bookmarkEnd w:id="37"/>
    <w:bookmarkStart w:id="38" w:name="preprocessing-commitments"/>
    <w:p>
      <w:pPr>
        <w:pStyle w:val="Heading3"/>
      </w:pPr>
      <w:r>
        <w:t xml:space="preserve">5.2 Preprocessing Commitments</w:t>
      </w:r>
    </w:p>
    <w:p>
      <w:pPr>
        <w:pStyle w:val="FirstParagraph"/>
      </w:pPr>
      <w:r>
        <w:t xml:space="preserve">Each party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publishes (or posts to a bulletin board):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rPr>
                <m:sty m:val="p"/>
                <m:scr m:val="sans-serif"/>
              </m:rPr>
              <m:t>R</m:t>
            </m:r>
            <m:r>
              <m:rPr>
                <m:sty m:val="p"/>
                <m:scr m:val="sans-serif"/>
              </m:rPr>
              <m:t>o</m:t>
            </m:r>
            <m:r>
              <m:rPr>
                <m:sty m:val="p"/>
                <m:scr m:val="sans-serif"/>
              </m:rPr>
              <m:t>o</m:t>
            </m:r>
            <m:r>
              <m:rPr>
                <m:sty m:val="p"/>
                <m:scr m:val="sans-serif"/>
              </m:rPr>
              <m:t>t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e</m:t>
            </m:r>
          </m:sub>
          <m:sup>
            <m:r>
              <m:rPr>
                <m:nor/>
                <m:sty m:val="p"/>
              </m:rPr>
              <m:t>REC</m:t>
            </m:r>
          </m:sup>
        </m:sSubSup>
      </m:oMath>
      <w:r>
        <w:t xml:space="preserve">: Merkle root over its epoch-</w:t>
      </w:r>
      <m:oMath>
        <m:r>
          <m:t>e</m:t>
        </m:r>
      </m:oMath>
      <w:r>
        <w:t xml:space="preserve"> </w:t>
      </w:r>
      <w:r>
        <w:t xml:space="preserve">realized edges and vertices with typed encodings.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rPr>
                <m:sty m:val="p"/>
                <m:scr m:val="sans-serif"/>
              </m:rPr>
              <m:t>R</m:t>
            </m:r>
            <m:r>
              <m:rPr>
                <m:sty m:val="p"/>
                <m:scr m:val="sans-serif"/>
              </m:rPr>
              <m:t>o</m:t>
            </m:r>
            <m:r>
              <m:rPr>
                <m:sty m:val="p"/>
                <m:scr m:val="sans-serif"/>
              </m:rPr>
              <m:t>o</m:t>
            </m:r>
            <m:r>
              <m:rPr>
                <m:sty m:val="p"/>
                <m:scr m:val="sans-serif"/>
              </m:rPr>
              <m:t>t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e</m:t>
            </m:r>
          </m:sub>
          <m:sup>
            <m:r>
              <m:rPr>
                <m:nor/>
                <m:sty m:val="p"/>
              </m:rPr>
              <m:t>RMT</m:t>
            </m:r>
          </m:sup>
        </m:sSubSup>
      </m:oMath>
      <w:r>
        <w:t xml:space="preserve">: its relational SMT for epoch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Interface map commitments</w:t>
      </w:r>
      <w:r>
        <w:t xml:space="preserve"> </w:t>
      </w:r>
      <w:r>
        <w:t xml:space="preserve">binding FQID equivalence classes where domains meet.</w:t>
      </w:r>
    </w:p>
    <w:bookmarkEnd w:id="38"/>
    <w:bookmarkStart w:id="39" w:name="X6674f08976245d334cd86e17a2145efe73c7672"/>
    <w:p>
      <w:pPr>
        <w:pStyle w:val="Heading3"/>
      </w:pPr>
      <w:r>
        <w:t xml:space="preserve">5.3 Protocol Sketch (SPDZ-style with VOLE/Beaver Abstraction)</w:t>
      </w:r>
    </w:p>
    <w:p>
      <w:pPr>
        <w:pStyle w:val="FirstParagraph"/>
      </w:pPr>
      <w:r>
        <w:t xml:space="preserve">We reduce path existence to a constraint system over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F</m:t>
            </m:r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Encoding</w:t>
      </w:r>
      <w:r>
        <w:t xml:space="preserve">: Each possible edge template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consistent with policy induces a binary variable</w:t>
      </w:r>
      <w:r>
        <w:t xml:space="preserve"> </w:t>
      </w:r>
      <m:oMath>
        <m:sSub>
          <m:e>
            <m:r>
              <m:t>x</m:t>
            </m:r>
          </m:e>
          <m:sub>
            <m:r>
              <m:t>η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. For each party,</w:t>
      </w:r>
      <w:r>
        <w:t xml:space="preserve"> </w:t>
      </w:r>
      <m:oMath>
        <m:sSub>
          <m:e>
            <m:r>
              <m:t>x</m:t>
            </m:r>
          </m:e>
          <m:sub>
            <m:r>
              <m:t>η</m:t>
            </m:r>
          </m:sub>
        </m:sSub>
      </m:oMath>
      <w:r>
        <w:t xml:space="preserve"> </w:t>
      </w:r>
      <w:r>
        <w:t xml:space="preserve">is secret-shared if the edge is present locally (proved by Merkle opening to</w:t>
      </w:r>
      <w:r>
        <w:t xml:space="preserve"> </w:t>
      </w:r>
      <m:oMath>
        <m:sSubSup>
          <m:e>
            <m:r>
              <m:rPr>
                <m:sty m:val="p"/>
                <m:scr m:val="sans-serif"/>
              </m:rPr>
              <m:t>R</m:t>
            </m:r>
            <m:r>
              <m:rPr>
                <m:sty m:val="p"/>
                <m:scr m:val="sans-serif"/>
              </m:rPr>
              <m:t>o</m:t>
            </m:r>
            <m:r>
              <m:rPr>
                <m:sty m:val="p"/>
                <m:scr m:val="sans-serif"/>
              </m:rPr>
              <m:t>o</m:t>
            </m:r>
            <m:r>
              <m:rPr>
                <m:sty m:val="p"/>
                <m:scr m:val="sans-serif"/>
              </m:rPr>
              <m:t>t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e</m:t>
            </m:r>
          </m:sub>
          <m:sup>
            <m:r>
              <m:rPr>
                <m:nor/>
                <m:sty m:val="p"/>
              </m:rPr>
              <m:t>REC</m:t>
            </m:r>
          </m:sup>
        </m:sSubSup>
      </m:oMath>
      <w:r>
        <w:t xml:space="preserve">) and 0 otherwise.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Flow constraints</w:t>
      </w:r>
      <w:r>
        <w:t xml:space="preserve">: For each vertex, Kirchhoff-like flow ensuring a path from sources to sinks must satisfy in/out degree constraints along permitted relations.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Selector satisfaction</w:t>
      </w:r>
      <w:r>
        <w:t xml:space="preserve">: Linear constraints encode that a valid path implies a bucketed key</w:t>
      </w:r>
      <w:r>
        <w:t xml:space="preserve"> </w:t>
      </w:r>
      <m:oMath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exists.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Zero-test</w:t>
      </w:r>
      <w:r>
        <w:t xml:space="preserve">: Parties jointly evaluate whether the polynomial system admits a satisfying assignment (approximate via sum-check / GKR or reduce to SAT-in-MPC with garbling for small diameters). We prefer a</w:t>
      </w:r>
      <w:r>
        <w:t xml:space="preserve"> </w:t>
      </w:r>
      <w:r>
        <w:rPr>
          <w:i/>
          <w:iCs/>
        </w:rPr>
        <w:t xml:space="preserve">sum-check over layered DAGs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O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 </w:t>
      </w:r>
      <w:r>
        <w:t xml:space="preserve">rounds.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Witness-less certificate</w:t>
      </w:r>
      <w:r>
        <w:t xml:space="preserve">: If unsat, parties produce a</w:t>
      </w:r>
      <w:r>
        <w:t xml:space="preserve"> </w:t>
      </w:r>
      <w:r>
        <w:rPr>
          <w:i/>
          <w:iCs/>
        </w:rPr>
        <w:t xml:space="preserve">Fiat–Shamir</w:t>
      </w:r>
      <w:r>
        <w:t xml:space="preserve"> </w:t>
      </w:r>
      <w:r>
        <w:t xml:space="preserve">transcript comprising: (i) commitments to constraints, (ii) random oracle challenges, (iii) per-party Merkle openings that bind the absence of required edges, and (iv) a joint NIZK that the MPC executed correctly.</w:t>
      </w:r>
    </w:p>
    <w:p>
      <w:pPr>
        <w:pStyle w:val="FirstParagraph"/>
      </w:pPr>
      <w:r>
        <w:rPr>
          <w:b/>
          <w:bCs/>
        </w:rPr>
        <w:t xml:space="preserve">Security</w:t>
      </w:r>
      <w:r>
        <w:t xml:space="preserve">: Honest-majority passive security with upgrade path to malicious security via ZK-SNARK wrapper on the arithmetic circuit of step (4).</w:t>
      </w:r>
    </w:p>
    <w:p>
      <w:pPr>
        <w:pStyle w:val="BodyText"/>
      </w:pPr>
      <w:r>
        <w:rPr>
          <w:b/>
          <w:bCs/>
        </w:rPr>
        <w:t xml:space="preserve">Complexity</w:t>
      </w:r>
      <w:r>
        <w:t xml:space="preserve">: For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 diameter</w:t>
      </w:r>
      <w:r>
        <w:t xml:space="preserve"> </w:t>
      </w:r>
      <m:oMath>
        <m:r>
          <m:t>D</m:t>
        </m:r>
      </m:oMath>
      <w:r>
        <w:t xml:space="preserve">, layered reduction yields circuit size</w:t>
      </w:r>
      <w:r>
        <w:t xml:space="preserve"> </w:t>
      </w:r>
      <m:oMath>
        <m:acc>
          <m:accPr>
            <m:chr m:val="̃"/>
          </m:accPr>
          <m:e>
            <m:r>
              <m:t>O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and depth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</m:oMath>
      <w:r>
        <w:t xml:space="preserve">. Communication</w:t>
      </w:r>
      <w:r>
        <w:t xml:space="preserve"> </w:t>
      </w:r>
      <m:oMath>
        <m:acc>
          <m:accPr>
            <m:chr m:val="̃"/>
          </m:accPr>
          <m:e>
            <m:r>
              <m:t>O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for SPDZ-like; verification</w:t>
      </w:r>
      <w:r>
        <w:t xml:space="preserve"> </w:t>
      </w:r>
      <m:oMath>
        <m:acc>
          <m:accPr>
            <m:chr m:val="̃"/>
          </m:accPr>
          <m:e>
            <m:r>
              <m:t>O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m</m:t>
            </m:r>
          </m:e>
        </m:d>
      </m:oMath>
      <w:r>
        <w:t xml:space="preserve"> </w:t>
      </w:r>
      <w:r>
        <w:t xml:space="preserve">if wrapped in succinct proof.</w:t>
      </w:r>
    </w:p>
    <w:p>
      <w:pPr>
        <w:pStyle w:val="BlockText"/>
      </w:pPr>
      <w:r>
        <w:rPr>
          <w:b/>
          <w:bCs/>
        </w:rPr>
        <w:t xml:space="preserve">Gap/Assumption</w:t>
      </w:r>
      <w:r>
        <w:t xml:space="preserve">: Source docs should specify the adversarial model (semi-honest vs. malicious), the concrete field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F</m:t>
            </m:r>
          </m:e>
          <m:sub>
            <m:r>
              <m:t>p</m:t>
            </m:r>
          </m:sub>
        </m:sSub>
      </m:oMath>
      <w:r>
        <w:t xml:space="preserve">, and transcript format. We propose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sSup>
          <m:e>
            <m:r>
              <m:t>2</m:t>
            </m:r>
          </m:e>
          <m:sup>
            <m:r>
              <m:t>255</m:t>
            </m:r>
          </m:sup>
        </m:sSup>
        <m:r>
          <m:rPr>
            <m:sty m:val="p"/>
          </m:rPr>
          <m:t>−</m:t>
        </m:r>
        <m:r>
          <m:t>19</m:t>
        </m:r>
      </m:oMath>
      <w:r>
        <w:t xml:space="preserve"> </w:t>
      </w:r>
      <w:r>
        <w:t xml:space="preserve">or BN254 if pairing-based SNARKs are used.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batch-proof-batching-algorithm"/>
    <w:p>
      <w:pPr>
        <w:pStyle w:val="Heading2"/>
      </w:pPr>
      <w:r>
        <w:t xml:space="preserve">6. Batch Proof Batching Algorithm</w:t>
      </w:r>
    </w:p>
    <w:bookmarkStart w:id="41" w:name="problem"/>
    <w:p>
      <w:pPr>
        <w:pStyle w:val="Heading3"/>
      </w:pPr>
      <w:r>
        <w:t xml:space="preserve">6.1 Problem</w:t>
      </w:r>
    </w:p>
    <w:p>
      <w:pPr>
        <w:pStyle w:val="FirstParagraph"/>
      </w:pPr>
      <w:r>
        <w:t xml:space="preserve">Given queries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q</m:t>
            </m:r>
          </m:e>
          <m:sub>
            <m:r>
              <m:t>j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B</m:t>
            </m:r>
          </m:sup>
        </m:sSubSup>
      </m:oMath>
      <w:r>
        <w:t xml:space="preserve"> </w:t>
      </w:r>
      <w:r>
        <w:t xml:space="preserve">at epoch</w:t>
      </w:r>
      <w:r>
        <w:t xml:space="preserve"> </w:t>
      </w:r>
      <m:oMath>
        <m:r>
          <m:t>e</m:t>
        </m:r>
      </m:oMath>
      <w:r>
        <w:t xml:space="preserve">, produce aggregated non-membership proofs with amortized size sublinear in</w:t>
      </w:r>
      <w:r>
        <w:t xml:space="preserve"> </w:t>
      </w:r>
      <m:oMath>
        <m:r>
          <m:t>B</m:t>
        </m:r>
      </m:oMath>
      <w:r>
        <w:t xml:space="preserve">.</w:t>
      </w:r>
    </w:p>
    <w:bookmarkEnd w:id="41"/>
    <w:bookmarkStart w:id="42" w:name="aggregation-via-prefix-forests"/>
    <w:p>
      <w:pPr>
        <w:pStyle w:val="Heading3"/>
      </w:pPr>
      <w:r>
        <w:t xml:space="preserve">6.2 Aggregation via Prefix Forests</w:t>
      </w:r>
    </w:p>
    <w:p>
      <w:pPr>
        <w:pStyle w:val="Compact"/>
        <w:numPr>
          <w:ilvl w:val="0"/>
          <w:numId w:val="1010"/>
        </w:numPr>
      </w:pPr>
      <w:r>
        <w:t xml:space="preserve">Group queries by bucket prefix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t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</m:oMath>
      <w:r>
        <w:t xml:space="preserve"> </w:t>
      </w:r>
      <w:r>
        <w:t xml:space="preserve">(Sec. 4.2).</w:t>
      </w:r>
    </w:p>
    <w:p>
      <w:pPr>
        <w:pStyle w:val="Compact"/>
        <w:numPr>
          <w:ilvl w:val="0"/>
          <w:numId w:val="1010"/>
        </w:numPr>
      </w:pPr>
      <w:r>
        <w:t xml:space="preserve">Build a</w:t>
      </w:r>
      <w:r>
        <w:t xml:space="preserve"> </w:t>
      </w:r>
      <w:r>
        <w:rPr>
          <w:i/>
          <w:iCs/>
        </w:rPr>
        <w:t xml:space="preserve">prefix forest</w:t>
      </w:r>
      <w:r>
        <w:t xml:space="preserve"> </w:t>
      </w:r>
      <m:oMath>
        <m:r>
          <m:rPr>
            <m:sty m:val="p"/>
            <m:scr m:val="script"/>
          </m:rPr>
          <m:t>F</m:t>
        </m:r>
      </m:oMath>
      <w:r>
        <w:t xml:space="preserve"> </w:t>
      </w:r>
      <w:r>
        <w:t xml:space="preserve">over the involved SMT paths; compute a single Merkle multiproof covering all referenced nodes. Complexity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∂</m:t>
                </m:r>
                <m:r>
                  <m:rPr>
                    <m:sty m:val="p"/>
                    <m:scr m:val="script"/>
                  </m:rPr>
                  <m:t>F</m:t>
                </m:r>
              </m:e>
            </m:d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∂</m:t>
            </m:r>
            <m:r>
              <m:rPr>
                <m:sty m:val="p"/>
                <m:scr m:val="script"/>
              </m:rPr>
              <m:t>F</m:t>
            </m:r>
          </m:e>
        </m:d>
      </m:oMath>
      <w:r>
        <w:t xml:space="preserve"> </w:t>
      </w:r>
      <w:r>
        <w:t xml:space="preserve">are frontier nodes.</w:t>
      </w:r>
    </w:p>
    <w:p>
      <w:pPr>
        <w:pStyle w:val="Compact"/>
        <w:numPr>
          <w:ilvl w:val="0"/>
          <w:numId w:val="1010"/>
        </w:numPr>
      </w:pPr>
      <w:r>
        <w:t xml:space="preserve">For each bucket group, use</w:t>
      </w:r>
      <w:r>
        <w:t xml:space="preserve"> </w:t>
      </w:r>
      <w:r>
        <w:rPr>
          <w:i/>
          <w:iCs/>
        </w:rPr>
        <w:t xml:space="preserve">vector commitments</w:t>
      </w:r>
      <w:r>
        <w:t xml:space="preserve"> </w:t>
      </w:r>
      <w:r>
        <w:t xml:space="preserve">(e.g., KZG or IPA) to open MBF polynomials at multiple points in batch.</w:t>
      </w:r>
    </w:p>
    <w:p>
      <w:pPr>
        <w:pStyle w:val="FirstParagraph"/>
      </w:pPr>
      <w:r>
        <w:rPr>
          <w:b/>
          <w:bCs/>
        </w:rPr>
        <w:t xml:space="preserve">Proof size</w:t>
      </w:r>
      <w:r>
        <w:t xml:space="preserve">: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⋅</m:t>
            </m:r>
            <m:sSub>
              <m:e>
                <m:r>
                  <m:t>σ</m:t>
                </m:r>
              </m:e>
              <m:sub>
                <m:r>
                  <m:t>M</m:t>
                </m:r>
                <m:r>
                  <m:t>B</m:t>
                </m:r>
                <m:r>
                  <m:t>F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σ</m:t>
                </m:r>
              </m:e>
              <m:sub>
                <m:r>
                  <m:t>V</m:t>
                </m:r>
                <m:r>
                  <m:t>C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number of distinct buckets across</w:t>
      </w:r>
      <w:r>
        <w:t xml:space="preserve"> </w:t>
      </w:r>
      <m:oMath>
        <m:r>
          <m:t>Q</m:t>
        </m:r>
      </m:oMath>
      <w:r>
        <w:t xml:space="preserve">. With KZG, batched openings are constant-sized (pairings), traded against trusted setup.</w:t>
      </w:r>
    </w:p>
    <w:p>
      <w:pPr>
        <w:pStyle w:val="BodyText"/>
      </w:pPr>
      <w:r>
        <w:rPr>
          <w:b/>
          <w:bCs/>
        </w:rPr>
        <w:t xml:space="preserve">Verifier time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O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  <m:r>
              <m:rPr>
                <m:sty m:val="p"/>
              </m:rPr>
              <m:t>+</m:t>
            </m:r>
            <m:r>
              <m:t>G</m:t>
            </m:r>
          </m:e>
        </m:d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Gap</w:t>
      </w:r>
      <w:r>
        <w:t xml:space="preserve">: If trusted setup is undesirable, recommend IPA (Inner-Product Arguments) with logarithmic openings, at small proof-size increase.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9ed2c56988676f4a89a88dc0abb99374d477cf7"/>
    <w:p>
      <w:pPr>
        <w:pStyle w:val="Heading2"/>
      </w:pPr>
      <w:r>
        <w:t xml:space="preserve">7. Cycle Detection Algorithm (Acyclicity Enforcement)</w:t>
      </w:r>
    </w:p>
    <w:p>
      <w:pPr>
        <w:pStyle w:val="FirstParagraph"/>
      </w:pPr>
      <w:r>
        <w:t xml:space="preserve">While acyclicity is required over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R</m:t>
            </m:r>
          </m:e>
          <m:sup>
            <m:r>
              <m:rPr>
                <m:sty m:val="p"/>
              </m:rPr>
              <m:t>↑</m:t>
            </m:r>
          </m:sup>
        </m:sSup>
      </m:oMath>
      <w:r>
        <w:t xml:space="preserve">, we must detect violations during ingestion.</w:t>
      </w:r>
    </w:p>
    <w:bookmarkStart w:id="44" w:name="options"/>
    <w:p>
      <w:pPr>
        <w:pStyle w:val="Heading3"/>
      </w:pPr>
      <w:r>
        <w:t xml:space="preserve">7.1 Options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Incremental Union–Find</w:t>
      </w:r>
      <w:r>
        <w:t xml:space="preserve"> </w:t>
      </w:r>
      <w:r>
        <w:t xml:space="preserve">is insufficient for directed cycles.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Online topological maintenance</w:t>
      </w:r>
      <w:r>
        <w:t xml:space="preserve">: Use dynamic DAG algorithm (Bender et al., 2019) for edge insertions with expected amortized</w:t>
      </w:r>
      <w:r>
        <w:t xml:space="preserve"> </w:t>
      </w:r>
      <m:oMath>
        <m:acc>
          <m:accPr>
            <m:chr m:val="̃"/>
          </m:accPr>
          <m:e>
            <m:r>
              <m:t>O</m:t>
            </m:r>
          </m:e>
        </m:acc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e>
        </m:d>
      </m:oMath>
      <w:r>
        <w:t xml:space="preserve">; heavy for our needs.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Pragmatic choice</w:t>
      </w:r>
      <w:r>
        <w:t xml:space="preserve">: Maintain a</w:t>
      </w:r>
      <w:r>
        <w:t xml:space="preserve"> </w:t>
      </w:r>
      <w:r>
        <w:rPr>
          <w:i/>
          <w:iCs/>
        </w:rPr>
        <w:t xml:space="preserve">Kahn-style</w:t>
      </w:r>
      <w:r>
        <w:t xml:space="preserve"> </w:t>
      </w:r>
      <w:r>
        <w:t xml:space="preserve">topological order with</w:t>
      </w:r>
      <w:r>
        <w:t xml:space="preserve"> </w:t>
      </w:r>
      <w:r>
        <w:rPr>
          <w:i/>
          <w:iCs/>
        </w:rPr>
        <w:t xml:space="preserve">back-edge search</w:t>
      </w:r>
      <w:r>
        <w:t xml:space="preserve"> </w:t>
      </w:r>
      <w:r>
        <w:t xml:space="preserve">on insert; for sparse graphs and bounded in-degree, this is</w:t>
      </w:r>
      <w:r>
        <w:t xml:space="preserve"> </w:t>
      </w:r>
      <m:oMath>
        <m:acc>
          <m:accPr>
            <m:chr m:val="̃"/>
          </m:accPr>
          <m:e>
            <m:r>
              <m:t>O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 </w:t>
      </w:r>
      <w:r>
        <w:t xml:space="preserve">expected with a balanced search frontier.</w:t>
      </w:r>
    </w:p>
    <w:bookmarkEnd w:id="44"/>
    <w:bookmarkStart w:id="45" w:name="recommended-algorithm"/>
    <w:p>
      <w:pPr>
        <w:pStyle w:val="Heading3"/>
      </w:pPr>
      <w:r>
        <w:t xml:space="preserve">7.2 Recommended Algorithm</w:t>
      </w:r>
    </w:p>
    <w:p>
      <w:pPr>
        <w:pStyle w:val="Compact"/>
        <w:numPr>
          <w:ilvl w:val="0"/>
          <w:numId w:val="1012"/>
        </w:numPr>
      </w:pPr>
      <w:r>
        <w:t xml:space="preserve">Keep a numbering</w:t>
      </w:r>
      <w:r>
        <w:t xml:space="preserve"> </w:t>
      </w:r>
      <m:oMath>
        <m:r>
          <m:t>π</m:t>
        </m:r>
        <m:r>
          <m:rPr>
            <m:sty m:val="p"/>
          </m:rPr>
          <m:t>:</m:t>
        </m:r>
        <m:r>
          <m:rPr>
            <m:sty m:val="p"/>
            <m:scr m:val="script"/>
          </m:rPr>
          <m:t>V</m:t>
        </m:r>
        <m:r>
          <m:rPr>
            <m:sty m:val="p"/>
          </m:rPr>
          <m:t>→</m:t>
        </m:r>
        <m:r>
          <m:rPr>
            <m:sty m:val="p"/>
            <m:scr m:val="double-struck"/>
          </m:rPr>
          <m:t>N</m:t>
        </m:r>
      </m:oMath>
      <w:r>
        <w:t xml:space="preserve"> </w:t>
      </w:r>
      <w:r>
        <w:t xml:space="preserve">approximating topological order.</w:t>
      </w:r>
    </w:p>
    <w:p>
      <w:pPr>
        <w:pStyle w:val="Compact"/>
        <w:numPr>
          <w:ilvl w:val="0"/>
          <w:numId w:val="1012"/>
        </w:numPr>
      </w:pPr>
      <w:r>
        <w:t xml:space="preserve">On insertion of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u</m:t>
            </m:r>
            <m:r>
              <m:rPr>
                <m:sty m:val="p"/>
              </m:rPr>
              <m:t>→</m:t>
            </m:r>
            <m:r>
              <m:t>v</m:t>
            </m:r>
          </m:e>
        </m:d>
      </m:oMath>
      <w:r>
        <w:t xml:space="preserve">, if</w:t>
      </w:r>
      <w:r>
        <w:t xml:space="preserve"> </w:t>
      </w:r>
      <m:oMath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rPr>
            <m:sty m:val="p"/>
          </m:rPr>
          <m:t>&lt;</m:t>
        </m:r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</m:e>
        </m:d>
      </m:oMath>
      <w:r>
        <w:t xml:space="preserve">, accept; else run a bounded DFS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limited to vertices with order</w:t>
      </w:r>
      <w:r>
        <w:t xml:space="preserve"> </w:t>
      </w:r>
      <m:oMath>
        <m:r>
          <m:rPr>
            <m:sty m:val="p"/>
          </m:rPr>
          <m:t>≤</m:t>
        </m:r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</m:oMath>
      <w:r>
        <w:t xml:space="preserve">.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reached, reject (cycle); otherwise, perform local</w:t>
      </w:r>
      <w:r>
        <w:t xml:space="preserve"> </w:t>
      </w:r>
      <w:r>
        <w:rPr>
          <w:i/>
          <w:iCs/>
        </w:rPr>
        <w:t xml:space="preserve">order lift</w:t>
      </w:r>
      <w:r>
        <w:t xml:space="preserve"> </w:t>
      </w:r>
      <w:r>
        <w:t xml:space="preserve">on visited set (shift-window technique).</w:t>
      </w:r>
    </w:p>
    <w:p>
      <w:pPr>
        <w:pStyle w:val="FirstParagraph"/>
      </w:pPr>
      <w:r>
        <w:rPr>
          <w:b/>
          <w:bCs/>
        </w:rPr>
        <w:t xml:space="preserve">Complexity</w:t>
      </w:r>
      <w:r>
        <w:t xml:space="preserve">: Amortized</w:t>
      </w:r>
      <w:r>
        <w:t xml:space="preserve"> </w:t>
      </w:r>
      <m:oMath>
        <m:acc>
          <m:accPr>
            <m:chr m:val="̃"/>
          </m:accPr>
          <m:e>
            <m:r>
              <m:t>O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per insertion on sparse graphs with arboricity</w:t>
      </w:r>
      <w:r>
        <w:t xml:space="preserve"> </w:t>
      </w:r>
      <m:oMath>
        <m:r>
          <m:t>α</m:t>
        </m:r>
      </m:oMath>
      <w:r>
        <w:t xml:space="preserve">; worst-case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Gap</w:t>
      </w:r>
      <w:r>
        <w:t xml:space="preserve">: If high-throughput ingestion is required with adversarial insertions, specify a dynamic DAG algorithm with provable bounds; otherwise the above pragmatic algorithm suffices and is simpler to attest.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ormal-structure-for-domain-hierarchy"/>
    <w:p>
      <w:pPr>
        <w:pStyle w:val="Heading2"/>
      </w:pPr>
      <w:r>
        <w:t xml:space="preserve">8. Formal Structure for Domain Hierarchy</w:t>
      </w:r>
    </w:p>
    <w:p>
      <w:pPr>
        <w:pStyle w:val="FirstParagraph"/>
      </w:pPr>
      <w:r>
        <w:t xml:space="preserve">We define a</w:t>
      </w:r>
      <w:r>
        <w:t xml:space="preserve"> </w:t>
      </w:r>
      <w:r>
        <w:rPr>
          <w:i/>
          <w:iCs/>
        </w:rPr>
        <w:t xml:space="preserve">security lattice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script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⊑</m:t>
            </m:r>
          </m:e>
        </m:d>
      </m:oMath>
      <w:r>
        <w:t xml:space="preserve"> </w:t>
      </w:r>
      <w:r>
        <w:t xml:space="preserve">for labels (e.g., {PUBLIC&lt;CONFIDENTIAL&lt;SECRET&lt;…}). Each domain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label</w:t>
      </w:r>
      <w:r>
        <w:t xml:space="preserve"> </w:t>
      </w:r>
      <m:oMath>
        <m:r>
          <m:rPr>
            <m:sty m:val="p"/>
          </m:rPr>
          <m:t>ℓ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∈</m:t>
        </m:r>
        <m:r>
          <m:rPr>
            <m:sty m:val="p"/>
            <m:scr m:val="script"/>
          </m:rPr>
          <m:t>L</m:t>
        </m:r>
      </m:oMath>
      <w:r>
        <w:t xml:space="preserve">. Policies must be label-monotone: if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  <m:r>
          <m:rPr>
            <m:sty m:val="p"/>
          </m:rPr>
          <m:t>≺</m:t>
        </m:r>
        <m:r>
          <m:t>d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ℓ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⊑</m:t>
        </m:r>
        <m:r>
          <m:rPr>
            <m:sty m:val="p"/>
          </m:rPr>
          <m:t>ℓ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⊇</m:t>
        </m:r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unless explicitly overridden via declassification guards with receipts.</w:t>
      </w:r>
    </w:p>
    <w:p>
      <w:pPr>
        <w:pStyle w:val="BodyText"/>
      </w:pPr>
      <w:r>
        <w:rPr>
          <w:b/>
          <w:bCs/>
        </w:rPr>
        <w:t xml:space="preserve">Cross-domain edges</w:t>
      </w:r>
      <w:r>
        <w:t xml:space="preserve"> </w:t>
      </w:r>
      <w:r>
        <w:t xml:space="preserve">must satisfy</w:t>
      </w:r>
      <w:r>
        <w:t xml:space="preserve"> </w:t>
      </w:r>
      <m:oMath>
        <m:r>
          <m:rPr>
            <m:sty m:val="p"/>
          </m:rPr>
          <m:t>ℓ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u</m:t>
                </m:r>
              </m:e>
            </m:d>
          </m:e>
        </m:d>
        <m:r>
          <m:rPr>
            <m:sty m:val="p"/>
          </m:rPr>
          <m:t>⊑</m:t>
        </m:r>
        <m:r>
          <m:rPr>
            <m:sty m:val="p"/>
          </m:rPr>
          <m:t>ℓ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</m:e>
            </m:d>
          </m:e>
        </m:d>
      </m:oMath>
      <w:r>
        <w:t xml:space="preserve"> </w:t>
      </w:r>
      <w:r>
        <w:t xml:space="preserve">or carry an explicit downgrade receipt referencing an authorized transform; this is encoded in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R</m:t>
            </m:r>
          </m:e>
          <m:sup>
            <m:r>
              <m:rPr>
                <m:sty m:val="p"/>
              </m:rPr>
              <m:t>↑</m:t>
            </m:r>
          </m:sup>
        </m:sSup>
      </m:oMath>
      <w:r>
        <w:t xml:space="preserve"> </w:t>
      </w:r>
      <w:r>
        <w:t xml:space="preserve">types and enforced in closure.</w:t>
      </w:r>
    </w:p>
    <w:p>
      <w:r>
        <w:pict>
          <v:rect style="width:0;height:1.5pt" o:hralign="center" o:hrstd="t" o:hr="t"/>
        </w:pict>
      </w:r>
    </w:p>
    <w:bookmarkEnd w:id="47"/>
    <w:bookmarkStart w:id="48" w:name="proof-strategies-complexity-bounds"/>
    <w:p>
      <w:pPr>
        <w:pStyle w:val="Heading2"/>
      </w:pPr>
      <w:r>
        <w:t xml:space="preserve">9. Proof Strategies &amp; Complexity Bounds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Membership/non-membership in RMT/SMT</w:t>
      </w:r>
      <w:r>
        <w:t xml:space="preserve">: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 </w:t>
      </w:r>
      <w:r>
        <w:t xml:space="preserve">hash operations; proof size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; with MBF overlay, add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t xml:space="preserve"> </w:t>
      </w:r>
      <w:r>
        <w:t xml:space="preserve">bits and constant number of hashes.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Non-reachability</w:t>
      </w:r>
      <w:r>
        <w:t xml:space="preserve">: Reduced to absence of path keys in the appropriate bucket + absence of required edges in per-party REC trees; verifier time</w:t>
      </w:r>
      <w:r>
        <w:t xml:space="preserve"> </w:t>
      </w:r>
      <m:oMath>
        <m:acc>
          <m:accPr>
            <m:chr m:val="̃"/>
          </m:accPr>
          <m:e>
            <m:r>
              <m:t>O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  <m:r>
              <m:rPr>
                <m:sty m:val="p"/>
              </m:rPr>
              <m:t>+</m:t>
            </m:r>
            <m:r>
              <m:t>k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Cross-epoch invariants</w:t>
      </w:r>
      <w:r>
        <w:t xml:space="preserve">: Quote</w:t>
      </w:r>
      <w:r>
        <w:t xml:space="preserve"> </w:t>
      </w:r>
      <m:oMath>
        <m:sSub>
          <m:e>
            <m:r>
              <m:rPr>
                <m:sty m:val="p"/>
                <m:scr m:val="sans-serif"/>
              </m:rPr>
              <m:t>H</m:t>
            </m:r>
            <m:r>
              <m:rPr>
                <m:sty m:val="p"/>
                <m:scr m:val="sans-serif"/>
              </m:rPr>
              <m:t>d</m:t>
            </m:r>
            <m:r>
              <m:rPr>
                <m:sty m:val="p"/>
                <m:scr m:val="sans-serif"/>
              </m:rP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  <m:scr m:val="sans-serif"/>
              </m:rPr>
              <m:t>H</m:t>
            </m:r>
            <m:r>
              <m:rPr>
                <m:sty m:val="p"/>
                <m:scr m:val="sans-serif"/>
              </m:rPr>
              <m:t>d</m:t>
            </m:r>
            <m:r>
              <m:rPr>
                <m:sty m:val="p"/>
                <m:scr m:val="sans-serif"/>
              </m:rPr>
              <m:t>r</m:t>
            </m:r>
          </m:e>
          <m:sub>
            <m:r>
              <m:t>e</m:t>
            </m:r>
            <m:r>
              <m:rPr>
                <m:sty m:val="p"/>
              </m:rPr>
              <m:t>′</m:t>
            </m:r>
          </m:sub>
        </m:sSub>
      </m:oMath>
      <w:r>
        <w:t xml:space="preserve"> </w:t>
      </w:r>
      <w:r>
        <w:t xml:space="preserve">and monotonicity receipts; cost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 </w:t>
      </w:r>
      <w:r>
        <w:t xml:space="preserve">per epoch referenced.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MPC-wrapped global proof</w:t>
      </w:r>
      <w:r>
        <w:t xml:space="preserve">: Circuit size</w:t>
      </w:r>
      <w:r>
        <w:t xml:space="preserve"> </w:t>
      </w:r>
      <m:oMath>
        <m:acc>
          <m:accPr>
            <m:chr m:val="̃"/>
          </m:accPr>
          <m:e>
            <m:r>
              <m:t>O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</m:oMath>
      <w:r>
        <w:t xml:space="preserve">; if wrapped in a SNARK, verifier time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O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m</m:t>
            </m:r>
          </m:e>
        </m:d>
      </m:oMath>
      <w:r>
        <w:t xml:space="preserve"> </w:t>
      </w:r>
      <w:r>
        <w:t xml:space="preserve">depending on scheme.</w:t>
      </w:r>
    </w:p>
    <w:p>
      <w:pPr>
        <w:pStyle w:val="FirstParagraph"/>
      </w:pPr>
      <w:r>
        <w:t xml:space="preserve">Soundness errors: MBF false-positive</w:t>
      </w:r>
      <w:r>
        <w:t xml:space="preserve"> </w:t>
      </w:r>
      <m:oMath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</m:sup>
        </m:sSup>
      </m:oMath>
      <w:r>
        <w:t xml:space="preserve">; SNARK knowledge error negligible in</w:t>
      </w:r>
      <w:r>
        <w:t xml:space="preserve"> </w:t>
      </w:r>
      <m:oMath>
        <m:r>
          <m:t>λ</m:t>
        </m:r>
      </m:oMath>
      <w:r>
        <w:t xml:space="preserve">; hash collisions negligible in</w:t>
      </w:r>
      <w:r>
        <w:t xml:space="preserve"> </w:t>
      </w:r>
      <m:oMath>
        <m:r>
          <m:t>κ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51" w:name="operational-interfaces-mathematical-api"/>
    <w:p>
      <w:pPr>
        <w:pStyle w:val="Heading2"/>
      </w:pPr>
      <w:r>
        <w:t xml:space="preserve">10. Operational Interfaces (Mathematical API)</w:t>
      </w:r>
    </w:p>
    <w:bookmarkStart w:id="49" w:name="canonical-operations"/>
    <w:p>
      <w:pPr>
        <w:pStyle w:val="Heading3"/>
      </w:pPr>
      <w:r>
        <w:t xml:space="preserve">10.1 Canonical Operations</w:t>
      </w:r>
    </w:p>
    <w:p>
      <w:pPr>
        <w:pStyle w:val="Compact"/>
        <w:numPr>
          <w:ilvl w:val="0"/>
          <w:numId w:val="1014"/>
        </w:numPr>
      </w:pPr>
      <m:oMath>
        <m:r>
          <m:rPr>
            <m:nor/>
            <m:sty m:val="p"/>
            <m:scr m:val="sans-serif"/>
          </m:rPr>
          <m:t>InsertVertex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τ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t xml:space="preserve"> </w:t>
      </w:r>
      <w:r>
        <w:t xml:space="preserve">→ updates REC; emits receipt.</w:t>
      </w:r>
    </w:p>
    <w:p>
      <w:pPr>
        <w:pStyle w:val="Compact"/>
        <w:numPr>
          <w:ilvl w:val="0"/>
          <w:numId w:val="1014"/>
        </w:numPr>
      </w:pPr>
      <m:oMath>
        <m:r>
          <m:rPr>
            <m:nor/>
            <m:sty m:val="p"/>
            <m:scr m:val="sans-serif"/>
          </m:rPr>
          <m:t>InsertEdge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  <m:limUpp>
              <m:e>
                <m:r>
                  <m:rPr>
                    <m:sty m:val="p"/>
                  </m:rPr>
                  <m:t>→</m:t>
                </m:r>
              </m:e>
              <m:lim>
                <m:r>
                  <m:t>r</m:t>
                </m:r>
              </m:lim>
            </m:limUpp>
            <m:r>
              <m:t>v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t xml:space="preserve"> </w:t>
      </w:r>
      <w:r>
        <w:t xml:space="preserve">→ cycle check; updates REC; updates RMT path keys for all realized policy-allowable paths affected up to horizon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(typically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incremental, larger with periodic recompute); emits receipt.</w:t>
      </w:r>
    </w:p>
    <w:p>
      <w:pPr>
        <w:pStyle w:val="Compact"/>
        <w:numPr>
          <w:ilvl w:val="0"/>
          <w:numId w:val="1014"/>
        </w:numPr>
      </w:pPr>
      <m:oMath>
        <m:r>
          <m:rPr>
            <m:nor/>
            <m:sty m:val="p"/>
            <m:scr m:val="sans-serif"/>
          </m:rPr>
          <m:t>Destroy</m:t>
        </m:r>
        <m:d>
          <m:dPr>
            <m:begChr m:val="("/>
            <m:sepChr m:val=""/>
            <m:endChr m:val=")"/>
            <m:grow/>
          </m:dPr>
          <m:e>
            <m:r>
              <m:t>o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t xml:space="preserve"> </w:t>
      </w:r>
      <w:r>
        <w:t xml:space="preserve">→ marks destroyed; removes propagating edges in next epoch; emits destruction receipt.</w:t>
      </w:r>
    </w:p>
    <w:p>
      <w:pPr>
        <w:pStyle w:val="Compact"/>
        <w:numPr>
          <w:ilvl w:val="0"/>
          <w:numId w:val="1014"/>
        </w:numPr>
      </w:pPr>
      <m:oMath>
        <m:r>
          <m:rPr>
            <m:nor/>
            <m:sty m:val="p"/>
            <m:scr m:val="sans-serif"/>
          </m:rPr>
          <m:t>ProveNonReach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t xml:space="preserve"> </w:t>
      </w:r>
      <w:r>
        <w:t xml:space="preserve">→ returns aggregated proof object.</w:t>
      </w:r>
    </w:p>
    <w:p>
      <w:pPr>
        <w:pStyle w:val="Compact"/>
        <w:numPr>
          <w:ilvl w:val="0"/>
          <w:numId w:val="1014"/>
        </w:numPr>
      </w:pPr>
      <m:oMath>
        <m:r>
          <m:rPr>
            <m:nor/>
            <m:sty m:val="p"/>
            <m:scr m:val="sans-serif"/>
          </m:rPr>
          <m:t>Verify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</m:d>
      </m:oMath>
      <w:r>
        <w:t xml:space="preserve"> </w:t>
      </w:r>
      <w:r>
        <w:t xml:space="preserve">→ deterministic predicate.</w:t>
      </w:r>
    </w:p>
    <w:bookmarkEnd w:id="49"/>
    <w:bookmarkStart w:id="50" w:name="serialization-hash-domain-separation"/>
    <w:p>
      <w:pPr>
        <w:pStyle w:val="Heading3"/>
      </w:pPr>
      <w:r>
        <w:t xml:space="preserve">10.2 Serialization &amp; Hash Domain Separation</w:t>
      </w:r>
    </w:p>
    <w:p>
      <w:pPr>
        <w:pStyle w:val="FirstParagraph"/>
      </w:pPr>
      <w:r>
        <w:t xml:space="preserve">Prefix-free tags ensure collision domain separation:</w:t>
      </w:r>
      <w:r>
        <w:t xml:space="preserve"> </w:t>
      </w:r>
      <w:r>
        <w:t xml:space="preserve">$H(\mathtt{"RMT"}\,\|\,\cdot)$</w:t>
      </w:r>
      <w:r>
        <w:t xml:space="preserve">,</w:t>
      </w:r>
      <w:r>
        <w:t xml:space="preserve"> </w:t>
      </w:r>
      <w:r>
        <w:t xml:space="preserve">$H(\mathtt{"REC"}\,\|\,\cdot)$</w:t>
      </w:r>
      <w:r>
        <w:t xml:space="preserve">, etc. Receipts sign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Ed25519 or BLS depending on SNARK aggregation strategy.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gaps-open-choices-and-assumptions"/>
    <w:p>
      <w:pPr>
        <w:pStyle w:val="Heading2"/>
      </w:pPr>
      <w:r>
        <w:t xml:space="preserve">11. Gaps, Open Choices, and Assumptions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Selector schema</w:t>
      </w:r>
      <w:r>
        <w:t xml:space="preserve"> </w:t>
      </w:r>
      <w:r>
        <w:t xml:space="preserve">for relational queries not fully specified → we defined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bucketing; confirm with product semantics.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Adversarial model</w:t>
      </w:r>
      <w:r>
        <w:t xml:space="preserve"> </w:t>
      </w:r>
      <w:r>
        <w:t xml:space="preserve">for MPC (semi-honest vs. malicious); we propose semi-honest baseline with SNARK lift.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Cycle detection</w:t>
      </w:r>
      <w:r>
        <w:t xml:space="preserve"> </w:t>
      </w:r>
      <w:r>
        <w:t xml:space="preserve">throughput targets absent; we propose amortized sparse-graph method; upgrade path to dynamic DAG.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Epoch semantics</w:t>
      </w:r>
      <w:r>
        <w:t xml:space="preserve"> </w:t>
      </w:r>
      <w:r>
        <w:t xml:space="preserve">for edge carry-over and destruction propagation need explicit formalization; we assumed monotone collapse forward with receipts.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Trusted setup</w:t>
      </w:r>
      <w:r>
        <w:t xml:space="preserve"> </w:t>
      </w:r>
      <w:r>
        <w:t xml:space="preserve">stance not stated; choose KZG (small proofs) or IPA (setup-free) accordingly.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Domain lattice</w:t>
      </w:r>
      <w:r>
        <w:t xml:space="preserve"> </w:t>
      </w:r>
      <w:r>
        <w:t xml:space="preserve">levels and declassification guards must be enumerated; we provided lattice framework.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Receipt header composition</w:t>
      </w:r>
      <w:r>
        <w:t xml:space="preserve"> </w:t>
      </w:r>
      <w:r>
        <w:t xml:space="preserve">(which roots included) should be frozen; we proposed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RMT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REC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RCT</m:t>
            </m:r>
          </m:e>
        </m:d>
      </m:oMath>
      <w:r>
        <w:t xml:space="preserve"> </w:t>
      </w:r>
      <w:r>
        <w:t xml:space="preserve">triple.</w:t>
      </w:r>
    </w:p>
    <w:p>
      <w:r>
        <w:pict>
          <v:rect style="width:0;height:1.5pt" o:hralign="center" o:hrstd="t" o:hr="t"/>
        </w:pict>
      </w:r>
    </w:p>
    <w:bookmarkEnd w:id="52"/>
    <w:bookmarkStart w:id="57" w:name="appendices"/>
    <w:p>
      <w:pPr>
        <w:pStyle w:val="Heading2"/>
      </w:pPr>
      <w:r>
        <w:t xml:space="preserve">12. Appendices</w:t>
      </w:r>
    </w:p>
    <w:bookmarkStart w:id="53" w:name="a.-typed-encodings"/>
    <w:p>
      <w:pPr>
        <w:pStyle w:val="Heading3"/>
      </w:pPr>
      <w:r>
        <w:t xml:space="preserve">A. Typed Encodings</w:t>
      </w:r>
    </w:p>
    <w:p>
      <w:pPr>
        <w:pStyle w:val="Compact"/>
        <w:numPr>
          <w:ilvl w:val="0"/>
          <w:numId w:val="1016"/>
        </w:numPr>
      </w:pPr>
      <w:r>
        <w:t xml:space="preserve">Vertex encoding:</w:t>
      </w:r>
      <w:r>
        <w:t xml:space="preserve"> </w:t>
      </w:r>
      <m:oMath>
        <m:sSub>
          <m:e>
            <m:r>
              <m:rPr>
                <m:sty m:val="p"/>
                <m:scr m:val="sans-serif"/>
              </m:rPr>
              <m:t>e</m:t>
            </m:r>
            <m:r>
              <m:rPr>
                <m:sty m:val="p"/>
                <m:scr m:val="sans-serif"/>
              </m:rPr>
              <m:t>n</m:t>
            </m:r>
            <m:r>
              <m:rPr>
                <m:sty m:val="p"/>
                <m:scr m:val="sans-serif"/>
              </m:rPr>
              <m:t>c</m:t>
            </m:r>
          </m:e>
          <m:sub>
            <m:r>
              <m:t>V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v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H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⟨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q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</m:e>
            </m:d>
            <m:r>
              <m:rPr>
                <m:sty m:val="p"/>
              </m:rPr>
              <m:t>,</m:t>
            </m:r>
            <m:r>
              <m:t>τ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</m:e>
            </m:d>
            <m:r>
              <m:rPr>
                <m:sty m:val="p"/>
              </m:rPr>
              <m:t>,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</m:e>
            </m:d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sSub>
              <m:e>
                <m:r>
                  <m:t>m</m:t>
                </m:r>
              </m:e>
              <m:sub>
                <m:r>
                  <m:t>V</m:t>
                </m:r>
              </m:sub>
            </m:sSub>
            <m:r>
              <m:rPr>
                <m:sty m:val="p"/>
              </m:rPr>
              <m:t>⟩</m:t>
            </m:r>
          </m:e>
        </m:d>
      </m:oMath>
    </w:p>
    <w:p>
      <w:pPr>
        <w:pStyle w:val="Compact"/>
        <w:numPr>
          <w:ilvl w:val="0"/>
          <w:numId w:val="1016"/>
        </w:numPr>
      </w:pPr>
      <w:r>
        <w:t xml:space="preserve">Edge encoding:</w:t>
      </w:r>
      <w:r>
        <w:t xml:space="preserve"> </w:t>
      </w:r>
      <m:oMath>
        <m:sSub>
          <m:e>
            <m:r>
              <m:rPr>
                <m:sty m:val="p"/>
                <m:scr m:val="sans-serif"/>
              </m:rPr>
              <m:t>e</m:t>
            </m:r>
            <m:r>
              <m:rPr>
                <m:sty m:val="p"/>
                <m:scr m:val="sans-serif"/>
              </m:rPr>
              <m:t>n</m:t>
            </m:r>
            <m:r>
              <m:rPr>
                <m:sty m:val="p"/>
                <m:scr m:val="sans-serif"/>
              </m:rPr>
              <m:t>c</m:t>
            </m:r>
          </m:e>
          <m:sub>
            <m:r>
              <m:t>E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u</m:t>
            </m:r>
            <m:limUpp>
              <m:e>
                <m:r>
                  <m:rPr>
                    <m:sty m:val="p"/>
                  </m:rPr>
                  <m:t>→</m:t>
                </m:r>
              </m:e>
              <m:lim>
                <m:r>
                  <m:t>r</m:t>
                </m:r>
              </m:lim>
            </m:limUpp>
            <m:r>
              <m:t>v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H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⟨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q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u</m:t>
                </m:r>
              </m:e>
            </m:d>
            <m:r>
              <m:rPr>
                <m:sty m:val="p"/>
              </m:rPr>
              <m:t>,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q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</m:e>
            </m:d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sSub>
              <m:e>
                <m:r>
                  <m:t>m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⟩</m:t>
            </m:r>
          </m:e>
        </m:d>
      </m:oMath>
    </w:p>
    <w:bookmarkEnd w:id="53"/>
    <w:bookmarkStart w:id="54" w:name="b.-mbf-construction"/>
    <w:p>
      <w:pPr>
        <w:pStyle w:val="Heading3"/>
      </w:pPr>
      <w:r>
        <w:t xml:space="preserve">B. MBF Construction</w:t>
      </w:r>
    </w:p>
    <w:p>
      <w:pPr>
        <w:pStyle w:val="Compact"/>
        <w:numPr>
          <w:ilvl w:val="0"/>
          <w:numId w:val="1017"/>
        </w:numPr>
      </w:pPr>
      <w:r>
        <w:t xml:space="preserve">Use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hash 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domain-separated from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Bloom vector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M</m:t>
            </m:r>
          </m:sup>
        </m:sSup>
      </m:oMath>
      <w:r>
        <w:t xml:space="preserve">; commit via Merkle or vector commitment; FPR</w:t>
      </w:r>
      <w:r>
        <w:t xml:space="preserve"> </w:t>
      </w:r>
      <m:oMath>
        <m:r>
          <m:rPr>
            <m:sty m:val="p"/>
          </m:rPr>
          <m:t>≈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  <m:r>
                      <m:t>n</m:t>
                    </m:r>
                    <m:r>
                      <m:rPr>
                        <m:sty m:val="p"/>
                      </m:rPr>
                      <m:t>/</m:t>
                    </m:r>
                    <m:r>
                      <m:t>M</m:t>
                    </m:r>
                  </m:sup>
                </m:sSup>
              </m:e>
            </m:d>
          </m:e>
          <m:sup>
            <m:r>
              <m:t>k</m:t>
            </m:r>
          </m:sup>
        </m:sSup>
      </m:oMath>
      <w:r>
        <w:t xml:space="preserve">.</w:t>
      </w:r>
    </w:p>
    <w:bookmarkEnd w:id="54"/>
    <w:bookmarkStart w:id="55" w:name="c.-arithmetic-constraints-sketch"/>
    <w:p>
      <w:pPr>
        <w:pStyle w:val="Heading3"/>
      </w:pPr>
      <w:r>
        <w:t xml:space="preserve">C. Arithmetic Constraints (Sketch)</w:t>
      </w:r>
    </w:p>
    <w:p>
      <w:pPr>
        <w:pStyle w:val="Compact"/>
        <w:numPr>
          <w:ilvl w:val="0"/>
          <w:numId w:val="1018"/>
        </w:numPr>
      </w:pPr>
      <w:r>
        <w:t xml:space="preserve">For each layer</w:t>
      </w:r>
      <w:r>
        <w:t xml:space="preserve"> </w:t>
      </w:r>
      <m:oMath>
        <m:r>
          <m:t>L</m:t>
        </m:r>
      </m:oMath>
      <w:r>
        <w:t xml:space="preserve">,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; constraints ensure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src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sink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must be 0 for non-reach; encode contradictions for any realized edge proving reach.</w:t>
      </w:r>
    </w:p>
    <w:bookmarkEnd w:id="55"/>
    <w:bookmarkStart w:id="56" w:name="d.-batch-multiproof-layout"/>
    <w:p>
      <w:pPr>
        <w:pStyle w:val="Heading3"/>
      </w:pPr>
      <w:r>
        <w:t xml:space="preserve">D. Batch Multiproof Layout</w:t>
      </w:r>
    </w:p>
    <w:p>
      <w:pPr>
        <w:pStyle w:val="Compact"/>
        <w:numPr>
          <w:ilvl w:val="0"/>
          <w:numId w:val="1019"/>
        </w:numPr>
      </w:pPr>
      <w:r>
        <w:t xml:space="preserve">Node frontier canonicalization; sibling ordering; transcript binding via FS with</w:t>
      </w:r>
      <w:r>
        <w:t xml:space="preserve"> </w:t>
      </w:r>
      <m:oMath>
        <m:sSub>
          <m:e>
            <m:r>
              <m:rPr>
                <m:sty m:val="p"/>
                <m:scr m:val="sans-serif"/>
              </m:rPr>
              <m:t>H</m:t>
            </m:r>
            <m:r>
              <m:rPr>
                <m:sty m:val="p"/>
                <m:scr m:val="sans-serif"/>
              </m:rPr>
              <m:t>d</m:t>
            </m:r>
            <m:r>
              <m:rPr>
                <m:sty m:val="p"/>
                <m:scr m:val="sans-serif"/>
              </m:rPr>
              <m:t>r</m:t>
            </m:r>
          </m:e>
          <m:sub>
            <m:r>
              <m:t>e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references-conceptual"/>
    <w:p>
      <w:pPr>
        <w:pStyle w:val="Heading2"/>
      </w:pPr>
      <w:r>
        <w:t xml:space="preserve">13. References (conceptual)</w:t>
      </w:r>
    </w:p>
    <w:p>
      <w:pPr>
        <w:pStyle w:val="Compact"/>
        <w:numPr>
          <w:ilvl w:val="0"/>
          <w:numId w:val="1020"/>
        </w:numPr>
      </w:pPr>
      <w:r>
        <w:t xml:space="preserve">Sparse Merkle Trees; Vector Commitments (KZG, IPA); Dynamic DAG maintenance; Sum-check/GKR; SPDZ.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Draft.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2025-09-23T14:57:56Z</dcterms:created>
  <dcterms:modified xsi:type="dcterms:W3CDTF">2025-09-23T14:57:56Z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