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Style w:val="Strong"/>
        </w:rPr>
        <w:t xml:space="preserve">CSTP </w:t>
      </w:r>
      <w:r>
        <w:rPr>
          <w:rStyle w:val="Strong"/>
        </w:rPr>
        <w:t>– CORE</w:t>
      </w:r>
    </w:p>
    <w:p>
      <w:pPr>
        <w:pStyle w:val="Normal"/>
        <w:bidi w:val="0"/>
        <w:jc w:val="start"/>
        <w:rPr>
          <w:rStyle w:val="Strong"/>
          <w:smallCaps/>
        </w:rPr>
      </w:pPr>
      <w:r>
        <w:rPr/>
      </w:r>
    </w:p>
    <w:p>
      <w:pPr>
        <w:pStyle w:val="Normal"/>
        <w:bidi w:val="0"/>
        <w:jc w:val="start"/>
        <w:rPr/>
      </w:pPr>
      <w:r>
        <w:rPr>
          <w:rStyle w:val="Strong"/>
          <w:smallCaps/>
        </w:rPr>
        <w:t>Abstract</w:t>
      </w:r>
    </w:p>
    <w:p>
      <w:pPr>
        <w:pStyle w:val="Normal"/>
        <w:bidi w:val="0"/>
        <w:spacing w:lineRule="auto" w:line="360"/>
        <w:jc w:val="start"/>
        <w:rPr/>
      </w:pPr>
      <w:r>
        <w:rPr/>
        <w:br/>
        <w:t>The invention provides systems, methods, and media for producing</w:t>
      </w:r>
      <w:r>
        <w:rPr>
          <w:b w:val="false"/>
          <w:bCs w:val="false"/>
        </w:rPr>
        <w:t xml:space="preserve"> </w:t>
      </w:r>
      <w:r>
        <w:rPr>
          <w:rStyle w:val="Strong"/>
          <w:b w:val="false"/>
          <w:bCs w:val="false"/>
        </w:rPr>
        <w:t>cryptographic state transition proofs</w:t>
      </w:r>
      <w:r>
        <w:rPr>
          <w:b w:val="false"/>
          <w:bCs w:val="false"/>
        </w:rPr>
        <w:t xml:space="preserve"> of digital assets. A forward-secure key generator derives epoc</w:t>
      </w:r>
      <w:r>
        <w:rPr/>
        <w:t xml:space="preserve">h root keys that evolve unidirectionally through cryptographic one-way functions, preventing recovery of prior keys. Per-asset object wrap keys are derived from epoch root keys and bound to expiry epochs. State transitions are committed as salted cryptographic digests and inserted into Merkle accumulators, with Merkle roots chained into externally anchored transparency logs. Upon expiry, object wrap keys or epoch root keys are irreversibly deleted, rendering associated assets unrecoverable. Receipts containing commitments, Merkle proofs, and cumulative root chains provide audit-verifiable evidence of state transitions without exposing asset contents. Dependent embodiments cover null digest destruction receipts, multi-anchor publication, jurisdictional dual-track proofs, safety-critical threshold authorizations, and quantum-safe migration events. The approach establishes provable, tamper-evident deletion guarantees implementable on current classical infrastructure, meeting immediate regulatory and commercial requirements. </w:t>
      </w:r>
    </w:p>
    <w:p>
      <w:pPr>
        <w:pStyle w:val="Normal"/>
        <w:bidi w:val="0"/>
        <w:spacing w:lineRule="auto" w:line="360"/>
        <w:jc w:val="start"/>
        <w:rPr/>
      </w:pPr>
      <w:r>
        <w:rPr/>
      </w:r>
    </w:p>
    <w:sectPr>
      <w:footerReference w:type="default" r:id="rId2"/>
      <w:type w:val="nextPage"/>
      <w:pgSz w:w="12240" w:h="15840"/>
      <w:pgMar w:left="1440"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1</w:t>
    </w:r>
    <w:r>
      <w:rPr/>
      <w:fldChar w:fldCharType="end"/>
    </w:r>
    <w:bookmarkEnd w:id="0"/>
  </w:p>
</w:ftr>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SimSun" w:cs="Arial Unicode M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Times New Roman" w:hAnsi="Times New Roman"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Unicode MS"/>
    </w:rPr>
  </w:style>
  <w:style w:type="paragraph" w:styleId="Caption">
    <w:name w:val="caption"/>
    <w:basedOn w:val="Normal"/>
    <w:qFormat/>
    <w:pPr>
      <w:suppressLineNumbers/>
      <w:spacing w:before="120" w:after="120"/>
    </w:pPr>
    <w:rPr>
      <w:rFonts w:ascii="Times New Roman" w:hAnsi="Times New Roman" w:cs="Arial Unicode MS"/>
      <w:i/>
      <w:iCs/>
      <w:sz w:val="24"/>
      <w:szCs w:val="24"/>
    </w:rPr>
  </w:style>
  <w:style w:type="paragraph" w:styleId="Index">
    <w:name w:val="Index"/>
    <w:basedOn w:val="Normal"/>
    <w:qFormat/>
    <w:pPr>
      <w:suppressLineNumbers/>
    </w:pPr>
    <w:rPr>
      <w:rFonts w:ascii="Times New Roman" w:hAnsi="Times New Roman" w:cs="Arial Unicode MS"/>
    </w:rPr>
  </w:style>
  <w:style w:type="paragraph" w:styleId="HeaderandFooter">
    <w:name w:val="Header and Footer"/>
    <w:basedOn w:val="Normal"/>
    <w:qFormat/>
    <w:pPr>
      <w:suppressLineNumbers/>
      <w:tabs>
        <w:tab w:val="clear" w:pos="709"/>
        <w:tab w:val="center" w:pos="4833" w:leader="none"/>
        <w:tab w:val="right" w:pos="966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LibreOffice/25.8.1.1$Windows_X86_64 LibreOffice_project/54047653041915e595ad4e45cccea684809c77b5</Application>
  <AppVersion>15.0000</AppVersion>
  <Pages>1</Pages>
  <Words>149</Words>
  <Characters>1075</Characters>
  <CharactersWithSpaces>1223</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2025-09-19T17:45:26Z</dcterms:created>
  <dc:creator/>
  <dc:description/>
  <dc:language>en-US</dc:language>
  <cp:lastModifiedBy/>
  <dcterms:modified xsi:type="dcterms:W3CDTF">2025-09-21T17:46:48Z</dcterms:modified>
  <cp:revision>4</cp:revision>
  <dc:subject/>
  <dc:title/>
</cp:coreProperties>
</file>