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</w:t>
      </w:r>
      <w:r>
        <w:rPr>
          <w:rStyle w:val="Strong"/>
        </w:rPr>
        <w:t>STP</w:t>
      </w:r>
      <w:r>
        <w:rPr>
          <w:rStyle w:val="Strong"/>
        </w:rPr>
        <w:t xml:space="preserve"> – </w:t>
      </w:r>
      <w:r>
        <w:rPr>
          <w:rStyle w:val="Strong"/>
        </w:rPr>
        <w:t>CORE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mallCaps/>
        </w:rPr>
        <w:t>Claims</w:t>
      </w:r>
      <w:r>
        <w:rPr>
          <w:rStyle w:val="Strong"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1. </w:t>
      </w:r>
      <w:r>
        <w:rPr/>
        <w:t>A system for cryptographically proving state transitions of digital assets, comprising: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forward-secure key generator configured to derive an epoch root key for each of a plurality of time epochs by applying a cryptographic one-way function to a prior epoch root key, wherein the forward-secure key generator enforces unidirectional progression such that prior epoch root keys cannot be reconstructed even with knowledge of current epoch root keys;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key derivation component configured to derive an object wrap key, defined herein as a per-asset key derived from the epoch root key and used to encrypt an asset encryption key associated with the digital asset;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commitment component configured to compute a cryptographic commitment for a state transition of the digital asset, the commitment comprising at least a salted identifier, the expiry epoch, and a transition type;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Merkle accumulator configured to insert the commitment into a Merkle tree corresponding to the expiry epoch and to compute a Merkle root;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logging component configured to chain the Merkle root into a cumulative root chain anchored to an external transparency service; and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destruction component configured, upon occurrence of the expiry epoch, to irreversibly delete the object wrap key or the epoch root key, thereby enforcing the state transition;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wherein the system produces a receipt including the commitment, a Merkle path to the commitment, the Merkle root, and the cumulative root chain, the receipt providing immutable, audit-verifiable evidence of the state transition without disclosure of the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</w:t>
      </w:r>
      <w:r>
        <w:rPr/>
        <w:t xml:space="preserve"> The system of claim 1, wherein the commitment is constructed as:</w:t>
        <w:br/>
        <w:t>C = H(asset_id ∥ salt ∥ epoch ∥ transition_type).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3.</w:t>
      </w:r>
      <w:r>
        <w:rPr/>
        <w:t xml:space="preserve"> The system of claim 1, wherein the transition type specifies a change from valid to destroyed, retained to erased, or quantum-vulnerable to quantum-safe.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4.</w:t>
      </w:r>
      <w:r>
        <w:rPr/>
        <w:t xml:space="preserve"> The system of claim 1, wherein the destruction component requires an M-of-N threshold of digital signatures from independent hardware modules.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5.</w:t>
      </w:r>
      <w:r>
        <w:rPr/>
        <w:t xml:space="preserve"> The system of claim 1, wherein the destruction component executes within a trusted execution environment that produces a remote attestation included in the receipt.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6.</w:t>
      </w:r>
      <w:r>
        <w:rPr/>
        <w:t xml:space="preserve"> The system of claim 1, wherein the receipt further comprises a state-before digest representing the digital asset in a valid state and a state-after digest comprising a null digest indicating destruction.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7.</w:t>
      </w:r>
      <w:r>
        <w:rPr/>
        <w:t xml:space="preserve"> The system of claim 1, wherein the commitments are organized into a hierarchical calendar-based Merkle tree permitting batch erasure of all assets in a given interval.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8.</w:t>
      </w:r>
      <w:r>
        <w:rPr/>
        <w:t xml:space="preserve"> The system of claim 1, wherein the cumulative root chain is anchored to multiple independent transparency services, rendering inconsistent publication infeasible without detection.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9.</w:t>
      </w:r>
      <w:r>
        <w:rPr/>
        <w:t xml:space="preserve"> The system of claim 1, wherein the Merkle accumulator comprises parallel accumulation tracks anchored to geographically distinct transparency services, enabling simultaneous proof of retention in a first jurisdiction and proof of destruction in a second jurisdiction without disclosure of the underlying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10.</w:t>
      </w:r>
      <w:r>
        <w:rPr/>
        <w:t xml:space="preserve"> The system of claim 1, wherein the receipt is co-signed by an independent witness service to deter unilateral forgery.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11.</w:t>
      </w:r>
      <w:r>
        <w:rPr/>
        <w:t xml:space="preserve"> The system of claim 1, wherein the system enforces a time-delay mechanism such that destruction cannot be reversed within an embargo period following receipt issuance.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12.</w:t>
      </w:r>
      <w:r>
        <w:rPr/>
        <w:t xml:space="preserve"> The system of claim 1, wherein the Merkle accumulator is configured to prove non-existence of digital assets by accumulating destruction commitments, rather than proving existence of assets, such that the absence of a valid state is auditable through the presence of a destruction receipt.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13.</w:t>
      </w:r>
      <w:r>
        <w:rPr/>
        <w:t xml:space="preserve"> The system of claim 1, wherein destruction of an epoch root key renders all object wrap keys derived from it unrecoverable, thereby preventing recovery of associated asset encryption keys.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14.</w:t>
      </w:r>
      <w:r>
        <w:rPr/>
        <w:t xml:space="preserve"> The system of claim 1, wherein issuance of a destruction receipt prevents subsequent generation of a receipt representing the digital asset in a valid state.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15.</w:t>
      </w:r>
      <w:r>
        <w:rPr/>
        <w:t xml:space="preserve"> The system of claim 1, wherein the destruction component is configured for safety-critical systems and requires threshold co-signatures from independent hardware modules to authorize a state transition.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16. </w:t>
      </w:r>
      <w:r>
        <w:rPr/>
        <w:t>A computer-implemented method for producing cryptographic state transition proofs, the method comprising: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generating an initial epoch root key and deriving subsequent epoch root keys from prior epoch root keys by applying a cryptographic one-way function, wherein the derivation enforces unidirectional progression such that prior epoch root keys cannot be reconstructed even with knowledge of later epoch root keys;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associating a digital asset with an expiry epoch corresponding to a persistence window;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deriving an object wrap key for the digital asset from the epoch root key;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computing a cryptographic commitment including a salted identifier, the expiry epoch, and a transition type;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inserting the commitment into a Merkle tree and computing a Merkle root;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chaining the Merkle root into a cumulative root chain and anchoring the root chain to an external transparency service;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upon occurrence of the expiry epoch, irreversibly deleting the object wrap key or the epoch root key, thereby enforcing the state transition; and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generating a receipt including the commitment, Merkle path, Merkle root, and cumulative root chain,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wherein the receipt cryptographically proves the digital asset transitioned from a first state to a second state in a manner independently verifiable by third parties.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17.</w:t>
      </w:r>
      <w:r>
        <w:rPr/>
        <w:t xml:space="preserve"> The method of claim 16, further comprising including in the receipt a state-before digest representing the digital asset in a valid state and a state-after digest comprising a null digest indicating destruction.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18.</w:t>
      </w:r>
      <w:r>
        <w:rPr/>
        <w:t xml:space="preserve"> The method of claim 16, further comprising chaining receipts such that a later receipt references an earlier receipt to establish a composable lifecycle of transitions.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19.</w:t>
      </w:r>
      <w:r>
        <w:rPr/>
        <w:t xml:space="preserve"> The method of claim 16, further comprising including a cryptographic hash of a legal or regulatory basis in the commitment.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20.</w:t>
      </w:r>
      <w:r>
        <w:rPr/>
        <w:t xml:space="preserve"> The method of claim 16, further comprising requiring an M-of-N threshold of signatures before destruction is effected.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21.</w:t>
      </w:r>
      <w:r>
        <w:rPr/>
        <w:t xml:space="preserve"> The method of claim 16, wherein the transition type denotes migration of a digital asset from a cryptographic scheme vulnerable to quantum attacks to a cryptographic scheme resistant to quantum attacks, and wherein the receipt provides audit-verifiable evidence that the migration occurred at a defined epoch.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22.</w:t>
      </w:r>
      <w:r>
        <w:rPr/>
        <w:t xml:space="preserve"> The method of claim 16, further comprising maintaining parallel accumulation tracks anchored to geographically distinct transparency services, enabling simultaneous proof of retention in a first jurisdiction and proof of destruction in a second jurisdiction without disclosure of the underlying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23. </w:t>
      </w:r>
      <w:r>
        <w:rPr/>
        <w:t>A non-transitory computer-readable medium storing instructions that, when executed by one or more processors, cause the processors to perform a method comprising: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generating and evolving epoch root keys in a forward-secure manner by applying a cryptographic one-way function, wherein the evolution enforces unidirectional progression such that prior epoch root keys cannot be reconstructed even with knowledge of current epoch root keys;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associating digital assets with expiry epochs;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deriving object wrap keys for the digital assets from the epoch root keys;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computing cryptographic commitments including a salted identifier, expiry epoch, and transition type;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inserting commitments into Merkle trees and computing Merkle roots;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chaining the Merkle roots into a cumulative root chain anchored to an external notary or transparency service;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enforcing state transitions by deleting object wrap keys or epoch root keys upon expiry; and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generating receipts comprising commitments, Merkle paths, Merkle roots, and the cumulative root chain,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wherein the receipts provide immutable, audit-verifiable evidence of state transitions.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24.</w:t>
      </w:r>
      <w:r>
        <w:rPr/>
        <w:t xml:space="preserve"> The non-transitory computer-readable medium of claim 23, wherein the instructions further cause the processors to include in the receipt a state-before digest representing the digital asset in a valid state and a state-after digest comprising a null digest indicating destruction.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25.</w:t>
      </w:r>
      <w:r>
        <w:rPr/>
        <w:t xml:space="preserve"> The non-transitory computer-readable medium of claim 23, wherein the instructions further cause the processors to chain receipts across multiple state transitions including creation, validity, expiry, and destruction of a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26.</w:t>
      </w:r>
      <w:r>
        <w:rPr/>
        <w:t xml:space="preserve"> The non-transitory computer-readable medium of claim 23, wherein the instructions further cause the processors to anchor the cumulative root chain to two or more independent transparency services.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27.</w:t>
      </w:r>
      <w:r>
        <w:rPr/>
        <w:t xml:space="preserve"> The non-transitory computer-readable medium of claim 23, wherein the instructions further cause the processors to enforce a time-delay mechanism before finalizing a destruction event.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28.</w:t>
      </w:r>
      <w:r>
        <w:rPr/>
        <w:t xml:space="preserve"> The non-transitory computer-readable medium of claim 23, wherein the instructions further cause the processors to implement a Merkle accumulator that proves non-existence of digital assets by accumulation of destruction commitments, such that verifiers establish the absence of a valid state through validation of a destruction receipt rather than by proof of existence.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29.</w:t>
      </w:r>
      <w:r>
        <w:rPr/>
        <w:t xml:space="preserve"> The non-transitory computer-readable medium of claim 23, wherein the instructions further cause the processors to maintain parallel accumulation tracks anchored to geographically distinct transparency services, enabling simultaneous proof of retention in a first jurisdiction and proof of destruction in a second jurisdiction without disclosure of the underlying digital asset.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LibreOffice/25.8.1.1$Windows_X86_64 LibreOffice_project/54047653041915e595ad4e45cccea684809c77b5</Application>
  <AppVersion>15.0000</AppVersion>
  <Pages>4</Pages>
  <Words>1432</Words>
  <Characters>8229</Characters>
  <CharactersWithSpaces>9584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2025-09-19T17:41:15Z</dcterms:created>
  <dc:creator/>
  <dc:description/>
  <dc:language>en-US</dc:language>
  <cp:lastModifiedBy/>
  <dcterms:modified xsi:type="dcterms:W3CDTF">2025-09-21T17:48:33Z</dcterms:modified>
  <cp:revision>4</cp:revision>
  <dc:subject/>
  <dc:title/>
</cp:coreProperties>
</file>