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stpcore-formal-mathematical-model"/>
    <w:p>
      <w:pPr>
        <w:pStyle w:val="Heading1"/>
      </w:pPr>
      <w:r>
        <w:t xml:space="preserve">CSTP‑Core — Formal Mathematical Model</w:t>
      </w:r>
    </w:p>
    <w:p>
      <w:pPr>
        <w:pStyle w:val="FirstParagraph"/>
      </w:pPr>
      <w:r>
        <w:rPr>
          <w:b/>
          <w:bCs/>
        </w:rPr>
        <w:t xml:space="preserve">Scope.</w:t>
      </w:r>
      <w:r>
        <w:t xml:space="preserve"> </w:t>
      </w:r>
      <w:r>
        <w:t xml:space="preserve">This document formalizes the core cryptographic model for Cryptographic State Transition Proofs (CSTP‑Core): objects, operations, receipts, and verification logic, including epoch synchronization via Certificate Transparency (CT) STHs, an embargo timer, a formal destruction operation, and cross‑accumulator consistency for multi‑jurisdiction deployments.</w:t>
      </w:r>
    </w:p>
    <w:p>
      <w:r>
        <w:pict>
          <v:rect style="width:0;height:1.5pt" o:hralign="center" o:hrstd="t" o:hr="t"/>
        </w:pict>
      </w:r>
    </w:p>
    <w:bookmarkStart w:id="20" w:name="preliminaries-notation"/>
    <w:p>
      <w:pPr>
        <w:pStyle w:val="Heading2"/>
      </w:pPr>
      <w:r>
        <w:t xml:space="preserve">1. Preliminaries &amp; Notation</w:t>
      </w:r>
    </w:p>
    <w:p>
      <w:pPr>
        <w:pStyle w:val="Compact"/>
        <w:numPr>
          <w:ilvl w:val="0"/>
          <w:numId w:val="1001"/>
        </w:numPr>
      </w:pPr>
      <w:r>
        <w:t xml:space="preserve">Security parameter: (</w:t>
      </w:r>
      <w:r>
        <w:t xml:space="preserve">). Bitstrings of length (</w:t>
      </w:r>
      <w:r>
        <w:t xml:space="preserve">) denoted ({0,1}^</w:t>
      </w:r>
      <w:r>
        <w:t xml:space="preserve">).</w:t>
      </w:r>
    </w:p>
    <w:p>
      <w:pPr>
        <w:pStyle w:val="Compact"/>
        <w:numPr>
          <w:ilvl w:val="0"/>
          <w:numId w:val="1001"/>
        </w:numPr>
      </w:pPr>
      <w:r>
        <w:t xml:space="preserve">Hash function: (H: {0,1}</w:t>
      </w:r>
      <w:r>
        <w:rPr>
          <w:vertAlign w:val="superscript"/>
        </w:rPr>
        <w:t xml:space="preserve">*</w:t>
      </w:r>
      <w:r>
        <w:rPr>
          <w:vertAlign w:val="superscript"/>
        </w:rPr>
        <w:t xml:space="preserve"> </w:t>
      </w:r>
      <w:r>
        <w:rPr>
          <w:vertAlign w:val="superscript"/>
        </w:rPr>
        <w:t xml:space="preserve">{0,1}</w:t>
      </w:r>
      <w:r>
        <w:t xml:space="preserve">), modeled as collision‑resistant (CRHF).</w:t>
      </w:r>
    </w:p>
    <w:p>
      <w:pPr>
        <w:pStyle w:val="Compact"/>
        <w:numPr>
          <w:ilvl w:val="0"/>
          <w:numId w:val="1001"/>
        </w:numPr>
      </w:pPr>
      <w:r>
        <w:t xml:space="preserve">KDF: HKDF (extract+expand) with salt/</w:t>
      </w:r>
      <w:r>
        <w:t xml:space="preserve">“info”</w:t>
      </w:r>
      <w:r>
        <w:t xml:space="preserve"> </w:t>
      </w:r>
      <w:r>
        <w:t xml:space="preserve">as specified.</w:t>
      </w:r>
    </w:p>
    <w:p>
      <w:pPr>
        <w:pStyle w:val="Compact"/>
        <w:numPr>
          <w:ilvl w:val="0"/>
          <w:numId w:val="1001"/>
        </w:numPr>
      </w:pPr>
      <w:r>
        <w:t xml:space="preserve">Signature scheme: (</w:t>
      </w:r>
      <w:r>
        <w:t xml:space="preserve">= (</w:t>
      </w:r>
      <w:r>
        <w:t xml:space="preserve">,</w:t>
      </w:r>
      <w:r>
        <w:t xml:space="preserve">,</w:t>
      </w:r>
      <w:r>
        <w:t xml:space="preserve">)). Aggregate/threshold signatures possible.</w:t>
      </w:r>
    </w:p>
    <w:p>
      <w:pPr>
        <w:pStyle w:val="Compact"/>
        <w:numPr>
          <w:ilvl w:val="0"/>
          <w:numId w:val="1001"/>
        </w:numPr>
      </w:pPr>
      <w:r>
        <w:t xml:space="preserve">Time domain: continuous wall‑clock time (t</w:t>
      </w:r>
      <w:r>
        <w:t xml:space="preserve"> </w:t>
      </w:r>
      <w:r>
        <w:t xml:space="preserve">_{</w:t>
      </w:r>
      <w:r>
        <w:t xml:space="preserve">}); discrete epoch indices (i</w:t>
      </w:r>
      <w:r>
        <w:t xml:space="preserve"> </w:t>
      </w:r>
      <w:r>
        <w:t xml:space="preserve">).</w:t>
      </w:r>
    </w:p>
    <w:p>
      <w:pPr>
        <w:pStyle w:val="Compact"/>
        <w:numPr>
          <w:ilvl w:val="0"/>
          <w:numId w:val="1001"/>
        </w:numPr>
      </w:pPr>
      <w:r>
        <w:t xml:space="preserve">CT STH stream: sequence of signed tree heads (</w:t>
      </w:r>
      <w:r>
        <w:t xml:space="preserve">[0],</w:t>
      </w:r>
      <w:r>
        <w:t xml:space="preserve">[1],</w:t>
      </w:r>
      <w:r>
        <w:t xml:space="preserve">) emitted at a fixed cadence (</w:t>
      </w:r>
      <w:r>
        <w:t xml:space="preserve">_</w:t>
      </w:r>
      <w:r>
        <w:t xml:space="preserve"> </w:t>
      </w:r>
      <w:r>
        <w:t xml:space="preserve">&gt; 0).</w:t>
      </w:r>
    </w:p>
    <w:p>
      <w:pPr>
        <w:pStyle w:val="Compact"/>
        <w:numPr>
          <w:ilvl w:val="0"/>
          <w:numId w:val="1001"/>
        </w:numPr>
      </w:pPr>
      <w:r>
        <w:t xml:space="preserve">Epoch index function: (e(t) :=</w:t>
      </w:r>
      <w:r>
        <w:t xml:space="preserve"> </w:t>
      </w:r>
      <w:r>
        <w:t xml:space="preserve">{ i :</w:t>
      </w:r>
      <w:r>
        <w:t xml:space="preserve"> </w:t>
      </w:r>
      <w:r>
        <w:t xml:space="preserve">[i].</w:t>
      </w:r>
      <w:r>
        <w:t xml:space="preserve"> </w:t>
      </w:r>
      <w:r>
        <w:t xml:space="preserve">t }). Epoch boundary times: (T_i :=</w:t>
      </w:r>
      <w:r>
        <w:t xml:space="preserve"> </w:t>
      </w:r>
      <w:r>
        <w:t xml:space="preserve">[i].</w:t>
      </w:r>
      <w:r>
        <w:t xml:space="preserve">).</w:t>
      </w:r>
    </w:p>
    <w:p>
      <w:pPr>
        <w:pStyle w:val="Compact"/>
        <w:numPr>
          <w:ilvl w:val="0"/>
          <w:numId w:val="1001"/>
        </w:numPr>
      </w:pPr>
      <w:r>
        <w:t xml:space="preserve">Jurisdiction labels: finite set (</w:t>
      </w:r>
      <w:r>
        <w:t xml:space="preserve">). Each label (J</w:t>
      </w:r>
      <w:r>
        <w:t xml:space="preserve"> </w:t>
      </w:r>
      <w:r>
        <w:t xml:space="preserve">) encodes a legal regime (e.g., EU, US‑SOX).</w:t>
      </w:r>
    </w:p>
    <w:p>
      <w:pPr>
        <w:pStyle w:val="Compact"/>
        <w:numPr>
          <w:ilvl w:val="0"/>
          <w:numId w:val="1001"/>
        </w:numPr>
      </w:pPr>
      <w:r>
        <w:t xml:space="preserve">Transition types: finite alphabet (</w:t>
      </w:r>
      <w:r>
        <w:t xml:space="preserve"> </w:t>
      </w:r>
      <w:r>
        <w:t xml:space="preserve">= {</w:t>
      </w:r>
      <w:r>
        <w:t xml:space="preserve">,</w:t>
      </w:r>
      <w:r>
        <w:t xml:space="preserve">,</w:t>
      </w:r>
      <w:r>
        <w:t xml:space="preserve">,</w:t>
      </w:r>
      <w:r>
        <w:t xml:space="preserve">,</w:t>
      </w:r>
      <w:r>
        <w:t xml:space="preserve">(</w:t>
      </w:r>
      <w:r>
        <w:t xml:space="preserve">)}).</w:t>
      </w:r>
    </w:p>
    <w:p>
      <w:pPr>
        <w:pStyle w:val="Compact"/>
        <w:numPr>
          <w:ilvl w:val="0"/>
          <w:numId w:val="1001"/>
        </w:numPr>
      </w:pPr>
      <w:r>
        <w:t xml:space="preserve">Null digest constant: (</w:t>
      </w:r>
      <w:r>
        <w:t xml:space="preserve">_H) (e.g., (</w:t>
      </w:r>
      <w:r>
        <w:t xml:space="preserve">(</w:t>
      </w:r>
      <w:r>
        <w:t xml:space="preserve">))), reserved as canonical destruction marker.</w:t>
      </w:r>
    </w:p>
    <w:p>
      <w:r>
        <w:pict>
          <v:rect style="width:0;height:1.5pt" o:hralign="center" o:hrstd="t" o:hr="t"/>
        </w:pict>
      </w:r>
    </w:p>
    <w:bookmarkEnd w:id="20"/>
    <w:bookmarkStart w:id="30" w:name="objects"/>
    <w:p>
      <w:pPr>
        <w:pStyle w:val="Heading2"/>
      </w:pPr>
      <w:r>
        <w:t xml:space="preserve">2. Objects</w:t>
      </w:r>
    </w:p>
    <w:bookmarkStart w:id="21" w:name="assets-and-identifiers"/>
    <w:p>
      <w:pPr>
        <w:pStyle w:val="Heading3"/>
      </w:pPr>
      <w:r>
        <w:t xml:space="preserve">2.1 Assets and Identifiers</w:t>
      </w:r>
    </w:p>
    <w:p>
      <w:pPr>
        <w:pStyle w:val="Compact"/>
        <w:numPr>
          <w:ilvl w:val="0"/>
          <w:numId w:val="1002"/>
        </w:numPr>
      </w:pPr>
      <w:r>
        <w:t xml:space="preserve">Set of assets (</w:t>
      </w:r>
      <w:r>
        <w:t xml:space="preserve">). Each asset (a</w:t>
      </w:r>
      <w:r>
        <w:t xml:space="preserve"> </w:t>
      </w:r>
      <w:r>
        <w:t xml:space="preserve">) has a unique identifier (</w:t>
      </w:r>
      <w:r>
        <w:t xml:space="preserve">_a</w:t>
      </w:r>
      <w:r>
        <w:t xml:space="preserve"> </w:t>
      </w:r>
      <w:r>
        <w:t xml:space="preserve">{0,1}^*).</w:t>
      </w:r>
    </w:p>
    <w:bookmarkEnd w:id="21"/>
    <w:bookmarkStart w:id="22" w:name="epoch-root-keys-erk"/>
    <w:p>
      <w:pPr>
        <w:pStyle w:val="Heading3"/>
      </w:pPr>
      <w:r>
        <w:t xml:space="preserve">2.2 Epoch Root Keys (ERK)</w:t>
      </w:r>
    </w:p>
    <w:p>
      <w:pPr>
        <w:pStyle w:val="Compact"/>
        <w:numPr>
          <w:ilvl w:val="0"/>
          <w:numId w:val="1003"/>
        </w:numPr>
      </w:pPr>
      <w:r>
        <w:t xml:space="preserve">A forward‑secure key chain ((</w:t>
      </w:r>
      <w:r>
        <w:rPr>
          <w:i/>
          <w:iCs/>
        </w:rPr>
        <w:t xml:space="preserve">i)</w:t>
      </w:r>
      <w:r>
        <w:t xml:space="preserve">{i</w:t>
      </w:r>
      <w:r>
        <w:t xml:space="preserve">}) with evolution rule</w:t>
      </w:r>
      <w:r>
        <w:t xml:space="preserve"> </w:t>
      </w:r>
      <w:r>
        <w:t xml:space="preserve">[</w:t>
      </w:r>
      <w:r>
        <w:t xml:space="preserve"> </w:t>
      </w:r>
      <w:r>
        <w:t xml:space="preserve">_{i+1} = H(</w:t>
      </w:r>
      <w:r>
        <w:t xml:space="preserve">_i). ]</w:t>
      </w:r>
    </w:p>
    <w:p>
      <w:pPr>
        <w:pStyle w:val="Compact"/>
        <w:numPr>
          <w:ilvl w:val="0"/>
          <w:numId w:val="1003"/>
        </w:numPr>
      </w:pPr>
      <w:r>
        <w:rPr>
          <w:b/>
          <w:bCs/>
        </w:rPr>
        <w:t xml:space="preserve">Forward security.</w:t>
      </w:r>
      <w:r>
        <w:t xml:space="preserve"> </w:t>
      </w:r>
      <w:r>
        <w:t xml:space="preserve">Given (</w:t>
      </w:r>
      <w:r>
        <w:t xml:space="preserve">_{i+1}), recovering (</w:t>
      </w:r>
      <w:r>
        <w:t xml:space="preserve">_i) is computationally infeasible (by one‑wayness of (H)).</w:t>
      </w:r>
    </w:p>
    <w:bookmarkEnd w:id="22"/>
    <w:bookmarkStart w:id="23" w:name="object-wrap-keys-owk"/>
    <w:p>
      <w:pPr>
        <w:pStyle w:val="Heading3"/>
      </w:pPr>
      <w:r>
        <w:t xml:space="preserve">2.3 Object Wrap Keys (OWK)</w:t>
      </w:r>
    </w:p>
    <w:p>
      <w:pPr>
        <w:pStyle w:val="Compact"/>
        <w:numPr>
          <w:ilvl w:val="0"/>
          <w:numId w:val="1004"/>
        </w:numPr>
      </w:pPr>
      <w:r>
        <w:t xml:space="preserve">For asset (a) scoped to jurisdiction (J) at epoch (i), define</w:t>
      </w:r>
      <w:r>
        <w:t xml:space="preserve"> </w:t>
      </w:r>
      <w:r>
        <w:t xml:space="preserve">[</w:t>
      </w:r>
      <w:r>
        <w:t xml:space="preserve"> </w:t>
      </w:r>
      <w:r>
        <w:t xml:space="preserve">_{a,i,J} :=</w:t>
      </w:r>
      <w:r>
        <w:t xml:space="preserve"> </w:t>
      </w:r>
      <w:r>
        <w:t xml:space="preserve">(</w:t>
      </w:r>
      <w:r>
        <w:t xml:space="preserve">_i; </w:t>
      </w:r>
      <w:r>
        <w:t xml:space="preserve">=s_a; </w:t>
      </w:r>
      <w:r>
        <w:t xml:space="preserve">=</w:t>
      </w:r>
      <w:r>
        <w:t xml:space="preserve">_a</w:t>
      </w:r>
      <w:r>
        <w:t xml:space="preserve">J</w:t>
      </w:r>
      <w:r>
        <w:t xml:space="preserve"> </w:t>
      </w:r>
      <w:r>
        <w:t xml:space="preserve">w_a), ]</w:t>
      </w:r>
      <w:r>
        <w:t xml:space="preserve"> </w:t>
      </w:r>
      <w:r>
        <w:t xml:space="preserve">where (s_a) is per‑asset salt, (</w:t>
      </w:r>
      <w:r>
        <w:t xml:space="preserve">) a transition type relevant to the lifecycle window, and (w_a) a persistence window descriptor.</w:t>
      </w:r>
    </w:p>
    <w:p>
      <w:pPr>
        <w:pStyle w:val="Compact"/>
        <w:numPr>
          <w:ilvl w:val="0"/>
          <w:numId w:val="1004"/>
        </w:numPr>
      </w:pPr>
      <w:r>
        <w:t xml:space="preserve">OWKs encrypt/decrypt the asset’s data‑encryption key (</w:t>
      </w:r>
      <w:r>
        <w:t xml:space="preserve">_a).</w:t>
      </w:r>
    </w:p>
    <w:bookmarkEnd w:id="23"/>
    <w:bookmarkStart w:id="24" w:name="commitments"/>
    <w:p>
      <w:pPr>
        <w:pStyle w:val="Heading3"/>
      </w:pPr>
      <w:r>
        <w:t xml:space="preserve">2.4 Commitments</w:t>
      </w:r>
    </w:p>
    <w:p>
      <w:pPr>
        <w:pStyle w:val="Compact"/>
        <w:numPr>
          <w:ilvl w:val="0"/>
          <w:numId w:val="1005"/>
        </w:numPr>
      </w:pPr>
      <w:r>
        <w:t xml:space="preserve">For a scheduled transition ((a,i,</w:t>
      </w:r>
      <w:r>
        <w:t xml:space="preserve">,J)) with verifier‑disclosed salt (s), define</w:t>
      </w:r>
      <w:r>
        <w:t xml:space="preserve"> </w:t>
      </w:r>
      <w:r>
        <w:t xml:space="preserve">[ C(a,i,</w:t>
      </w:r>
      <w:r>
        <w:t xml:space="preserve">,J,s) := H(</w:t>
      </w:r>
      <w:r>
        <w:t xml:space="preserve">_a</w:t>
      </w:r>
      <w:r>
        <w:t xml:space="preserve"> </w:t>
      </w:r>
      <w:r>
        <w:t xml:space="preserve">s</w:t>
      </w:r>
      <w:r>
        <w:t xml:space="preserve"> </w:t>
      </w:r>
      <w:r>
        <w:t xml:space="preserve">i</w:t>
      </w:r>
      <w:r>
        <w:t xml:space="preserve"> </w:t>
      </w:r>
      <w:r>
        <w:t xml:space="preserve">J). ]</w:t>
      </w:r>
    </w:p>
    <w:p>
      <w:pPr>
        <w:pStyle w:val="Compact"/>
        <w:numPr>
          <w:ilvl w:val="0"/>
          <w:numId w:val="1005"/>
        </w:numPr>
      </w:pPr>
      <w:r>
        <w:rPr>
          <w:b/>
          <w:bCs/>
        </w:rPr>
        <w:t xml:space="preserve">Binding/hiding.</w:t>
      </w:r>
      <w:r>
        <w:t xml:space="preserve"> </w:t>
      </w:r>
      <w:r>
        <w:t xml:space="preserve">CRHF ensures collision‑resistance; salt strengthens hiding and uniqueness.</w:t>
      </w:r>
    </w:p>
    <w:bookmarkEnd w:id="24"/>
    <w:bookmarkStart w:id="25" w:name="epoch-accumulators-merkle-trees"/>
    <w:p>
      <w:pPr>
        <w:pStyle w:val="Heading3"/>
      </w:pPr>
      <w:r>
        <w:t xml:space="preserve">2.5 Epoch Accumulators (Merkle Trees)</w:t>
      </w:r>
    </w:p>
    <w:p>
      <w:pPr>
        <w:pStyle w:val="Compact"/>
        <w:numPr>
          <w:ilvl w:val="0"/>
          <w:numId w:val="1006"/>
        </w:numPr>
      </w:pPr>
      <w:r>
        <w:t xml:space="preserve">For each epoch (i) and jurisdiction (J), collect leaves (</w:t>
      </w:r>
      <w:r>
        <w:rPr>
          <w:i/>
          <w:iCs/>
        </w:rPr>
        <w:t xml:space="preserve">{i,J} = [C_1,</w:t>
      </w:r>
      <w:r>
        <w:rPr>
          <w:i/>
          <w:iCs/>
        </w:rPr>
        <w:t xml:space="preserve">,C_{n_{i,J}}]) and build a binary Merkle tree (</w:t>
      </w:r>
      <w:r>
        <w:t xml:space="preserve">{i,J}) with root (R_{i,J}). A Merkle proof is a sibling‑hash path (</w:t>
      </w:r>
      <w:r>
        <w:t xml:space="preserve">) of length (O(</w:t>
      </w:r>
      <w:r>
        <w:t xml:space="preserve">n_{i,J})).</w:t>
      </w:r>
    </w:p>
    <w:bookmarkEnd w:id="25"/>
    <w:bookmarkStart w:id="26" w:name="cumulative-root-chain"/>
    <w:p>
      <w:pPr>
        <w:pStyle w:val="Heading3"/>
      </w:pPr>
      <w:r>
        <w:t xml:space="preserve">2.6 Cumulative Root Chain</w:t>
      </w:r>
    </w:p>
    <w:p>
      <w:pPr>
        <w:pStyle w:val="Compact"/>
        <w:numPr>
          <w:ilvl w:val="0"/>
          <w:numId w:val="1007"/>
        </w:numPr>
      </w:pPr>
      <w:r>
        <w:t xml:space="preserve">Define (</w:t>
      </w:r>
      <w:r>
        <w:rPr>
          <w:i/>
          <w:iCs/>
        </w:rPr>
        <w:t xml:space="preserve">{-1,J} :=</w:t>
      </w:r>
      <w:r>
        <w:rPr>
          <w:i/>
          <w:iCs/>
        </w:rPr>
        <w:t xml:space="preserve"> </w:t>
      </w:r>
      <w:r>
        <w:rPr>
          <w:i/>
          <w:i/>
          <w:iCs/>
          <w:iCs/>
        </w:rPr>
        <w:t xml:space="preserve">H) and for (i</w:t>
      </w:r>
      <w:r>
        <w:rPr>
          <w:i/>
          <w:i/>
          <w:iCs/>
          <w:iCs/>
        </w:rPr>
        <w:t xml:space="preserve">):</w:t>
      </w:r>
      <w:r>
        <w:rPr>
          <w:i/>
          <w:i/>
          <w:iCs/>
          <w:iCs/>
        </w:rPr>
        <w:t xml:space="preserve"> </w:t>
      </w:r>
      <w:r>
        <w:rPr>
          <w:i/>
          <w:i/>
          <w:iCs/>
          <w:iCs/>
        </w:rPr>
        <w:t xml:space="preserve">[</w:t>
      </w:r>
      <w:r>
        <w:rPr>
          <w:i/>
          <w:i/>
          <w:iCs/>
          <w:iCs/>
        </w:rPr>
        <w:t xml:space="preserve"> </w:t>
      </w:r>
      <w:r>
        <w:rPr>
          <w:i/>
          <w:iCs/>
        </w:rPr>
        <w:t xml:space="preserve">{i,J} := H(</w:t>
      </w:r>
      <w:r>
        <w:t xml:space="preserve">{i-1,J}</w:t>
      </w:r>
      <w:r>
        <w:t xml:space="preserve"> </w:t>
      </w:r>
      <w:r>
        <w:t xml:space="preserve">R_{i,J}). ]</w:t>
      </w:r>
    </w:p>
    <w:bookmarkEnd w:id="26"/>
    <w:bookmarkStart w:id="27" w:name="anchors-witnesses"/>
    <w:p>
      <w:pPr>
        <w:pStyle w:val="Heading3"/>
      </w:pPr>
      <w:r>
        <w:t xml:space="preserve">2.7 Anchors &amp; Witnesses</w:t>
      </w:r>
    </w:p>
    <w:p>
      <w:pPr>
        <w:pStyle w:val="Compact"/>
        <w:numPr>
          <w:ilvl w:val="0"/>
          <w:numId w:val="1008"/>
        </w:numPr>
      </w:pPr>
      <w:r>
        <w:t xml:space="preserve">Each (</w:t>
      </w:r>
      <w:r>
        <w:t xml:space="preserve">_{i,J}) is published to one or more public anchors (A</w:t>
      </w:r>
      <w:r>
        <w:t xml:space="preserve"> </w:t>
      </w:r>
      <w:r>
        <w:t xml:space="preserve">) (e.g., CT‑style logs, blockchains) as inclusion entries with inclusion/consistency proofs.</w:t>
      </w:r>
    </w:p>
    <w:p>
      <w:pPr>
        <w:pStyle w:val="Compact"/>
        <w:numPr>
          <w:ilvl w:val="0"/>
          <w:numId w:val="1008"/>
        </w:numPr>
      </w:pPr>
      <w:r>
        <w:t xml:space="preserve">Optional attestations: TEE quotes or threshold signatures (</w:t>
      </w:r>
      <w:r>
        <w:t xml:space="preserve">) over structured tuples.</w:t>
      </w:r>
    </w:p>
    <w:bookmarkEnd w:id="27"/>
    <w:bookmarkStart w:id="28" w:name="policies"/>
    <w:p>
      <w:pPr>
        <w:pStyle w:val="Heading3"/>
      </w:pPr>
      <w:r>
        <w:t xml:space="preserve">2.8 Policies</w:t>
      </w:r>
    </w:p>
    <w:p>
      <w:pPr>
        <w:pStyle w:val="Compact"/>
        <w:numPr>
          <w:ilvl w:val="0"/>
          <w:numId w:val="1009"/>
        </w:numPr>
      </w:pPr>
      <w:r>
        <w:t xml:space="preserve">A policy is a tuple (P=(</w:t>
      </w:r>
      <w:r>
        <w:t xml:space="preserve">,</w:t>
      </w:r>
      <w:r>
        <w:t xml:space="preserve">,</w:t>
      </w:r>
      <w:r>
        <w:t xml:space="preserve">)) where:</w:t>
      </w:r>
    </w:p>
    <w:p>
      <w:pPr>
        <w:pStyle w:val="Compact"/>
        <w:numPr>
          <w:ilvl w:val="1"/>
          <w:numId w:val="1010"/>
        </w:numPr>
      </w:pPr>
      <w:r>
        <w:t xml:space="preserve">(</w:t>
      </w:r>
      <w:r>
        <w:t xml:space="preserve">:</w:t>
      </w:r>
      <w:r>
        <w:t xml:space="preserve"> </w:t>
      </w:r>
      <w:r>
        <w:t xml:space="preserve"> </w:t>
      </w:r>
      <w:r>
        <w:t xml:space="preserve">) maps assets to expiry epoch indices.</w:t>
      </w:r>
    </w:p>
    <w:p>
      <w:pPr>
        <w:pStyle w:val="Compact"/>
        <w:numPr>
          <w:ilvl w:val="1"/>
          <w:numId w:val="1010"/>
        </w:numPr>
      </w:pPr>
      <w:r>
        <w:t xml:space="preserve">(</w:t>
      </w:r>
      <w:r>
        <w:t xml:space="preserve">:</w:t>
      </w:r>
      <w:r>
        <w:t xml:space="preserve"> </w:t>
      </w:r>
      <w:r>
        <w:t xml:space="preserve"> </w:t>
      </w:r>
      <w:r>
        <w:t xml:space="preserve">^{</w:t>
      </w:r>
      <w:r>
        <w:t xml:space="preserve">}) assigns jurisdiction scopes.</w:t>
      </w:r>
    </w:p>
    <w:p>
      <w:pPr>
        <w:pStyle w:val="Compact"/>
        <w:numPr>
          <w:ilvl w:val="1"/>
          <w:numId w:val="1010"/>
        </w:numPr>
      </w:pPr>
      <w:r>
        <w:t xml:space="preserve">(</w:t>
      </w:r>
      <w:r>
        <w:t xml:space="preserve">:</w:t>
      </w:r>
      <w:r>
        <w:t xml:space="preserve"> </w:t>
      </w:r>
      <w:r>
        <w:t xml:space="preserve"> </w:t>
      </w:r>
      <w:r>
        <w:t xml:space="preserve">^*) prescribes allowed transitions.</w:t>
      </w:r>
    </w:p>
    <w:bookmarkEnd w:id="28"/>
    <w:bookmarkStart w:id="29" w:name="lifecycle-graph-and-closure"/>
    <w:p>
      <w:pPr>
        <w:pStyle w:val="Heading3"/>
      </w:pPr>
      <w:r>
        <w:t xml:space="preserve">2.9 Lifecycle Graph and Closure</w:t>
      </w:r>
    </w:p>
    <w:p>
      <w:pPr>
        <w:pStyle w:val="Compact"/>
        <w:numPr>
          <w:ilvl w:val="0"/>
          <w:numId w:val="1011"/>
        </w:numPr>
      </w:pPr>
      <w:r>
        <w:t xml:space="preserve">For each asset (a), define a directed acyclic path graph (G_a=(V_a,E_a)) where nodes are states ((i,</w:t>
      </w:r>
      <w:r>
        <w:t xml:space="preserve">)) in temporal order and edges encode receipts.</w:t>
      </w:r>
      <w:r>
        <w:t xml:space="preserve"> </w:t>
      </w:r>
      <w:r>
        <w:rPr>
          <w:b/>
          <w:bCs/>
        </w:rPr>
        <w:t xml:space="preserve">Closure under composition:</w:t>
      </w:r>
      <w:r>
        <w:t xml:space="preserve"> </w:t>
      </w:r>
      <w:r>
        <w:t xml:space="preserve">receipts compose via hash‑chaining; concatenating valid receipts yields a valid lifecycle proof for the path prefix.</w:t>
      </w:r>
    </w:p>
    <w:p>
      <w:r>
        <w:pict>
          <v:rect style="width:0;height:1.5pt" o:hralign="center" o:hrstd="t" o:hr="t"/>
        </w:pict>
      </w:r>
    </w:p>
    <w:bookmarkEnd w:id="29"/>
    <w:bookmarkEnd w:id="30"/>
    <w:bookmarkStart w:id="35" w:name="operations"/>
    <w:p>
      <w:pPr>
        <w:pStyle w:val="Heading2"/>
      </w:pPr>
      <w:r>
        <w:t xml:space="preserve">3. Operations</w:t>
      </w:r>
    </w:p>
    <w:p>
      <w:pPr>
        <w:pStyle w:val="FirstParagraph"/>
      </w:pPr>
      <w:r>
        <w:t xml:space="preserve">We give algorithms that output receipts (</w:t>
      </w:r>
      <w:r>
        <w:t xml:space="preserve">) with fields: ((C,</w:t>
      </w:r>
      <w:r>
        <w:t xml:space="preserve">,R_{i,J},</w:t>
      </w:r>
      <w:r>
        <w:t xml:space="preserve">_{i,J},</w:t>
      </w:r>
      <w:r>
        <w:t xml:space="preserve">,</w:t>
      </w:r>
      <w:r>
        <w:t xml:space="preserve">)).</w:t>
      </w:r>
    </w:p>
    <w:bookmarkStart w:id="31" w:name="section"/>
    <w:p>
      <w:pPr>
        <w:pStyle w:val="Heading3"/>
      </w:pPr>
      <w:r>
        <w:t xml:space="preserve">3.1 (</w:t>
      </w:r>
      <w:r>
        <w:t xml:space="preserve">)</w:t>
      </w:r>
    </w:p>
    <w:p>
      <w:pPr>
        <w:pStyle w:val="FirstParagraph"/>
      </w:pPr>
      <w:r>
        <w:t xml:space="preserve">Input: (a,J,i). Actions: derive (</w:t>
      </w:r>
      <w:r>
        <w:rPr>
          <w:i/>
          <w:iCs/>
        </w:rPr>
        <w:t xml:space="preserve">{a,i,J}); form commitment (C(a,i,</w:t>
      </w:r>
      <w:r>
        <w:rPr>
          <w:i/>
          <w:iCs/>
        </w:rPr>
        <w:t xml:space="preserve">,J,s)); insert into (</w:t>
      </w:r>
      <w:r>
        <w:t xml:space="preserve">{i,J}); update (R_{i,J}) and (</w:t>
      </w:r>
      <w:r>
        <w:t xml:space="preserve">_{i,J}); anchor.</w:t>
      </w:r>
    </w:p>
    <w:bookmarkEnd w:id="31"/>
    <w:bookmarkStart w:id="32" w:name="section-1"/>
    <w:p>
      <w:pPr>
        <w:pStyle w:val="Heading3"/>
      </w:pPr>
      <w:r>
        <w:t xml:space="preserve">3.2 (</w:t>
      </w:r>
      <w:r>
        <w:t xml:space="preserve">) / (</w:t>
      </w:r>
      <w:r>
        <w:t xml:space="preserve">)</w:t>
      </w:r>
    </w:p>
    <w:p>
      <w:pPr>
        <w:pStyle w:val="FirstParagraph"/>
      </w:pPr>
      <w:r>
        <w:t xml:space="preserve">Record retention/expiry commitments at appropriate epoch(s) with same flow as above.</w:t>
      </w:r>
    </w:p>
    <w:bookmarkEnd w:id="32"/>
    <w:bookmarkStart w:id="33" w:name="formal-destruction-aji"/>
    <w:p>
      <w:pPr>
        <w:pStyle w:val="Heading3"/>
      </w:pPr>
      <w:r>
        <w:t xml:space="preserve">3.3 Formal</w:t>
      </w:r>
      <w:r>
        <w:t xml:space="preserve"> </w:t>
      </w:r>
      <w:r>
        <w:rPr>
          <w:b/>
          <w:bCs/>
        </w:rPr>
        <w:t xml:space="preserve">Destruction</w:t>
      </w:r>
      <w:r>
        <w:t xml:space="preserve"> </w:t>
      </w:r>
      <w:r>
        <w:t xml:space="preserve">(</w:t>
      </w:r>
      <w:r>
        <w:t xml:space="preserve">(a,J,i))</w:t>
      </w:r>
    </w:p>
    <w:p>
      <w:pPr>
        <w:pStyle w:val="Compact"/>
        <w:numPr>
          <w:ilvl w:val="0"/>
          <w:numId w:val="1012"/>
        </w:numPr>
      </w:pPr>
      <w:r>
        <w:rPr>
          <w:b/>
          <w:bCs/>
        </w:rPr>
        <w:t xml:space="preserve">Trigger:</w:t>
      </w:r>
      <w:r>
        <w:t xml:space="preserve"> </w:t>
      </w:r>
      <w:r>
        <w:t xml:space="preserve">(i =</w:t>
      </w:r>
      <w:r>
        <w:t xml:space="preserve"> </w:t>
      </w:r>
      <w:r>
        <w:t xml:space="preserve">(a)) (policy expiry) and any embargo preconditions met (Sec. 4).</w:t>
      </w:r>
    </w:p>
    <w:p>
      <w:pPr>
        <w:pStyle w:val="Compact"/>
        <w:numPr>
          <w:ilvl w:val="0"/>
          <w:numId w:val="1012"/>
        </w:numPr>
      </w:pPr>
      <w:r>
        <w:rPr>
          <w:b/>
          <w:bCs/>
        </w:rPr>
        <w:t xml:space="preserve">Key zeroization:</w:t>
      </w:r>
      <w:r>
        <w:t xml:space="preserve"> </w:t>
      </w:r>
      <w:r>
        <w:t xml:space="preserve">inside attested module, compute descriptor (d = H(</w:t>
      </w:r>
      <w:r>
        <w:t xml:space="preserve">_i)); set (</w:t>
      </w:r>
      <w:r>
        <w:rPr>
          <w:i/>
          <w:iCs/>
        </w:rPr>
        <w:t xml:space="preserve">i</w:t>
      </w:r>
      <w:r>
        <w:rPr>
          <w:i/>
          <w:iCs/>
        </w:rPr>
        <w:t xml:space="preserve"> </w:t>
      </w:r>
      <w:r>
        <w:rPr>
          <w:i/>
          <w:iCs/>
        </w:rPr>
        <w:t xml:space="preserve">) (unrecoverable). Optionally also destroy cached (</w:t>
      </w:r>
      <w:r>
        <w:t xml:space="preserve">{a,i,J}).</w:t>
      </w:r>
    </w:p>
    <w:p>
      <w:pPr>
        <w:pStyle w:val="Compact"/>
        <w:numPr>
          <w:ilvl w:val="0"/>
          <w:numId w:val="1012"/>
        </w:numPr>
      </w:pPr>
      <w:r>
        <w:rPr>
          <w:b/>
          <w:bCs/>
        </w:rPr>
        <w:t xml:space="preserve">Attestation:</w:t>
      </w:r>
      <w:r>
        <w:t xml:space="preserve"> </w:t>
      </w:r>
      <w:r>
        <w:t xml:space="preserve">produce (</w:t>
      </w:r>
      <w:r>
        <w:t xml:space="preserve">_</w:t>
      </w:r>
      <w:r>
        <w:t xml:space="preserve">(</w:t>
      </w:r>
      <w:r>
        <w:t xml:space="preserve">d, i, J,</w:t>
      </w:r>
      <w:r>
        <w:t xml:space="preserve"> </w:t>
      </w:r>
      <w:r>
        <w:t xml:space="preserve">_H</w:t>
      </w:r>
      <w:r>
        <w:t xml:space="preserve">)).</w:t>
      </w:r>
    </w:p>
    <w:p>
      <w:pPr>
        <w:pStyle w:val="Compact"/>
        <w:numPr>
          <w:ilvl w:val="0"/>
          <w:numId w:val="1012"/>
        </w:numPr>
      </w:pPr>
      <w:r>
        <w:rPr>
          <w:b/>
          <w:bCs/>
        </w:rPr>
        <w:t xml:space="preserve">Commitment:</w:t>
      </w:r>
      <w:r>
        <w:t xml:space="preserve"> </w:t>
      </w:r>
      <w:r>
        <w:t xml:space="preserve">(C(a,i,</w:t>
      </w:r>
      <w:r>
        <w:t xml:space="preserve">,J,s)).</w:t>
      </w:r>
    </w:p>
    <w:p>
      <w:pPr>
        <w:pStyle w:val="Compact"/>
        <w:numPr>
          <w:ilvl w:val="0"/>
          <w:numId w:val="1012"/>
        </w:numPr>
      </w:pPr>
      <w:r>
        <w:rPr>
          <w:b/>
          <w:bCs/>
        </w:rPr>
        <w:t xml:space="preserve">Accumulate/anchor:</w:t>
      </w:r>
      <w:r>
        <w:t xml:space="preserve"> </w:t>
      </w:r>
      <w:r>
        <w:t xml:space="preserve">append to (</w:t>
      </w:r>
      <w:r>
        <w:rPr>
          <w:i/>
          <w:iCs/>
        </w:rPr>
        <w:t xml:space="preserve">{i,J}), update (R</w:t>
      </w:r>
      <w:r>
        <w:t xml:space="preserve">{i,J}), (</w:t>
      </w:r>
      <w:r>
        <w:t xml:space="preserve">_{i,J}), publish anchors.</w:t>
      </w:r>
    </w:p>
    <w:p>
      <w:pPr>
        <w:pStyle w:val="Compact"/>
        <w:numPr>
          <w:ilvl w:val="0"/>
          <w:numId w:val="1012"/>
        </w:numPr>
      </w:pPr>
      <w:r>
        <w:rPr>
          <w:b/>
          <w:bCs/>
        </w:rPr>
        <w:t xml:space="preserve">Receipt:</w:t>
      </w:r>
      <w:r>
        <w:t xml:space="preserve"> </w:t>
      </w:r>
      <w:r>
        <w:t xml:space="preserve">(</w:t>
      </w:r>
      <w:r>
        <w:t xml:space="preserve">_{a,i,J}^{</w:t>
      </w:r>
      <w:r>
        <w:t xml:space="preserve">}) with attestation (</w:t>
      </w:r>
      <w:r>
        <w:t xml:space="preserve">) and optional state‑before/state‑after digests ((H(</w:t>
      </w:r>
      <w:r>
        <w:t xml:space="preserve">_a)), (</w:t>
      </w:r>
      <w:r>
        <w:t xml:space="preserve">_H)).</w:t>
      </w:r>
    </w:p>
    <w:p>
      <w:pPr>
        <w:pStyle w:val="FirstParagraph"/>
      </w:pPr>
      <w:r>
        <w:rPr>
          <w:b/>
          <w:bCs/>
        </w:rPr>
        <w:t xml:space="preserve">Semantics.</w:t>
      </w:r>
      <w:r>
        <w:t xml:space="preserve"> </w:t>
      </w:r>
      <w:r>
        <w:t xml:space="preserve">After (</w:t>
      </w:r>
      <w:r>
        <w:t xml:space="preserve">), any algorithm that outputs (</w:t>
      </w:r>
      <w:r>
        <w:t xml:space="preserve">_a) with non‑negligible probability would either invert (H) (to recover (</w:t>
      </w:r>
      <w:r>
        <w:t xml:space="preserve">_i)) or break HKDF/PRF security.</w:t>
      </w:r>
    </w:p>
    <w:bookmarkEnd w:id="33"/>
    <w:bookmarkStart w:id="34" w:name="aji"/>
    <w:p>
      <w:pPr>
        <w:pStyle w:val="Heading3"/>
      </w:pPr>
      <w:r>
        <w:t xml:space="preserve">3.4 (</w:t>
      </w:r>
      <w:r>
        <w:t xml:space="preserve">(a,J,i;</w:t>
      </w:r>
      <w:r>
        <w:t xml:space="preserve"> </w:t>
      </w:r>
      <w:r>
        <w:t xml:space="preserve">))</w:t>
      </w:r>
    </w:p>
    <w:p>
      <w:pPr>
        <w:pStyle w:val="FirstParagraph"/>
      </w:pPr>
      <w:r>
        <w:t xml:space="preserve">Encode successor/legacy algorithm identifiers in (</w:t>
      </w:r>
      <w:r>
        <w:t xml:space="preserve">=</w:t>
      </w:r>
      <w:r>
        <w:t xml:space="preserve">(</w:t>
      </w:r>
      <w:r>
        <w:t xml:space="preserve">!</w:t>
      </w:r>
      <w:r>
        <w:t xml:space="preserve">!</w:t>
      </w:r>
      <w:r>
        <w:t xml:space="preserve">)); produce commitment/receipt as above, optionally also destroying keys tied to (</w:t>
      </w:r>
      <w:r>
        <w:t xml:space="preserve">).</w:t>
      </w:r>
    </w:p>
    <w:p>
      <w:r>
        <w:pict>
          <v:rect style="width:0;height:1.5pt" o:hralign="center" o:hrstd="t" o:hr="t"/>
        </w:pict>
      </w:r>
    </w:p>
    <w:bookmarkEnd w:id="34"/>
    <w:bookmarkEnd w:id="35"/>
    <w:bookmarkStart w:id="36" w:name="epoch-synchronization-via-ct-sths"/>
    <w:p>
      <w:pPr>
        <w:pStyle w:val="Heading2"/>
      </w:pPr>
      <w:r>
        <w:t xml:space="preserve">4. Epoch Synchronization via CT STHs</w:t>
      </w:r>
    </w:p>
    <w:p>
      <w:pPr>
        <w:pStyle w:val="FirstParagraph"/>
      </w:pPr>
      <w:r>
        <w:t xml:space="preserve">Define cadence (</w:t>
      </w:r>
      <w:r>
        <w:t xml:space="preserve">_</w:t>
      </w:r>
      <w:r>
        <w:t xml:space="preserve">) (e.g., 24h). Each epoch index (i) is the index of the latest STH at time of sealing.</w:t>
      </w:r>
      <w:r>
        <w:t xml:space="preserve"> </w:t>
      </w:r>
      <w:r>
        <w:rPr>
          <w:b/>
          <w:bCs/>
        </w:rPr>
        <w:t xml:space="preserve">Requirement:</w:t>
      </w:r>
      <w:r>
        <w:t xml:space="preserve"> </w:t>
      </w:r>
      <w:r>
        <w:t xml:space="preserve">for each (i) and jurisdiction (J), the system stores CT inclusion and consistency proofs proving that the (</w:t>
      </w:r>
      <w:r>
        <w:t xml:space="preserve">[i]) sequence is append‑only and globally consistent. Verifiers recompute (e(t)) from public STHs, ensuring consistent epoch partitioning without a trusted clock.</w:t>
      </w:r>
    </w:p>
    <w:p>
      <w:pPr>
        <w:pStyle w:val="BodyText"/>
      </w:pPr>
      <w:r>
        <w:rPr>
          <w:b/>
          <w:bCs/>
        </w:rPr>
        <w:t xml:space="preserve">Complexity.</w:t>
      </w:r>
      <w:r>
        <w:t xml:space="preserve"> </w:t>
      </w:r>
      <w:r>
        <w:t xml:space="preserve">CT inclusion/consistency proofs verify in (O(</w:t>
      </w:r>
      <w:r>
        <w:t xml:space="preserve">N_</w:t>
      </w:r>
      <w:r>
        <w:t xml:space="preserve">)) hashes, typically dominated by Merkle verification of (</w:t>
      </w:r>
      <w:r>
        <w:t xml:space="preserve">_{i,J}).</w:t>
      </w:r>
    </w:p>
    <w:p>
      <w:r>
        <w:pict>
          <v:rect style="width:0;height:1.5pt" o:hralign="center" o:hrstd="t" o:hr="t"/>
        </w:pict>
      </w:r>
    </w:p>
    <w:bookmarkEnd w:id="36"/>
    <w:bookmarkStart w:id="37" w:name="embargo-timer-mechanism"/>
    <w:p>
      <w:pPr>
        <w:pStyle w:val="Heading2"/>
      </w:pPr>
      <w:r>
        <w:t xml:space="preserve">5. Embargo Timer Mechanism</w:t>
      </w:r>
    </w:p>
    <w:p>
      <w:pPr>
        <w:pStyle w:val="FirstParagraph"/>
      </w:pPr>
      <w:r>
        <w:t xml:space="preserve">An embargo timer (</w:t>
      </w:r>
      <w:r>
        <w:t xml:space="preserve">_</w:t>
      </w:r>
      <w:r>
        <w:t xml:space="preserve"> </w:t>
      </w:r>
      <w:r>
        <w:t xml:space="preserve">) delays</w:t>
      </w:r>
      <w:r>
        <w:t xml:space="preserve"> </w:t>
      </w:r>
      <w:r>
        <w:rPr>
          <w:b/>
          <w:bCs/>
        </w:rPr>
        <w:t xml:space="preserve">finalization</w:t>
      </w:r>
      <w:r>
        <w:t xml:space="preserve"> </w:t>
      </w:r>
      <w:r>
        <w:t xml:space="preserve">of a destruction event to mitigate immediate rollback attempts and enable cross‑checks.</w:t>
      </w:r>
    </w:p>
    <w:p>
      <w:pPr>
        <w:pStyle w:val="BodyText"/>
      </w:pPr>
      <w:r>
        <w:rPr>
          <w:b/>
          <w:bCs/>
        </w:rPr>
        <w:t xml:space="preserve">Mechanics.</w:t>
      </w:r>
      <w:r>
        <w:t xml:space="preserve"> </w:t>
      </w:r>
      <w:r>
        <w:t xml:space="preserve">For each (</w:t>
      </w:r>
      <w:r>
        <w:t xml:space="preserve">(a,J,i)):</w:t>
      </w:r>
      <w:r>
        <w:t xml:space="preserve"> </w:t>
      </w:r>
      <w:r>
        <w:t xml:space="preserve">1.</w:t>
      </w:r>
      <w:r>
        <w:t xml:space="preserve"> </w:t>
      </w:r>
      <w:r>
        <w:rPr>
          <w:b/>
          <w:bCs/>
        </w:rPr>
        <w:t xml:space="preserve">Precommit:</w:t>
      </w:r>
      <w:r>
        <w:t xml:space="preserve"> </w:t>
      </w:r>
      <w:r>
        <w:t xml:space="preserve">publish a</w:t>
      </w:r>
      <w:r>
        <w:t xml:space="preserve"> </w:t>
      </w:r>
      <w:r>
        <w:rPr>
          <w:i/>
          <w:iCs/>
        </w:rPr>
        <w:t xml:space="preserve">lock</w:t>
      </w:r>
      <w:r>
        <w:t xml:space="preserve"> </w:t>
      </w:r>
      <w:r>
        <w:t xml:space="preserve">record at epoch (i): (L := H(C</w:t>
      </w:r>
      <w:r>
        <w:t xml:space="preserve"> </w:t>
      </w:r>
      <w:r>
        <w:t xml:space="preserve">i</w:t>
      </w:r>
      <w:r>
        <w:t xml:space="preserve"> </w:t>
      </w:r>
      <w:r>
        <w:t xml:space="preserve">J)) included in (</w:t>
      </w:r>
      <w:r>
        <w:rPr>
          <w:i/>
          <w:iCs/>
        </w:rPr>
        <w:t xml:space="preserve">{i,J}) and anchored.</w:t>
      </w:r>
      <w:r>
        <w:rPr>
          <w:i/>
          <w:iCs/>
        </w:rPr>
        <w:t xml:space="preserve"> </w:t>
      </w:r>
      <w:r>
        <w:rPr>
          <w:i/>
          <w:iCs/>
        </w:rPr>
        <w:t xml:space="preserve">2.</w:t>
      </w:r>
      <w:r>
        <w:rPr>
          <w:i/>
          <w:iCs/>
        </w:rPr>
        <w:t xml:space="preserve"> </w:t>
      </w:r>
      <w:r>
        <w:rPr>
          <w:b/>
          <w:bCs/>
          <w:i/>
          <w:iCs/>
        </w:rPr>
        <w:t xml:space="preserve">Embargo interval:</w:t>
      </w:r>
      <w:r>
        <w:rPr>
          <w:i/>
          <w:iCs/>
        </w:rPr>
        <w:t xml:space="preserve"> </w:t>
      </w:r>
      <w:r>
        <w:rPr>
          <w:i/>
          <w:iCs/>
        </w:rPr>
        <w:t xml:space="preserve">forbid any contrary transitions for asset (a) in ([T_i, T_i+</w:t>
      </w:r>
      <w:r>
        <w:t xml:space="preserve">)).</w:t>
      </w:r>
      <w:r>
        <w:t xml:space="preserve"> </w:t>
      </w:r>
      <w:r>
        <w:t xml:space="preserve">3.</w:t>
      </w:r>
      <w:r>
        <w:t xml:space="preserve"> </w:t>
      </w:r>
      <w:r>
        <w:rPr>
          <w:b/>
          <w:bCs/>
        </w:rPr>
        <w:t xml:space="preserve">Finalize:</w:t>
      </w:r>
      <w:r>
        <w:t xml:space="preserve"> </w:t>
      </w:r>
      <w:r>
        <w:t xml:space="preserve">at epoch (i’ = e(T_i +</w:t>
      </w:r>
      <w:r>
        <w:t xml:space="preserve"> </w:t>
      </w:r>
      <w:r>
        <w:rPr>
          <w:i/>
          <w:iCs/>
        </w:rPr>
        <w:t xml:space="preserve">)), publish</w:t>
      </w:r>
      <w:r>
        <w:rPr>
          <w:i/>
          <w:iCs/>
        </w:rPr>
        <w:t xml:space="preserve"> </w:t>
      </w:r>
      <w:r>
        <w:rPr>
          <w:i/>
          <w:i/>
          <w:iCs/>
          <w:iCs/>
        </w:rPr>
        <w:t xml:space="preserve">final</w:t>
      </w:r>
      <w:r>
        <w:rPr>
          <w:i/>
          <w:iCs/>
        </w:rPr>
        <w:t xml:space="preserve"> </w:t>
      </w:r>
      <w:r>
        <w:rPr>
          <w:i/>
          <w:iCs/>
        </w:rPr>
        <w:t xml:space="preserve">destruction receipt referencing (L), with attestation (</w:t>
      </w:r>
      <w:r>
        <w:rPr>
          <w:i/>
          <w:iCs/>
        </w:rPr>
        <w:t xml:space="preserve">). The receipt includes both inclusion proofs: (L</w:t>
      </w:r>
      <w:r>
        <w:rPr>
          <w:i/>
          <w:iCs/>
        </w:rPr>
        <w:t xml:space="preserve"> </w:t>
      </w:r>
      <w:r>
        <w:rPr>
          <w:i/>
          <w:iCs/>
        </w:rPr>
        <w:t xml:space="preserve">R</w:t>
      </w:r>
      <w:r>
        <w:t xml:space="preserve">{i,J}) and final (C</w:t>
      </w:r>
      <w:r>
        <w:t xml:space="preserve"> </w:t>
      </w:r>
      <w:r>
        <w:t xml:space="preserve">R_{i’,J}), plus a CT consistency proof that (</w:t>
      </w:r>
      <w:r>
        <w:t xml:space="preserve">[i]</w:t>
      </w:r>
      <w:r>
        <w:t xml:space="preserve"> </w:t>
      </w:r>
      <w:r>
        <w:t xml:space="preserve">[i’]).</w:t>
      </w:r>
    </w:p>
    <w:p>
      <w:pPr>
        <w:pStyle w:val="BodyText"/>
      </w:pPr>
      <w:r>
        <w:rPr>
          <w:b/>
          <w:bCs/>
        </w:rPr>
        <w:t xml:space="preserve">Verification rule.</w:t>
      </w:r>
      <w:r>
        <w:t xml:space="preserve"> </w:t>
      </w:r>
      <w:r>
        <w:t xml:space="preserve">A destruction is valid iff (i) both inclusions verify; (ii) CT consistency holds between (i) and (i’); (iii) no conflicting receipts for (a) exist in ([i,i’)) within (J).</w:t>
      </w:r>
    </w:p>
    <w:p>
      <w:r>
        <w:pict>
          <v:rect style="width:0;height:1.5pt" o:hralign="center" o:hrstd="t" o:hr="t"/>
        </w:pict>
      </w:r>
    </w:p>
    <w:bookmarkEnd w:id="37"/>
    <w:bookmarkStart w:id="38" w:name="receipts"/>
    <w:p>
      <w:pPr>
        <w:pStyle w:val="Heading2"/>
      </w:pPr>
      <w:r>
        <w:t xml:space="preserve">6. Receipts</w:t>
      </w:r>
    </w:p>
    <w:p>
      <w:pPr>
        <w:pStyle w:val="FirstParagraph"/>
      </w:pPr>
      <w:r>
        <w:t xml:space="preserve">A receipt is a tuple</w:t>
      </w:r>
      <w:r>
        <w:t xml:space="preserve"> </w:t>
      </w:r>
      <w:r>
        <w:t xml:space="preserve">[</w:t>
      </w:r>
      <w:r>
        <w:t xml:space="preserve"> </w:t>
      </w:r>
      <w:r>
        <w:t xml:space="preserve"> </w:t>
      </w:r>
      <w:r>
        <w:t xml:space="preserve">=</w:t>
      </w:r>
      <w:r>
        <w:t xml:space="preserve"> </w:t>
      </w:r>
      <w:r>
        <w:t xml:space="preserve">C,</w:t>
      </w:r>
      <w:r>
        <w:t xml:space="preserve">, R_{i,J},</w:t>
      </w:r>
      <w:r>
        <w:t xml:space="preserve">_{i,J},{(A,</w:t>
      </w:r>
      <w:r>
        <w:t xml:space="preserve">_A,</w:t>
      </w:r>
      <w:r>
        <w:t xml:space="preserve">_A)}_A,</w:t>
      </w:r>
      <w:r>
        <w:t xml:space="preserve"> </w:t>
      </w:r>
      <w:r>
        <w:t xml:space="preserve">,</w:t>
      </w:r>
      <w:r>
        <w:t xml:space="preserve"> </w:t>
      </w:r>
      <w:r>
        <w:t xml:space="preserve">, ]</w:t>
      </w:r>
      <w:r>
        <w:t xml:space="preserve"> </w:t>
      </w:r>
      <w:r>
        <w:t xml:space="preserve">where (</w:t>
      </w:r>
      <w:r>
        <w:t xml:space="preserve">_A) and (</w:t>
      </w:r>
      <w:r>
        <w:t xml:space="preserve">_A) are anchor‑specific inclusion/consistency proofs. (</w:t>
      </w:r>
      <w:r>
        <w:t xml:space="preserve">) may include salts, algorithm OIDs, state‑before/after digests.</w:t>
      </w:r>
    </w:p>
    <w:p>
      <w:pPr>
        <w:pStyle w:val="BodyText"/>
      </w:pPr>
      <w:r>
        <w:rPr>
          <w:b/>
          <w:bCs/>
        </w:rPr>
        <w:t xml:space="preserve">Verification algorithm</w:t>
      </w:r>
      <w:r>
        <w:t xml:space="preserve"> </w:t>
      </w:r>
      <w:r>
        <w:t xml:space="preserve">(</w:t>
      </w:r>
      <w:r>
        <w:t xml:space="preserve">(</w:t>
      </w:r>
      <w:r>
        <w:t xml:space="preserve">)):</w:t>
      </w:r>
      <w:r>
        <w:t xml:space="preserve"> </w:t>
      </w:r>
      <w:r>
        <w:t xml:space="preserve">1. Recompute (C) from ((</w:t>
      </w:r>
      <w:r>
        <w:rPr>
          <w:i/>
          <w:iCs/>
        </w:rPr>
        <w:t xml:space="preserve">a,s,i,</w:t>
      </w:r>
      <w:r>
        <w:rPr>
          <w:i/>
          <w:iCs/>
        </w:rPr>
        <w:t xml:space="preserve">,J)); check ((C,</w:t>
      </w:r>
      <w:r>
        <w:rPr>
          <w:i/>
          <w:iCs/>
        </w:rPr>
        <w:t xml:space="preserve">)</w:t>
      </w:r>
      <w:r>
        <w:rPr>
          <w:i/>
          <w:iCs/>
        </w:rPr>
        <w:t xml:space="preserve"> </w:t>
      </w:r>
      <w:r>
        <w:rPr>
          <w:i/>
          <w:iCs/>
        </w:rPr>
        <w:t xml:space="preserve">R</w:t>
      </w:r>
      <w:r>
        <w:t xml:space="preserve">{i,J}).</w:t>
      </w:r>
      <w:r>
        <w:t xml:space="preserve"> </w:t>
      </w:r>
      <w:r>
        <w:t xml:space="preserve">2. Validate (</w:t>
      </w:r>
      <w:r>
        <w:t xml:space="preserve">_{i,J}) extends prior chain value (application‑provided or from prior receipts).</w:t>
      </w:r>
      <w:r>
        <w:t xml:space="preserve"> </w:t>
      </w:r>
      <w:r>
        <w:t xml:space="preserve">3. For each anchor (A): verify (</w:t>
      </w:r>
      <w:r>
        <w:t xml:space="preserve">_A,</w:t>
      </w:r>
      <w:r>
        <w:t xml:space="preserve">_A).</w:t>
      </w:r>
      <w:r>
        <w:t xml:space="preserve"> </w:t>
      </w:r>
      <w:r>
        <w:t xml:space="preserve">4. If (</w:t>
      </w:r>
      <w:r>
        <w:t xml:space="preserve">=</w:t>
      </w:r>
      <w:r>
        <w:t xml:space="preserve">), verify attestation (</w:t>
      </w:r>
      <w:r>
        <w:t xml:space="preserve">) and that (</w:t>
      </w:r>
      <w:r>
        <w:t xml:space="preserve">=</w:t>
      </w:r>
      <w:r>
        <w:t xml:space="preserve">_H) if present.</w:t>
      </w:r>
    </w:p>
    <w:p>
      <w:pPr>
        <w:pStyle w:val="BodyText"/>
      </w:pPr>
      <w:r>
        <w:rPr>
          <w:b/>
          <w:bCs/>
        </w:rPr>
        <w:t xml:space="preserve">Complexity:</w:t>
      </w:r>
      <w:r>
        <w:t xml:space="preserve"> </w:t>
      </w:r>
      <w:r>
        <w:t xml:space="preserve">(O(</w:t>
      </w:r>
      <w:r>
        <w:t xml:space="preserve">n_{i,J})) hash ops for Merkle path + anchor proofs (polylog). Receipt size (</w:t>
      </w:r>
      <w:r>
        <w:t xml:space="preserve">(</w:t>
      </w:r>
      <w:r>
        <w:t xml:space="preserve">n)).</w:t>
      </w:r>
    </w:p>
    <w:p>
      <w:r>
        <w:pict>
          <v:rect style="width:0;height:1.5pt" o:hralign="center" o:hrstd="t" o:hr="t"/>
        </w:pict>
      </w:r>
    </w:p>
    <w:bookmarkEnd w:id="38"/>
    <w:bookmarkStart w:id="42" w:name="X0c1b65efb7cc0375c0c620fe7edda6058e738ac"/>
    <w:p>
      <w:pPr>
        <w:pStyle w:val="Heading2"/>
      </w:pPr>
      <w:r>
        <w:t xml:space="preserve">7. Multi‑Jurisdiction Cross‑Accumulator Consistency</w:t>
      </w:r>
    </w:p>
    <w:p>
      <w:pPr>
        <w:pStyle w:val="FirstParagraph"/>
      </w:pPr>
      <w:r>
        <w:t xml:space="preserve">We formalize</w:t>
      </w:r>
      <w:r>
        <w:t xml:space="preserve"> </w:t>
      </w:r>
      <w:r>
        <w:rPr>
          <w:i/>
          <w:iCs/>
        </w:rPr>
        <w:t xml:space="preserve">non‑equivocation</w:t>
      </w:r>
      <w:r>
        <w:t xml:space="preserve"> </w:t>
      </w:r>
      <w:r>
        <w:t xml:space="preserve">across parallel accumulators ({</w:t>
      </w:r>
      <w:r>
        <w:rPr>
          <w:i/>
          <w:iCs/>
        </w:rPr>
        <w:t xml:space="preserve">{i,J}}</w:t>
      </w:r>
      <w:r>
        <w:t xml:space="preserve">{J</w:t>
      </w:r>
      <w:r>
        <w:t xml:space="preserve">}).</w:t>
      </w:r>
    </w:p>
    <w:bookmarkStart w:id="39" w:name="scopekeyed-commitments"/>
    <w:p>
      <w:pPr>
        <w:pStyle w:val="Heading3"/>
      </w:pPr>
      <w:r>
        <w:t xml:space="preserve">7.1 Scope‑Keyed Commitments</w:t>
      </w:r>
    </w:p>
    <w:p>
      <w:pPr>
        <w:pStyle w:val="FirstParagraph"/>
      </w:pPr>
      <w:r>
        <w:t xml:space="preserve">Commitments include (J). Thus the same asset/epoch can validly appear in different accumulators only with jurisdiction‑consistent semantics (e.g., retain in US, destroy in EU for disjoint data projections).</w:t>
      </w:r>
    </w:p>
    <w:bookmarkEnd w:id="39"/>
    <w:bookmarkStart w:id="40" w:name="policy-lattice"/>
    <w:p>
      <w:pPr>
        <w:pStyle w:val="Heading3"/>
      </w:pPr>
      <w:r>
        <w:t xml:space="preserve">7.2 Policy Lattice</w:t>
      </w:r>
    </w:p>
    <w:p>
      <w:pPr>
        <w:pStyle w:val="FirstParagraph"/>
      </w:pPr>
      <w:r>
        <w:t xml:space="preserve">Let ((</w:t>
      </w:r>
      <w:r>
        <w:t xml:space="preserve">,</w:t>
      </w:r>
      <w:r>
        <w:t xml:space="preserve">)) be a lattice of</w:t>
      </w:r>
      <w:r>
        <w:t xml:space="preserve"> </w:t>
      </w:r>
      <w:r>
        <w:rPr>
          <w:i/>
          <w:iCs/>
        </w:rPr>
        <w:t xml:space="preserve">scopes</w:t>
      </w:r>
      <w:r>
        <w:t xml:space="preserve"> </w:t>
      </w:r>
      <w:r>
        <w:t xml:space="preserve">describing which bits of an asset are covered in each jurisdiction. A pair of receipts ((</w:t>
      </w:r>
      <w:r>
        <w:t xml:space="preserve">_1,J_1),(</w:t>
      </w:r>
      <w:r>
        <w:t xml:space="preserve">_2,J_2)) is</w:t>
      </w:r>
      <w:r>
        <w:t xml:space="preserve"> </w:t>
      </w:r>
      <w:r>
        <w:rPr>
          <w:b/>
          <w:bCs/>
        </w:rPr>
        <w:t xml:space="preserve">conflicting</w:t>
      </w:r>
      <w:r>
        <w:t xml:space="preserve"> </w:t>
      </w:r>
      <w:r>
        <w:t xml:space="preserve">if their scopes overlap non‑trivially and transitions are logically incompatible (e.g., (</w:t>
      </w:r>
      <w:r>
        <w:t xml:space="preserve">) vs. (</w:t>
      </w:r>
      <w:r>
        <w:t xml:space="preserve">) for the</w:t>
      </w:r>
      <w:r>
        <w:t xml:space="preserve"> </w:t>
      </w:r>
      <w:r>
        <w:rPr>
          <w:i/>
          <w:iCs/>
        </w:rPr>
        <w:t xml:space="preserve">same scope segment</w:t>
      </w:r>
      <w:r>
        <w:t xml:space="preserve">).</w:t>
      </w:r>
    </w:p>
    <w:bookmarkEnd w:id="40"/>
    <w:bookmarkStart w:id="41" w:name="crossconsistency-proof"/>
    <w:p>
      <w:pPr>
        <w:pStyle w:val="Heading3"/>
      </w:pPr>
      <w:r>
        <w:t xml:space="preserve">7.3 Cross‑Consistency Proof</w:t>
      </w:r>
    </w:p>
    <w:p>
      <w:pPr>
        <w:pStyle w:val="FirstParagraph"/>
      </w:pPr>
      <w:r>
        <w:t xml:space="preserve">A cross‑consistency proof for asset (a) over epoch range ([i_1,i_2]) is a set ({</w:t>
      </w:r>
      <w:r>
        <w:rPr>
          <w:i/>
          <w:iCs/>
        </w:rPr>
        <w:t xml:space="preserve">{J,k}}) such that:</w:t>
      </w:r>
      <w:r>
        <w:rPr>
          <w:i/>
          <w:iCs/>
        </w:rPr>
        <w:t xml:space="preserve"> </w:t>
      </w:r>
      <w:r>
        <w:rPr>
          <w:i/>
          <w:iCs/>
        </w:rPr>
        <w:t xml:space="preserve">1. Each (</w:t>
      </w:r>
      <w:r>
        <w:t xml:space="preserve">{J,k}) verifies individually (Sec. 6).</w:t>
      </w:r>
      <w:r>
        <w:t xml:space="preserve"> </w:t>
      </w:r>
      <w:r>
        <w:t xml:space="preserve">2. Anchor chains for all (J) are</w:t>
      </w:r>
      <w:r>
        <w:t xml:space="preserve"> </w:t>
      </w:r>
      <w:r>
        <w:rPr>
          <w:i/>
          <w:iCs/>
        </w:rPr>
        <w:t xml:space="preserve">externally</w:t>
      </w:r>
      <w:r>
        <w:t xml:space="preserve"> </w:t>
      </w:r>
      <w:r>
        <w:t xml:space="preserve">consistent: provide CT (or blockchain) consistency proofs across their own timelines.</w:t>
      </w:r>
      <w:r>
        <w:t xml:space="preserve"> </w:t>
      </w:r>
      <w:r>
        <w:t xml:space="preserve">3. For every pair of receipts whose scopes overlap, no incompatible (</w:t>
      </w:r>
      <w:r>
        <w:t xml:space="preserve">) values appear in intersecting epoch intervals. This is checked by evaluating scope predicates embedded in (</w:t>
      </w:r>
      <w:r>
        <w:t xml:space="preserve">) (e.g., salted selectors or regulatory OIDs) and by searching for incompatible (</w:t>
      </w:r>
      <w:r>
        <w:t xml:space="preserve">) per asset.</w:t>
      </w:r>
    </w:p>
    <w:p>
      <w:pPr>
        <w:pStyle w:val="BodyText"/>
      </w:pPr>
      <w:r>
        <w:rPr>
          <w:b/>
          <w:bCs/>
        </w:rPr>
        <w:t xml:space="preserve">Soundness theorem (informal).</w:t>
      </w:r>
      <w:r>
        <w:t xml:space="preserve"> </w:t>
      </w:r>
      <w:r>
        <w:t xml:space="preserve">Under CRHF, append‑only anchors, and correct scope encoding, it is computationally infeasible for an adversary controlling some accumulators to produce verified receipts that (i) claim destruction for scope (S) in (J_1) and (ii) claim retention for an overlapping scope (S’</w:t>
      </w:r>
      <w:r>
        <w:t xml:space="preserve">S) in (J_2), without a public anchor inconsistency or a hash collision.</w:t>
      </w:r>
    </w:p>
    <w:p>
      <w:pPr>
        <w:pStyle w:val="BodyText"/>
      </w:pPr>
      <w:r>
        <w:rPr>
          <w:b/>
          <w:bCs/>
        </w:rPr>
        <w:t xml:space="preserve">Proof sketch.</w:t>
      </w:r>
      <w:r>
        <w:t xml:space="preserve"> </w:t>
      </w:r>
      <w:r>
        <w:t xml:space="preserve">Any such equivocation yields either (a) conflicting receipts in the</w:t>
      </w:r>
      <w:r>
        <w:t xml:space="preserve"> </w:t>
      </w:r>
      <w:r>
        <w:rPr>
          <w:i/>
          <w:iCs/>
        </w:rPr>
        <w:t xml:space="preserve">same</w:t>
      </w:r>
      <w:r>
        <w:t xml:space="preserve"> </w:t>
      </w:r>
      <w:r>
        <w:t xml:space="preserve">chain (caught by chain linkage), (b) conflicting receipts across chains that require presenting two different committed values for the</w:t>
      </w:r>
      <w:r>
        <w:t xml:space="preserve"> </w:t>
      </w:r>
      <w:r>
        <w:rPr>
          <w:i/>
          <w:iCs/>
        </w:rPr>
        <w:t xml:space="preserve">same</w:t>
      </w:r>
      <w:r>
        <w:t xml:space="preserve"> </w:t>
      </w:r>
      <w:r>
        <w:t xml:space="preserve">event—implying a collision—or (c) inconsistent anchor histories, which are rejected by CT/blockchain consistency proofs.</w:t>
      </w:r>
    </w:p>
    <w:p>
      <w:r>
        <w:pict>
          <v:rect style="width:0;height:1.5pt" o:hralign="center" o:hrstd="t" o:hr="t"/>
        </w:pict>
      </w:r>
    </w:p>
    <w:bookmarkEnd w:id="41"/>
    <w:bookmarkEnd w:id="42"/>
    <w:bookmarkStart w:id="46" w:name="security-games-guarantees"/>
    <w:p>
      <w:pPr>
        <w:pStyle w:val="Heading2"/>
      </w:pPr>
      <w:r>
        <w:t xml:space="preserve">8. Security Games &amp; Guarantees</w:t>
      </w:r>
    </w:p>
    <w:bookmarkStart w:id="43" w:name="resurrection-resistance"/>
    <w:p>
      <w:pPr>
        <w:pStyle w:val="Heading3"/>
      </w:pPr>
      <w:r>
        <w:t xml:space="preserve">8.1 Resurrection Resistance</w:t>
      </w:r>
    </w:p>
    <w:p>
      <w:pPr>
        <w:pStyle w:val="FirstParagraph"/>
      </w:pPr>
      <w:r>
        <w:t xml:space="preserve">Game: adversary observes all receipts and anchors and, after (</w:t>
      </w:r>
      <w:r>
        <w:t xml:space="preserve">(a,J,i)), outputs (</w:t>
      </w:r>
      <w:r>
        <w:t xml:space="preserve">_a). Advantage reduces to (i) inverting (H) to recover (</w:t>
      </w:r>
      <w:r>
        <w:t xml:space="preserve">_i), (ii) breaking HKDF PRF security, or (iii) forging TEE/MPC attestation. Under standard assumptions, advantage is negligible in (</w:t>
      </w:r>
      <w:r>
        <w:t xml:space="preserve">).</w:t>
      </w:r>
    </w:p>
    <w:bookmarkEnd w:id="43"/>
    <w:bookmarkStart w:id="44" w:name="nonequivocation-across-accumulators"/>
    <w:p>
      <w:pPr>
        <w:pStyle w:val="Heading3"/>
      </w:pPr>
      <w:r>
        <w:t xml:space="preserve">8.2 Non‑Equivocation Across Accumulators</w:t>
      </w:r>
    </w:p>
    <w:p>
      <w:pPr>
        <w:pStyle w:val="FirstParagraph"/>
      </w:pPr>
      <w:r>
        <w:t xml:space="preserve">Game: produce two verified, scope‑overlapping receipts with incompatible (</w:t>
      </w:r>
      <w:r>
        <w:t xml:space="preserve">). Advantage requires a CRHF collision or an anchor consistency break.</w:t>
      </w:r>
    </w:p>
    <w:bookmarkEnd w:id="44"/>
    <w:bookmarkStart w:id="45" w:name="receipt-unforgeability"/>
    <w:p>
      <w:pPr>
        <w:pStyle w:val="Heading3"/>
      </w:pPr>
      <w:r>
        <w:t xml:space="preserve">8.3 Receipt Unforgeability</w:t>
      </w:r>
    </w:p>
    <w:p>
      <w:pPr>
        <w:pStyle w:val="FirstParagraph"/>
      </w:pPr>
      <w:r>
        <w:t xml:space="preserve">Game: output a receipt that verifies but was never accumulated/anchored. Advantage requires forging anchor inclusion or Merkle membership; both reduce to CRHF.</w:t>
      </w:r>
    </w:p>
    <w:p>
      <w:r>
        <w:pict>
          <v:rect style="width:0;height:1.5pt" o:hralign="center" o:hrstd="t" o:hr="t"/>
        </w:pict>
      </w:r>
    </w:p>
    <w:bookmarkEnd w:id="45"/>
    <w:bookmarkEnd w:id="46"/>
    <w:bookmarkStart w:id="47" w:name="complexity-sizing"/>
    <w:p>
      <w:pPr>
        <w:pStyle w:val="Heading2"/>
      </w:pPr>
      <w:r>
        <w:t xml:space="preserve">9. Complexity &amp; Sizing</w:t>
      </w:r>
    </w:p>
    <w:p>
      <w:pPr>
        <w:pStyle w:val="Compact"/>
        <w:numPr>
          <w:ilvl w:val="0"/>
          <w:numId w:val="1013"/>
        </w:numPr>
      </w:pPr>
      <w:r>
        <w:t xml:space="preserve">Proof verification: (O(</w:t>
      </w:r>
      <w:r>
        <w:t xml:space="preserve">n_{i,J})) hashes (e.g., ~20 for (n=10^6)).</w:t>
      </w:r>
    </w:p>
    <w:p>
      <w:pPr>
        <w:pStyle w:val="Compact"/>
        <w:numPr>
          <w:ilvl w:val="0"/>
          <w:numId w:val="1013"/>
        </w:numPr>
      </w:pPr>
      <w:r>
        <w:t xml:space="preserve">Receipt size: (</w:t>
      </w:r>
      <w:r>
        <w:t xml:space="preserve">)–2 KB depending on anchor/attestation overhead.</w:t>
      </w:r>
    </w:p>
    <w:p>
      <w:pPr>
        <w:pStyle w:val="Compact"/>
        <w:numPr>
          <w:ilvl w:val="0"/>
          <w:numId w:val="1013"/>
        </w:numPr>
      </w:pPr>
      <w:r>
        <w:t xml:space="preserve">Accumulator storage: (O(n_{i,J})) per epoch; pruning and batching supported.</w:t>
      </w:r>
    </w:p>
    <w:p>
      <w:pPr>
        <w:pStyle w:val="Compact"/>
        <w:numPr>
          <w:ilvl w:val="0"/>
          <w:numId w:val="1013"/>
        </w:numPr>
      </w:pPr>
      <w:r>
        <w:t xml:space="preserve">Anchor latency does not affect irreversibility; receipts can be locally valid prior to external publication, then anchored retroactively with preserved chain continuity.</w:t>
      </w:r>
    </w:p>
    <w:p>
      <w:r>
        <w:pict>
          <v:rect style="width:0;height:1.5pt" o:hralign="center" o:hrstd="t" o:hr="t"/>
        </w:pict>
      </w:r>
    </w:p>
    <w:bookmarkEnd w:id="47"/>
    <w:bookmarkStart w:id="48" w:name="pseudocode"/>
    <w:p>
      <w:pPr>
        <w:pStyle w:val="Heading2"/>
      </w:pPr>
      <w:r>
        <w:t xml:space="preserve">10. Pseudocode</w:t>
      </w:r>
    </w:p>
    <w:p>
      <w:pPr>
        <w:pStyle w:val="SourceCode"/>
      </w:pPr>
      <w:r>
        <w:rPr>
          <w:rStyle w:val="VerbatimChar"/>
        </w:rPr>
        <w:t xml:space="preserve">Proc SealEpoch(i, J):</w:t>
      </w:r>
      <w:r>
        <w:br/>
      </w:r>
      <w:r>
        <w:rPr>
          <w:rStyle w:val="VerbatimChar"/>
        </w:rPr>
        <w:t xml:space="preserve">  R &lt;- BuildMerkleRoot(L_i,J)</w:t>
      </w:r>
      <w:r>
        <w:br/>
      </w:r>
      <w:r>
        <w:rPr>
          <w:rStyle w:val="VerbatimChar"/>
        </w:rPr>
        <w:t xml:space="preserve">  Chain[i,J] &lt;- H(Chain[i-1,J] || R)</w:t>
      </w:r>
      <w:r>
        <w:br/>
      </w:r>
      <w:r>
        <w:rPr>
          <w:rStyle w:val="VerbatimChar"/>
        </w:rPr>
        <w:t xml:space="preserve">  for A in Anchors: Publish(Chain[i,J]) and store incl/cons proofs</w:t>
      </w:r>
      <w:r>
        <w:br/>
      </w:r>
      <w:r>
        <w:rPr>
          <w:rStyle w:val="VerbatimChar"/>
        </w:rPr>
        <w:t xml:space="preserve">  return (R, Chain[i,J])</w:t>
      </w:r>
      <w:r>
        <w:br/>
      </w:r>
      <w:r>
        <w:br/>
      </w:r>
      <w:r>
        <w:rPr>
          <w:rStyle w:val="VerbatimChar"/>
        </w:rPr>
        <w:t xml:space="preserve">Proc Commit(a, J, i, tau, s):</w:t>
      </w:r>
      <w:r>
        <w:br/>
      </w:r>
      <w:r>
        <w:rPr>
          <w:rStyle w:val="VerbatimChar"/>
        </w:rPr>
        <w:t xml:space="preserve">  C &lt;- H(id_a || s || i || tau || J)</w:t>
      </w:r>
      <w:r>
        <w:br/>
      </w:r>
      <w:r>
        <w:rPr>
          <w:rStyle w:val="VerbatimChar"/>
        </w:rPr>
        <w:t xml:space="preserve">  Insert C into L_i,J ; update Merkle structures</w:t>
      </w:r>
      <w:r>
        <w:br/>
      </w:r>
      <w:r>
        <w:rPr>
          <w:rStyle w:val="VerbatimChar"/>
        </w:rPr>
        <w:t xml:space="preserve">  return C</w:t>
      </w:r>
      <w:r>
        <w:br/>
      </w:r>
      <w:r>
        <w:br/>
      </w:r>
      <w:r>
        <w:rPr>
          <w:rStyle w:val="VerbatimChar"/>
        </w:rPr>
        <w:t xml:space="preserve">Proc Destroy(a, J, i):</w:t>
      </w:r>
      <w:r>
        <w:br/>
      </w:r>
      <w:r>
        <w:rPr>
          <w:rStyle w:val="VerbatimChar"/>
        </w:rPr>
        <w:t xml:space="preserve">  // Precommit lock</w:t>
      </w:r>
      <w:r>
        <w:br/>
      </w:r>
      <w:r>
        <w:rPr>
          <w:rStyle w:val="VerbatimChar"/>
        </w:rPr>
        <w:t xml:space="preserve">  L &lt;- H(H(id_a||s||i||destroy||J) || i || J)</w:t>
      </w:r>
      <w:r>
        <w:br/>
      </w:r>
      <w:r>
        <w:rPr>
          <w:rStyle w:val="VerbatimChar"/>
        </w:rPr>
        <w:t xml:space="preserve">  Insert L into L_i,J ; SealEpoch(i,J)</w:t>
      </w:r>
      <w:r>
        <w:br/>
      </w:r>
      <w:r>
        <w:rPr>
          <w:rStyle w:val="VerbatimChar"/>
        </w:rPr>
        <w:t xml:space="preserve">  // After embargo elapses</w:t>
      </w:r>
      <w:r>
        <w:br/>
      </w:r>
      <w:r>
        <w:rPr>
          <w:rStyle w:val="VerbatimChar"/>
        </w:rPr>
        <w:t xml:space="preserve">  In TEE/MPC: d &lt;- H(ERK_i); zeroize ERK_i -&gt; ⊥; sigma &lt;- Sign(d,i,J,0_H)</w:t>
      </w:r>
      <w:r>
        <w:br/>
      </w:r>
      <w:r>
        <w:rPr>
          <w:rStyle w:val="VerbatimChar"/>
        </w:rPr>
        <w:t xml:space="preserve">  C &lt;- H(id_a||s||i||destroy||J)</w:t>
      </w:r>
      <w:r>
        <w:br/>
      </w:r>
      <w:r>
        <w:rPr>
          <w:rStyle w:val="VerbatimChar"/>
        </w:rPr>
        <w:t xml:space="preserve">  Insert C into L_{i',J}; (R,Chain[i',J]) &lt;- SealEpoch(i',J)</w:t>
      </w:r>
      <w:r>
        <w:br/>
      </w:r>
      <w:r>
        <w:rPr>
          <w:rStyle w:val="VerbatimChar"/>
        </w:rPr>
        <w:t xml:space="preserve">  Anchor receipts; return Receipt(C, path, R, Chain[i',J], Att=sigma, Lock=L)</w:t>
      </w:r>
    </w:p>
    <w:p>
      <w:r>
        <w:pict>
          <v:rect style="width:0;height:1.5pt" o:hralign="center" o:hrstd="t" o:hr="t"/>
        </w:pict>
      </w:r>
    </w:p>
    <w:bookmarkEnd w:id="48"/>
    <w:bookmarkStart w:id="49" w:name="parameterization-engineering-notes"/>
    <w:p>
      <w:pPr>
        <w:pStyle w:val="Heading2"/>
      </w:pPr>
      <w:r>
        <w:t xml:space="preserve">11. Parameterization &amp; Engineering Notes</w:t>
      </w:r>
    </w:p>
    <w:p>
      <w:pPr>
        <w:pStyle w:val="Compact"/>
        <w:numPr>
          <w:ilvl w:val="0"/>
          <w:numId w:val="1014"/>
        </w:numPr>
      </w:pPr>
      <w:r>
        <w:t xml:space="preserve">Choose (</w:t>
      </w:r>
      <w:r>
        <w:rPr>
          <w:i/>
          <w:iCs/>
        </w:rPr>
        <w:t xml:space="preserve">) to balance audit freshness vs. overhead (e.g., 1h–24h). Embargo (</w:t>
      </w:r>
      <w:r>
        <w:t xml:space="preserve">) typically (</w:t>
      </w:r>
      <w:r>
        <w:t xml:space="preserve">) one epoch; higher for cross‑jurisdiction audits.</w:t>
      </w:r>
    </w:p>
    <w:p>
      <w:pPr>
        <w:pStyle w:val="Compact"/>
        <w:numPr>
          <w:ilvl w:val="0"/>
          <w:numId w:val="1014"/>
        </w:numPr>
      </w:pPr>
      <w:r>
        <w:t xml:space="preserve">Algorithm identifiers for (</w:t>
      </w:r>
      <w:r>
        <w:t xml:space="preserve">) should be OIDs or fixed‑digest descriptors.</w:t>
      </w:r>
    </w:p>
    <w:p>
      <w:pPr>
        <w:pStyle w:val="Compact"/>
        <w:numPr>
          <w:ilvl w:val="0"/>
          <w:numId w:val="1014"/>
        </w:numPr>
      </w:pPr>
      <w:r>
        <w:t xml:space="preserve">Attestations may use SGX/DCAP, TrustZone‑based quotes, or M‑of‑N HSM aggregates.</w:t>
      </w:r>
    </w:p>
    <w:p>
      <w:pPr>
        <w:pStyle w:val="Compact"/>
        <w:numPr>
          <w:ilvl w:val="0"/>
          <w:numId w:val="1014"/>
        </w:numPr>
      </w:pPr>
      <w:r>
        <w:t xml:space="preserve">Receipts serialized in CBOR/ASN.1 with deterministic field ordering for stable hashing.</w:t>
      </w:r>
    </w:p>
    <w:p>
      <w:r>
        <w:pict>
          <v:rect style="width:0;height:1.5pt" o:hralign="center" o:hrstd="t" o:hr="t"/>
        </w:pict>
      </w:r>
    </w:p>
    <w:bookmarkEnd w:id="49"/>
    <w:bookmarkStart w:id="50" w:name="compliance-mapping-sketch"/>
    <w:p>
      <w:pPr>
        <w:pStyle w:val="Heading2"/>
      </w:pPr>
      <w:r>
        <w:t xml:space="preserve">12. Compliance Mapping (sketch)</w:t>
      </w:r>
    </w:p>
    <w:p>
      <w:pPr>
        <w:pStyle w:val="Compact"/>
        <w:numPr>
          <w:ilvl w:val="0"/>
          <w:numId w:val="1015"/>
        </w:numPr>
      </w:pPr>
      <w:r>
        <w:t xml:space="preserve">Per‑asset receipts meet per‑record penalty granularity.</w:t>
      </w:r>
    </w:p>
    <w:p>
      <w:pPr>
        <w:pStyle w:val="Compact"/>
        <w:numPr>
          <w:ilvl w:val="0"/>
          <w:numId w:val="1015"/>
        </w:numPr>
      </w:pPr>
      <w:r>
        <w:t xml:space="preserve">Dual accumulators implement jurisdictional separation while preserving global consistency.</w:t>
      </w:r>
    </w:p>
    <w:p>
      <w:pPr>
        <w:pStyle w:val="Compact"/>
        <w:numPr>
          <w:ilvl w:val="0"/>
          <w:numId w:val="1015"/>
        </w:numPr>
      </w:pPr>
      <w:r>
        <w:t xml:space="preserve">Quantum‑safe migration receipts provide dated, tamper‑evident evidence of retirement and adoption.</w:t>
      </w:r>
    </w:p>
    <w:p>
      <w:r>
        <w:pict>
          <v:rect style="width:0;height:1.5pt" o:hralign="center" o:hrstd="t" o:hr="t"/>
        </w:pict>
      </w:r>
    </w:p>
    <w:bookmarkEnd w:id="50"/>
    <w:bookmarkStart w:id="51" w:name="summary-of-assumptions"/>
    <w:p>
      <w:pPr>
        <w:pStyle w:val="Heading2"/>
      </w:pPr>
      <w:r>
        <w:t xml:space="preserve">13. Summary of Assumptions</w:t>
      </w:r>
    </w:p>
    <w:p>
      <w:pPr>
        <w:pStyle w:val="Compact"/>
        <w:numPr>
          <w:ilvl w:val="0"/>
          <w:numId w:val="1016"/>
        </w:numPr>
      </w:pPr>
      <w:r>
        <w:t xml:space="preserve">CRHF security of (H); PRF security of HKDF; EUF‑CMA signatures for attestations; append‑only transparency of anchors (CT/logs) with publicly verifiable inclusion/consistency proofs; correct, irreversible zeroization within TEE/HSM environments.</w:t>
      </w:r>
    </w:p>
    <w:p>
      <w:r>
        <w:pict>
          <v:rect style="width:0;height:1.5pt" o:hralign="center" o:hrstd="t" o:hr="t"/>
        </w:pict>
      </w:r>
    </w:p>
    <w:bookmarkEnd w:id="51"/>
    <w:bookmarkStart w:id="52" w:name="expected-properties"/>
    <w:p>
      <w:pPr>
        <w:pStyle w:val="Heading2"/>
      </w:pPr>
      <w:r>
        <w:t xml:space="preserve">14. Expected Properties</w:t>
      </w:r>
    </w:p>
    <w:p>
      <w:pPr>
        <w:pStyle w:val="Compact"/>
        <w:numPr>
          <w:ilvl w:val="0"/>
          <w:numId w:val="1017"/>
        </w:numPr>
      </w:pPr>
      <w:r>
        <w:rPr>
          <w:b/>
          <w:bCs/>
        </w:rPr>
        <w:t xml:space="preserve">Irreversibility:</w:t>
      </w:r>
      <w:r>
        <w:t xml:space="preserve"> </w:t>
      </w:r>
      <w:r>
        <w:t xml:space="preserve">destroying (</w:t>
      </w:r>
      <w:r>
        <w:rPr>
          <w:i/>
          <w:iCs/>
        </w:rPr>
        <w:t xml:space="preserve">i) renders all (</w:t>
      </w:r>
      <w:r>
        <w:t xml:space="preserve">{</w:t>
      </w:r>
      <w:r>
        <w:t xml:space="preserve">,i,</w:t>
      </w:r>
      <w:r>
        <w:t xml:space="preserve">}) unrecoverable.</w:t>
      </w:r>
    </w:p>
    <w:p>
      <w:pPr>
        <w:pStyle w:val="Compact"/>
        <w:numPr>
          <w:ilvl w:val="0"/>
          <w:numId w:val="1017"/>
        </w:numPr>
      </w:pPr>
      <w:r>
        <w:rPr>
          <w:b/>
          <w:bCs/>
        </w:rPr>
        <w:t xml:space="preserve">Auditability:</w:t>
      </w:r>
      <w:r>
        <w:t xml:space="preserve"> </w:t>
      </w:r>
      <w:r>
        <w:t xml:space="preserve">receipts verify with only public data and disclosed salts.</w:t>
      </w:r>
    </w:p>
    <w:p>
      <w:pPr>
        <w:pStyle w:val="Compact"/>
        <w:numPr>
          <w:ilvl w:val="0"/>
          <w:numId w:val="1017"/>
        </w:numPr>
      </w:pPr>
      <w:r>
        <w:rPr>
          <w:b/>
          <w:bCs/>
        </w:rPr>
        <w:t xml:space="preserve">Non‑equivocation:</w:t>
      </w:r>
      <w:r>
        <w:t xml:space="preserve"> </w:t>
      </w:r>
      <w:r>
        <w:t xml:space="preserve">cross‑accumulator conflicts are either impossible or publicly detectable.</w:t>
      </w:r>
    </w:p>
    <w:p>
      <w:pPr>
        <w:pStyle w:val="Compact"/>
        <w:numPr>
          <w:ilvl w:val="0"/>
          <w:numId w:val="1017"/>
        </w:numPr>
      </w:pPr>
      <w:r>
        <w:rPr>
          <w:b/>
          <w:bCs/>
        </w:rPr>
        <w:t xml:space="preserve">Content‑opacity:</w:t>
      </w:r>
      <w:r>
        <w:t xml:space="preserve"> </w:t>
      </w:r>
      <w:r>
        <w:t xml:space="preserve">no asset contents are revealed in receipts.</w:t>
      </w:r>
    </w:p>
    <w:p>
      <w:r>
        <w:pict>
          <v:rect style="width:0;height:1.5pt" o:hralign="center" o:hrstd="t" o:hr="t"/>
        </w:pict>
      </w:r>
    </w:p>
    <w:p>
      <w:pPr>
        <w:pStyle w:val="FirstParagraph"/>
      </w:pPr>
      <w:r>
        <w:rPr>
          <w:i/>
          <w:iCs/>
        </w:rPr>
        <w:t xml:space="preserve">End of v1.0.</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2025-09-23T16:11:49Z</dcterms:created>
  <dcterms:modified xsi:type="dcterms:W3CDTF">2025-09-23T16:11:49Z</dcterms:modified>
</cp:coreProperties>
</file>

<file path=docProps/custom.xml><?xml version="1.0" encoding="utf-8"?>
<Properties xmlns="http://schemas.openxmlformats.org/officeDocument/2006/custom-properties" xmlns:vt="http://schemas.openxmlformats.org/officeDocument/2006/docPropsVTypes"/>
</file>