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start"/>
        <w:rPr/>
      </w:pPr>
      <w:r>
        <w:rPr>
          <w:rStyle w:val="Strong"/>
        </w:rPr>
        <w:t>CSTP</w:t>
      </w:r>
      <w:r>
        <w:rPr>
          <w:rStyle w:val="Strong"/>
        </w:rPr>
        <w:t xml:space="preserve"> – TRANSITION STATE MODEL</w:t>
      </w:r>
    </w:p>
    <w:p>
      <w:pPr>
        <w:pStyle w:val="Normal"/>
        <w:bidi w:val="0"/>
        <w:spacing w:lineRule="auto" w:line="360"/>
        <w:jc w:val="start"/>
        <w:rPr/>
      </w:pPr>
      <w:r>
        <w:rPr>
          <w:rStyle w:val="Strong"/>
          <w:smallCaps/>
        </w:rPr>
        <w:t>Abstract</w:t>
      </w:r>
      <w:r>
        <w:rPr/>
        <w:br/>
        <w:t xml:space="preserve">Systems, methods, and computer-readable media are disclosed for cryptographically managing digital asset lifecycles by treating each state transition as a persistent cryptographic object. A transition-state is generated when a digital asset undergoes a one-way change, such as creation, migration, retention, or destruction. Each transition-state comprises a cryptographic commitment binding an asset identifier, epoch, and transition type, anchored in a tamper-evident Merkle accumulator and chained into a cumulative root sequence that prevents modification of prior records. Transition-states are verifiable independently of the digital assets they reference, enabling auditors to confirm lifecycle events without access to protected data. A destruction transition-state includes a null digest providing positive cryptographic evidence of non-existence. By elevating transitions to first-class states, the approach produces immutable lifecycle histories that align with regulatory requirements for auditability, erasure, and safety-critical assurance. </w:t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LibreOffice/25.8.1.1$Windows_X86_64 LibreOffice_project/54047653041915e595ad4e45cccea684809c77b5</Application>
  <AppVersion>15.0000</AppVersion>
  <Pages>1</Pages>
  <Words>138</Words>
  <Characters>957</Characters>
  <CharactersWithSpaces>1094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2025-09-20T11:53:05Z</dcterms:created>
  <dc:creator/>
  <dc:description/>
  <dc:language>en-US</dc:language>
  <cp:lastModifiedBy/>
  <dcterms:modified xsi:type="dcterms:W3CDTF">2025-09-21T21:43:32Z</dcterms:modified>
  <cp:revision>4</cp:revision>
  <dc:subject/>
  <dc:title/>
</cp:coreProperties>
</file>