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jc w:val="start"/>
        <w:rPr>
          <w:caps w:val="false"/>
          <w:smallCaps w:val="false"/>
        </w:rPr>
      </w:pPr>
      <w:r>
        <w:rPr>
          <w:b/>
          <w:bCs/>
          <w:caps w:val="false"/>
          <w:smallCaps w:val="false"/>
        </w:rPr>
        <w:t>CSTP – TRANSITION STATE MODEL</w:t>
      </w:r>
    </w:p>
    <w:p>
      <w:pPr>
        <w:pStyle w:val="BodyText"/>
        <w:bidi w:val="0"/>
        <w:spacing w:lineRule="auto" w:line="360"/>
        <w:jc w:val="start"/>
        <w:rPr>
          <w:caps w:val="false"/>
          <w:smallCaps w:val="false"/>
        </w:rPr>
      </w:pPr>
      <w:r>
        <w:rPr>
          <w:b/>
          <w:bCs/>
          <w:caps w:val="false"/>
          <w:smallCaps w:val="false"/>
        </w:rPr>
        <w:t>Cross-Reference to Related Applications</w:t>
      </w:r>
    </w:p>
    <w:p>
      <w:pPr>
        <w:pStyle w:val="BodyText"/>
        <w:bidi w:val="0"/>
        <w:spacing w:lineRule="auto" w:line="360"/>
        <w:jc w:val="start"/>
        <w:rPr/>
      </w:pPr>
      <w:r>
        <w:rPr>
          <w:b/>
          <w:bCs/>
          <w:caps w:val="false"/>
          <w:smallCaps w:val="false"/>
        </w:rPr>
        <w:t xml:space="preserve">[0001]    </w:t>
      </w:r>
      <w:r>
        <w:rPr>
          <w:caps w:val="false"/>
          <w:smallCaps w:val="false"/>
        </w:rPr>
        <w:t xml:space="preserve">This application is related to U.S. Patent Application entitled </w:t>
      </w:r>
      <w:r>
        <w:rPr>
          <w:rStyle w:val="Emphasis"/>
          <w:caps w:val="false"/>
          <w:smallCaps w:val="false"/>
        </w:rPr>
        <w:t>“CSTP – Core”</w:t>
      </w:r>
      <w:r>
        <w:rPr>
          <w:caps w:val="false"/>
          <w:smallCaps w:val="false"/>
        </w:rPr>
        <w:t xml:space="preserve"> and U.S. Patent Application entitled </w:t>
      </w:r>
      <w:r>
        <w:rPr>
          <w:rStyle w:val="Emphasis"/>
          <w:caps w:val="false"/>
          <w:smallCaps w:val="false"/>
        </w:rPr>
        <w:t>“CSTP – Graph Lifecycle,”</w:t>
      </w:r>
      <w:r>
        <w:rPr>
          <w:caps w:val="false"/>
          <w:smallCaps w:val="false"/>
        </w:rPr>
        <w:t xml:space="preserve"> each filed concurrently herewith. The entire disclosures of the foregoing applications are incorporated herein by reference.</w:t>
      </w:r>
    </w:p>
    <w:p>
      <w:pPr>
        <w:pStyle w:val="BodyText"/>
        <w:bidi w:val="0"/>
        <w:spacing w:lineRule="auto" w:line="360"/>
        <w:jc w:val="start"/>
        <w:rPr>
          <w:caps w:val="false"/>
          <w:smallCaps w:val="false"/>
        </w:rPr>
      </w:pPr>
      <w:r>
        <w:rPr>
          <w:b/>
          <w:bCs/>
          <w:caps w:val="false"/>
          <w:smallCaps w:val="false"/>
        </w:rPr>
        <w:t>Field of the Invention</w:t>
      </w:r>
    </w:p>
    <w:p>
      <w:pPr>
        <w:pStyle w:val="BodyText"/>
        <w:bidi w:val="0"/>
        <w:spacing w:lineRule="auto" w:line="360"/>
        <w:jc w:val="start"/>
        <w:rPr>
          <w:caps w:val="false"/>
          <w:smallCaps w:val="false"/>
        </w:rPr>
      </w:pPr>
      <w:r>
        <w:rPr>
          <w:b/>
          <w:bCs/>
          <w:caps w:val="false"/>
          <w:smallCaps w:val="false"/>
        </w:rPr>
        <w:t xml:space="preserve">[0002]    </w:t>
      </w:r>
      <w:r>
        <w:rPr>
          <w:caps w:val="false"/>
          <w:smallCaps w:val="false"/>
        </w:rPr>
        <w:t>The present invention relates generally to computer security and data governance, and more particularly to cryptographic techniques for managing digital asset lifecycles.</w:t>
      </w:r>
    </w:p>
    <w:p>
      <w:pPr>
        <w:pStyle w:val="BodyText"/>
        <w:bidi w:val="0"/>
        <w:spacing w:lineRule="auto" w:line="360"/>
        <w:jc w:val="start"/>
        <w:rPr>
          <w:caps w:val="false"/>
          <w:smallCaps w:val="false"/>
        </w:rPr>
      </w:pPr>
      <w:r>
        <w:rPr>
          <w:b/>
          <w:bCs/>
          <w:caps w:val="false"/>
          <w:smallCaps w:val="false"/>
        </w:rPr>
        <w:t>Background</w:t>
      </w:r>
    </w:p>
    <w:p>
      <w:pPr>
        <w:pStyle w:val="BodyText"/>
        <w:bidi w:val="0"/>
        <w:spacing w:lineRule="auto" w:line="360"/>
        <w:jc w:val="start"/>
        <w:rPr>
          <w:caps w:val="false"/>
          <w:smallCaps w:val="false"/>
        </w:rPr>
      </w:pPr>
      <w:r>
        <w:rPr>
          <w:b/>
          <w:bCs/>
          <w:caps w:val="false"/>
          <w:smallCaps w:val="false"/>
        </w:rPr>
        <w:t xml:space="preserve">[0003]    </w:t>
      </w:r>
      <w:r>
        <w:rPr>
          <w:caps w:val="false"/>
          <w:smallCaps w:val="false"/>
        </w:rPr>
        <w:t>Conventional compliance frameworks require organizations to demonstrate that digital assets have been created, retained, migrated, or destroyed in accordance with regulatory mandates. Existing systems typically treat transitions between asset states as ephemeral events that are inferred indirectly from logs, deletion records, or key management procedures. Such approaches are fragile: logs may be tampered with, deletion claims may be unverifiable, and regulators are forced to rely on trust rather than cryptographic proof. Moreover, prior art architectures emphasize the state of the asset (e.g., valid or destroyed) while neglecting the evidentiary value of the transition itself. This gap limits the ability to construct auditable lifecycle histories and complicates compliance with obligations such as data erasure “without undue delay,” cross-jurisdiction retention, and safety-critical authorization.</w:t>
      </w:r>
    </w:p>
    <w:p>
      <w:pPr>
        <w:pStyle w:val="BodyText"/>
        <w:bidi w:val="0"/>
        <w:spacing w:lineRule="auto" w:line="360"/>
        <w:jc w:val="start"/>
        <w:rPr>
          <w:caps w:val="false"/>
          <w:smallCaps w:val="false"/>
        </w:rPr>
      </w:pPr>
      <w:r>
        <w:rPr>
          <w:b/>
          <w:bCs/>
          <w:caps w:val="false"/>
          <w:smallCaps w:val="false"/>
        </w:rPr>
        <w:t>Summary of the Invention</w:t>
      </w:r>
    </w:p>
    <w:p>
      <w:pPr>
        <w:pStyle w:val="BodyText"/>
        <w:bidi w:val="0"/>
        <w:spacing w:lineRule="auto" w:line="360"/>
        <w:jc w:val="start"/>
        <w:rPr>
          <w:caps w:val="false"/>
          <w:smallCaps w:val="false"/>
        </w:rPr>
      </w:pPr>
      <w:r>
        <w:rPr>
          <w:b/>
          <w:bCs/>
          <w:caps w:val="false"/>
          <w:smallCaps w:val="false"/>
        </w:rPr>
        <w:t xml:space="preserve">[0004] </w:t>
      </w:r>
      <w:r>
        <w:rPr>
          <w:caps w:val="false"/>
          <w:smallCaps w:val="false"/>
        </w:rPr>
        <w:t xml:space="preserve">   The present invention addresses the foregoing deficiencies by introducing a transition-state model in which each change in the lifecycle of a digital asset is itself represented as a persistent cryptographic state. Instead of treating transitions as transient events or log entries, the invention generates a transition-state whenever an asset undergoes a one-way change, such as creation, migration, retention, or destruction.</w:t>
      </w:r>
    </w:p>
    <w:p>
      <w:pPr>
        <w:pStyle w:val="BodyText"/>
        <w:bidi w:val="0"/>
        <w:spacing w:lineRule="auto" w:line="360"/>
        <w:jc w:val="start"/>
        <w:rPr>
          <w:caps w:val="false"/>
          <w:smallCaps w:val="false"/>
        </w:rPr>
      </w:pPr>
      <w:r>
        <w:rPr>
          <w:b/>
          <w:bCs/>
          <w:caps w:val="false"/>
          <w:smallCaps w:val="false"/>
        </w:rPr>
        <w:t xml:space="preserve">[0005]    </w:t>
      </w:r>
      <w:r>
        <w:rPr>
          <w:caps w:val="false"/>
          <w:smallCaps w:val="false"/>
        </w:rPr>
        <w:t>Each transition-state includes:  A cryptographic commitment binding an asset identifier, an epoch, and a transition type;  A Merkle proof anchoring the commitment in a tamper-evident accumulator; and  a cumulative root chain linking successive transition-states to enforce unidirectional progression.</w:t>
      </w:r>
    </w:p>
    <w:p>
      <w:pPr>
        <w:pStyle w:val="BodyText"/>
        <w:bidi w:val="0"/>
        <w:spacing w:lineRule="auto" w:line="360"/>
        <w:jc w:val="start"/>
        <w:rPr>
          <w:caps w:val="false"/>
          <w:smallCaps w:val="false"/>
        </w:rPr>
      </w:pPr>
      <w:r>
        <w:rPr>
          <w:b/>
          <w:bCs/>
          <w:caps w:val="false"/>
          <w:smallCaps w:val="false"/>
        </w:rPr>
        <w:t xml:space="preserve">[0006]    </w:t>
      </w:r>
      <w:r>
        <w:rPr>
          <w:caps w:val="false"/>
          <w:smallCaps w:val="false"/>
        </w:rPr>
        <w:t>Because transition-states are immutable and independently verifiable, auditors can validate lifecycle events without accessing the underlying asset. A destruction transition-state includes a null digest that provides positive cryptographic evidence of non-existence. By elevating transitions to first-class states, the invention enables construction of immutable lifecycle histories that are composable across systems, align with regulatory requirements for auditability and erasure, and support threshold authorization in safety-critical domains.</w:t>
      </w:r>
    </w:p>
    <w:p>
      <w:pPr>
        <w:pStyle w:val="BodyText"/>
        <w:bidi w:val="0"/>
        <w:spacing w:lineRule="auto" w:line="360"/>
        <w:jc w:val="start"/>
        <w:rPr>
          <w:caps w:val="false"/>
          <w:smallCaps w:val="false"/>
        </w:rPr>
      </w:pPr>
      <w:r>
        <w:rPr>
          <w:b/>
          <w:bCs/>
          <w:caps w:val="false"/>
          <w:smallCaps w:val="false"/>
        </w:rPr>
        <w:t>Brief Description of the Drawings</w:t>
      </w:r>
    </w:p>
    <w:p>
      <w:pPr>
        <w:pStyle w:val="BodyText"/>
        <w:bidi w:val="0"/>
        <w:spacing w:lineRule="auto" w:line="360"/>
        <w:jc w:val="start"/>
        <w:rPr>
          <w:caps w:val="false"/>
          <w:smallCaps w:val="false"/>
        </w:rPr>
      </w:pPr>
      <w:r>
        <w:rPr>
          <w:b/>
          <w:bCs/>
          <w:caps w:val="false"/>
          <w:smallCaps w:val="false"/>
        </w:rPr>
        <w:t xml:space="preserve">[0007]    </w:t>
      </w:r>
      <w:r>
        <w:rPr>
          <w:caps w:val="false"/>
          <w:smallCaps w:val="false"/>
        </w:rPr>
        <w:t>FIG. 1 is a block diagram of a system architecture implementing transition-states as first-class cryptographic objects.</w:t>
        <w:br/>
      </w:r>
      <w:r>
        <w:rPr>
          <w:b/>
          <w:bCs/>
          <w:caps w:val="false"/>
          <w:smallCaps w:val="false"/>
        </w:rPr>
        <w:t xml:space="preserve">[0008]    </w:t>
      </w:r>
      <w:r>
        <w:rPr>
          <w:caps w:val="false"/>
          <w:smallCaps w:val="false"/>
        </w:rPr>
        <w:t>FIG. 2 is a sequence diagram illustrating creation of a transition-state for a lifecycle event.</w:t>
        <w:br/>
      </w:r>
      <w:r>
        <w:rPr>
          <w:b/>
          <w:bCs/>
          <w:caps w:val="false"/>
          <w:smallCaps w:val="false"/>
        </w:rPr>
        <w:t xml:space="preserve">[0009]    </w:t>
      </w:r>
      <w:r>
        <w:rPr>
          <w:caps w:val="false"/>
          <w:smallCaps w:val="false"/>
        </w:rPr>
        <w:t>FIG. 3 is a structural diagram of a destruction transition-state including a state-before digest and a null digest state-after.</w:t>
        <w:br/>
        <w:t>[</w:t>
      </w:r>
      <w:r>
        <w:rPr>
          <w:b/>
          <w:bCs/>
          <w:caps w:val="false"/>
          <w:smallCaps w:val="false"/>
        </w:rPr>
        <w:t xml:space="preserve">0010]    </w:t>
      </w:r>
      <w:r>
        <w:rPr>
          <w:caps w:val="false"/>
          <w:smallCaps w:val="false"/>
        </w:rPr>
        <w:t>FIG. 4 is a diagram of a cumulative root chain linking successive transition-states and enabling replay detection.</w:t>
        <w:br/>
      </w:r>
      <w:r>
        <w:rPr>
          <w:b/>
          <w:bCs/>
          <w:caps w:val="false"/>
          <w:smallCaps w:val="false"/>
        </w:rPr>
        <w:t xml:space="preserve">[0011]    </w:t>
      </w:r>
      <w:r>
        <w:rPr>
          <w:caps w:val="false"/>
          <w:smallCaps w:val="false"/>
        </w:rPr>
        <w:t>FIG. 5 is a diagram of parallel accumulators and jurisdiction-scoped anchors for cross-domain verification.</w:t>
        <w:br/>
      </w:r>
      <w:r>
        <w:rPr>
          <w:b/>
          <w:bCs/>
          <w:caps w:val="false"/>
          <w:smallCaps w:val="false"/>
        </w:rPr>
        <w:t xml:space="preserve">[0012]    </w:t>
      </w:r>
      <w:r>
        <w:rPr>
          <w:caps w:val="false"/>
          <w:smallCaps w:val="false"/>
        </w:rPr>
        <w:t>FIG. 6 is a flow diagram of M-of-N threshold authorization for safety-critical transition-states.</w:t>
        <w:br/>
      </w:r>
      <w:r>
        <w:rPr>
          <w:b/>
          <w:bCs/>
          <w:caps w:val="false"/>
          <w:smallCaps w:val="false"/>
        </w:rPr>
        <w:t xml:space="preserve">[0013]    </w:t>
      </w:r>
      <w:r>
        <w:rPr>
          <w:caps w:val="false"/>
          <w:smallCaps w:val="false"/>
        </w:rPr>
        <w:t>FIG. 7 is a schematic of a migration transition-state from a quantum-vulnerable scheme to a quantum-safe scheme.</w:t>
        <w:br/>
      </w:r>
      <w:r>
        <w:rPr>
          <w:b/>
          <w:bCs/>
          <w:caps w:val="false"/>
          <w:smallCaps w:val="false"/>
        </w:rPr>
        <w:t xml:space="preserve">[0014]    </w:t>
      </w:r>
      <w:r>
        <w:rPr>
          <w:caps w:val="false"/>
          <w:smallCaps w:val="false"/>
        </w:rPr>
        <w:t>FIG. 8 is a verifier flow for independent validation of a transition-state without asset access.</w:t>
        <w:br/>
      </w:r>
      <w:r>
        <w:rPr>
          <w:b/>
          <w:bCs/>
          <w:caps w:val="false"/>
          <w:smallCaps w:val="false"/>
        </w:rPr>
        <w:t xml:space="preserve">[0015]    </w:t>
      </w:r>
      <w:r>
        <w:rPr>
          <w:caps w:val="false"/>
          <w:smallCaps w:val="false"/>
        </w:rPr>
        <w:t>FIG. 9 is a data-structure layout for a transition-state receipt, showing fields and encoding.</w:t>
      </w:r>
    </w:p>
    <w:p>
      <w:pPr>
        <w:pStyle w:val="BodyText"/>
        <w:bidi w:val="0"/>
        <w:spacing w:lineRule="auto" w:line="360"/>
        <w:jc w:val="start"/>
        <w:rPr>
          <w:caps w:val="false"/>
          <w:smallCaps w:val="false"/>
        </w:rPr>
      </w:pPr>
      <w:r>
        <w:rPr>
          <w:b/>
          <w:bCs/>
          <w:caps w:val="false"/>
          <w:smallCaps w:val="false"/>
        </w:rPr>
        <w:t>[0016]    List of Reference Numerals</w:t>
      </w:r>
    </w:p>
    <w:p>
      <w:pPr>
        <w:pStyle w:val="BodyText"/>
        <w:bidi w:val="0"/>
        <w:spacing w:lineRule="auto" w:line="360"/>
        <w:ind w:hanging="0" w:start="709"/>
        <w:jc w:val="start"/>
        <w:rPr>
          <w:caps w:val="false"/>
          <w:smallCaps w:val="false"/>
        </w:rPr>
      </w:pPr>
      <w:r>
        <w:rPr>
          <w:caps w:val="false"/>
          <w:smallCaps w:val="false"/>
        </w:rPr>
        <w:t>100 – Digital Asset</w:t>
        <w:br/>
        <w:t>110 – State Transition Engine</w:t>
        <w:br/>
        <w:t>120 – Verification Module</w:t>
        <w:br/>
        <w:t>130 – Commitment Constructor</w:t>
        <w:br/>
        <w:t>140 – Merkle Accumulator</w:t>
        <w:br/>
        <w:t>150 – Root-Chain Logger</w:t>
        <w:br/>
        <w:t>160 – Anchor Interface (transparency service)</w:t>
        <w:br/>
        <w:t>170 – Policy / Regulatory Basis Hash</w:t>
        <w:br/>
        <w:t>180 – Threshold Authorization Module</w:t>
        <w:br/>
        <w:t>190 – Receipt Store</w:t>
        <w:br/>
        <w:t>200 – Transition-State (object)</w:t>
        <w:br/>
        <w:t>210 – Commitment (asset_id ∥ epoch ∥ transition_type ∥ salt)</w:t>
        <w:br/>
        <w:t>220 – Merkle Path</w:t>
        <w:br/>
        <w:t>230 – Epoch Root</w:t>
        <w:br/>
        <w:t>240 – Cumulative Root Chain Value</w:t>
        <w:br/>
        <w:t>250 – Co-Signatures / Attestations</w:t>
        <w:br/>
        <w:t>260 – State-Before Digest</w:t>
        <w:br/>
        <w:t>270 – Null Digest (state-after)</w:t>
        <w:br/>
        <w:t>280 – Jurisdiction A Anchor</w:t>
        <w:br/>
        <w:t>285 – Jurisdiction B Anchor</w:t>
        <w:br/>
        <w:t>290 – Scheme Identifier (legacy / successor)</w:t>
      </w:r>
    </w:p>
    <w:p>
      <w:pPr>
        <w:pStyle w:val="BodyText"/>
        <w:bidi w:val="0"/>
        <w:spacing w:lineRule="auto" w:line="360"/>
        <w:jc w:val="start"/>
        <w:rPr>
          <w:caps w:val="false"/>
          <w:smallCaps w:val="false"/>
        </w:rPr>
      </w:pPr>
      <w:r>
        <w:rPr>
          <w:b/>
          <w:bCs/>
          <w:caps w:val="false"/>
          <w:smallCaps w:val="false"/>
        </w:rPr>
        <w:t>Detailed Description</w:t>
      </w:r>
    </w:p>
    <w:p>
      <w:pPr>
        <w:pStyle w:val="BodyText"/>
        <w:bidi w:val="0"/>
        <w:spacing w:lineRule="auto" w:line="360"/>
        <w:jc w:val="start"/>
        <w:rPr/>
      </w:pPr>
      <w:r>
        <w:rPr>
          <w:rStyle w:val="Strong"/>
          <w:caps w:val="false"/>
          <w:smallCaps w:val="false"/>
        </w:rPr>
        <w:t>Definitions and Core Concepts</w:t>
      </w:r>
    </w:p>
    <w:p>
      <w:pPr>
        <w:pStyle w:val="BodyText"/>
        <w:bidi w:val="0"/>
        <w:spacing w:lineRule="auto" w:line="360"/>
        <w:jc w:val="start"/>
        <w:rPr/>
      </w:pPr>
      <w:r>
        <w:rPr>
          <w:b/>
          <w:bCs/>
          <w:caps w:val="false"/>
          <w:smallCaps w:val="false"/>
        </w:rPr>
        <w:t>[0017]</w:t>
      </w:r>
      <w:r>
        <w:rPr>
          <w:caps w:val="false"/>
          <w:smallCaps w:val="false"/>
        </w:rPr>
        <w:t xml:space="preserve">    As used herein, “CSTP” refers to </w:t>
      </w:r>
      <w:r>
        <w:rPr>
          <w:rStyle w:val="Emphasis"/>
          <w:caps w:val="false"/>
          <w:smallCaps w:val="false"/>
        </w:rPr>
        <w:t>Cryptographic State Transition Proofs</w:t>
      </w:r>
      <w:r>
        <w:rPr>
          <w:caps w:val="false"/>
          <w:smallCaps w:val="false"/>
        </w:rPr>
        <w:t>, a family of systems and methods for representing digital asset lifecycle events as cryptographically verifiable states. The present application describes the Transition-State Model, which elevates transitions themselves to first-class cryptographic states, producing immutable lifecycle records.</w:t>
      </w:r>
    </w:p>
    <w:p>
      <w:pPr>
        <w:pStyle w:val="BodyText"/>
        <w:bidi w:val="0"/>
        <w:spacing w:lineRule="auto" w:line="360"/>
        <w:jc w:val="start"/>
        <w:rPr>
          <w:caps w:val="false"/>
          <w:smallCaps w:val="false"/>
        </w:rPr>
      </w:pPr>
      <w:r>
        <w:rPr>
          <w:b/>
          <w:bCs/>
          <w:caps w:val="false"/>
          <w:smallCaps w:val="false"/>
        </w:rPr>
        <w:t xml:space="preserve">[0018]  </w:t>
      </w:r>
      <w:r>
        <w:rPr>
          <w:caps w:val="false"/>
          <w:smallCaps w:val="false"/>
        </w:rPr>
        <w:t xml:space="preserve">  The following description sets forth systems, methods, and computer-readable media for representing digital asset lifecycles as chains of transition-states. While the Core Architecture application describes cryptographic state transition proofs anchored by forward-secure key hierarchies, the present application elevates the transition itself to a first-class state object.</w:t>
      </w:r>
    </w:p>
    <w:p>
      <w:pPr>
        <w:pStyle w:val="BodyText"/>
        <w:bidi w:val="0"/>
        <w:spacing w:lineRule="auto" w:line="360"/>
        <w:jc w:val="start"/>
        <w:rPr>
          <w:caps w:val="false"/>
          <w:smallCaps w:val="false"/>
        </w:rPr>
      </w:pPr>
      <w:r>
        <w:rPr>
          <w:b/>
          <w:bCs/>
          <w:caps w:val="false"/>
          <w:smallCaps w:val="false"/>
        </w:rPr>
        <w:t xml:space="preserve">[0019] </w:t>
      </w:r>
      <w:r>
        <w:rPr>
          <w:caps w:val="false"/>
          <w:smallCaps w:val="false"/>
        </w:rPr>
        <w:t xml:space="preserve">   A transition-state is defined as a persistent cryptographic record corresponding to a one-way change in the lifecycle of a digital asset. Examples of transitions include, without limitation: creation, migration from one cryptographic scheme to another, retention within a defined epoch, and destruction upon expiry. Each transition-state persists independently of the asset’s underlying data, enabling proof of lifecycle events without requiring disclosure or continued existence of the digital asset.</w:t>
      </w:r>
    </w:p>
    <w:p>
      <w:pPr>
        <w:pStyle w:val="BodyText"/>
        <w:bidi w:val="0"/>
        <w:spacing w:lineRule="auto" w:line="360"/>
        <w:jc w:val="start"/>
        <w:rPr>
          <w:caps w:val="false"/>
          <w:smallCaps w:val="false"/>
        </w:rPr>
      </w:pPr>
      <w:r>
        <w:rPr>
          <w:b/>
          <w:bCs/>
          <w:caps w:val="false"/>
          <w:smallCaps w:val="false"/>
        </w:rPr>
        <w:t xml:space="preserve">[0020] </w:t>
      </w:r>
      <w:r>
        <w:rPr>
          <w:caps w:val="false"/>
          <w:smallCaps w:val="false"/>
        </w:rPr>
        <w:t xml:space="preserve">   In one aspect, transition-states are treated as first-class entities within the system architecture. As used herein, “first-class” denotes that transition-states are independently addressable, queryable, and verifiable cryptographic objects with the same persistence guarantees as the assets they describe. Unlike transient events or operational logs, a transition-state persists as an immutable record and may serve directly as an audit object, compliance artifact, or chain element in a lifecycle history.</w:t>
      </w:r>
    </w:p>
    <w:p>
      <w:pPr>
        <w:pStyle w:val="BodyText"/>
        <w:bidi w:val="0"/>
        <w:spacing w:lineRule="auto" w:line="360"/>
        <w:jc w:val="start"/>
        <w:rPr>
          <w:caps w:val="false"/>
          <w:smallCaps w:val="false"/>
        </w:rPr>
      </w:pPr>
      <w:r>
        <w:rPr>
          <w:b/>
          <w:bCs/>
          <w:caps w:val="false"/>
          <w:smallCaps w:val="false"/>
        </w:rPr>
        <w:t xml:space="preserve">[0021] </w:t>
      </w:r>
      <w:r>
        <w:rPr>
          <w:caps w:val="false"/>
          <w:smallCaps w:val="false"/>
        </w:rPr>
        <w:t xml:space="preserve">   In one embodiment, a transition-state comprises: (i) a cryptographic commitment binding an asset identifier, a transition type, and an epoch; (ii) a Merkle proof demonstrating inclusion of the commitment in a tamper-evident accumulator; and (iii) a cumulative hash chain linking successive transition-states to prior roots, enforcing unidirectional progression.</w:t>
      </w:r>
    </w:p>
    <w:p>
      <w:pPr>
        <w:pStyle w:val="BodyText"/>
        <w:bidi w:val="0"/>
        <w:spacing w:lineRule="auto" w:line="360"/>
        <w:jc w:val="start"/>
        <w:rPr>
          <w:caps w:val="false"/>
          <w:smallCaps w:val="false"/>
        </w:rPr>
      </w:pPr>
      <w:r>
        <w:rPr>
          <w:b/>
          <w:bCs/>
          <w:caps w:val="false"/>
          <w:smallCaps w:val="false"/>
        </w:rPr>
        <w:t xml:space="preserve">[0022] </w:t>
      </w:r>
      <w:r>
        <w:rPr>
          <w:caps w:val="false"/>
          <w:smallCaps w:val="false"/>
        </w:rPr>
        <w:t xml:space="preserve">   Transition-states are immutable: once recorded, they cannot be reversed or modified. This immutability provides auditors with a positive evidentiary trail of lifecycle events. For example, a destruction transition-state may include a state-before digest of the valid asset and a state-after digest comprising a null digest, which provides affirmative cryptographic proof of non-existence.</w:t>
      </w:r>
    </w:p>
    <w:p>
      <w:pPr>
        <w:pStyle w:val="BodyText"/>
        <w:bidi w:val="0"/>
        <w:spacing w:lineRule="auto" w:line="360"/>
        <w:jc w:val="start"/>
        <w:rPr>
          <w:caps w:val="false"/>
          <w:smallCaps w:val="false"/>
        </w:rPr>
      </w:pPr>
      <w:r>
        <w:rPr>
          <w:b/>
          <w:bCs/>
          <w:caps w:val="false"/>
          <w:smallCaps w:val="false"/>
        </w:rPr>
        <w:t>[0023]</w:t>
      </w:r>
      <w:r>
        <w:rPr>
          <w:caps w:val="false"/>
          <w:smallCaps w:val="false"/>
        </w:rPr>
        <w:t xml:space="preserve">    The invention thereby shifts the evidentiary burden from trust-based assertions (e.g., “the file was deleted”) to cryptographic verification of transitions themselves. This approach supports regulatory compliance regimes requiring immediate erasure, cross-jurisdiction auditability, and composable lifecycle histories across distributed systems.</w:t>
      </w:r>
    </w:p>
    <w:p>
      <w:pPr>
        <w:pStyle w:val="BodyText"/>
        <w:bidi w:val="0"/>
        <w:spacing w:lineRule="auto" w:line="360"/>
        <w:jc w:val="start"/>
        <w:rPr/>
      </w:pPr>
      <w:r>
        <w:rPr>
          <w:rStyle w:val="Strong"/>
          <w:caps w:val="false"/>
          <w:smallCaps w:val="false"/>
        </w:rPr>
        <w:t>Technical Parameters</w:t>
      </w:r>
    </w:p>
    <w:p>
      <w:pPr>
        <w:pStyle w:val="BodyText"/>
        <w:bidi w:val="0"/>
        <w:spacing w:lineRule="auto" w:line="360"/>
        <w:jc w:val="start"/>
        <w:rPr>
          <w:caps w:val="false"/>
          <w:smallCaps w:val="false"/>
        </w:rPr>
      </w:pPr>
      <w:r>
        <w:rPr>
          <w:b/>
          <w:bCs/>
          <w:caps w:val="false"/>
          <w:smallCaps w:val="false"/>
        </w:rPr>
        <w:t>[0024]</w:t>
      </w:r>
      <w:r>
        <w:rPr>
          <w:caps w:val="false"/>
          <w:smallCaps w:val="false"/>
        </w:rPr>
        <w:t xml:space="preserve">    Hash Functions for Commitments. Commitments 210 are constructed using collision-resistant hash functions such as SHA-256, SHA-3, or quantum-safe alternatives. The choice of hash function determines the security parameter λ, which bounds the probability of a successful collision or preimage attack. Commitments may also be salted with per-asset random values to prevent dictionary enumeration.</w:t>
      </w:r>
    </w:p>
    <w:p>
      <w:pPr>
        <w:pStyle w:val="BodyText"/>
        <w:bidi w:val="0"/>
        <w:spacing w:lineRule="auto" w:line="360"/>
        <w:jc w:val="start"/>
        <w:rPr>
          <w:caps w:val="false"/>
          <w:smallCaps w:val="false"/>
        </w:rPr>
      </w:pPr>
      <w:r>
        <w:rPr>
          <w:b/>
          <w:bCs/>
          <w:caps w:val="false"/>
          <w:smallCaps w:val="false"/>
        </w:rPr>
        <w:t xml:space="preserve">[0025] </w:t>
      </w:r>
      <w:r>
        <w:rPr>
          <w:caps w:val="false"/>
          <w:smallCaps w:val="false"/>
        </w:rPr>
        <w:t xml:space="preserve">   Merkle Tree Parameters. The Merkle accumulator 140 may be implemented as a binary tree, k-ary tree, or other authenticated data structure. In one embodiment, a balanced binary tree of depth d supports up to 2ᵈ commitments per epoch, allowing implementers to select tree depth in accordance with expected transaction volume. Proof complexity is logarithmic in the number of commitments, so for one million transitions, a Merkle path requires approximately 20 hash computations.</w:t>
      </w:r>
    </w:p>
    <w:p>
      <w:pPr>
        <w:pStyle w:val="BodyText"/>
        <w:bidi w:val="0"/>
        <w:spacing w:lineRule="auto" w:line="360"/>
        <w:jc w:val="start"/>
        <w:rPr>
          <w:caps w:val="false"/>
          <w:smallCaps w:val="false"/>
        </w:rPr>
      </w:pPr>
      <w:r>
        <w:rPr>
          <w:b/>
          <w:bCs/>
          <w:caps w:val="false"/>
          <w:smallCaps w:val="false"/>
        </w:rPr>
        <w:t xml:space="preserve">[0026]  </w:t>
      </w:r>
      <w:r>
        <w:rPr>
          <w:caps w:val="false"/>
          <w:smallCaps w:val="false"/>
        </w:rPr>
        <w:t xml:space="preserve">  Timing for Atomic Transition Enforcement. Atomicity may be enforced by ensuring that a transition either completes fully within a bounded interval T or fails without effect. In one embodiment, the state transition engine 110 coordinates timing via database transactions or distributed consensus rounds, with timeouts ensuring that intermediate states are discarded. Hardware-enforced state machines may provide stricter guarantees by preventing system rollback outside of authorized timing windows.</w:t>
      </w:r>
    </w:p>
    <w:p>
      <w:pPr>
        <w:pStyle w:val="BodyText"/>
        <w:bidi w:val="0"/>
        <w:spacing w:lineRule="auto" w:line="360"/>
        <w:jc w:val="start"/>
        <w:rPr>
          <w:caps w:val="false"/>
          <w:smallCaps w:val="false"/>
        </w:rPr>
      </w:pPr>
      <w:r>
        <w:rPr>
          <w:b/>
          <w:bCs/>
          <w:caps w:val="false"/>
          <w:smallCaps w:val="false"/>
        </w:rPr>
        <w:t xml:space="preserve">[0027] </w:t>
      </w:r>
      <w:r>
        <w:rPr>
          <w:caps w:val="false"/>
          <w:smallCaps w:val="false"/>
        </w:rPr>
        <w:t xml:space="preserve">   Null Digest Construction. A null digest 270 is defined as a reserved constant value not achievable through normal hashing of asset data. In one embodiment, the null digest is set to SHA-256(0x00), and verifiers confirm that this value only appears in destruction transition-states. The canonical form of the null digest prevents ambiguity between “asset never committed” and “asset destroyed,” ensuring that a destruction event provides positive, non-colliding proof of non-existence.</w:t>
      </w:r>
    </w:p>
    <w:p>
      <w:pPr>
        <w:pStyle w:val="BodyText"/>
        <w:bidi w:val="0"/>
        <w:spacing w:lineRule="auto" w:line="360"/>
        <w:jc w:val="start"/>
        <w:rPr/>
      </w:pPr>
      <w:r>
        <w:rPr>
          <w:rStyle w:val="Strong"/>
          <w:caps w:val="false"/>
          <w:smallCaps w:val="false"/>
        </w:rPr>
        <w:t>System Embodiments</w:t>
      </w:r>
    </w:p>
    <w:p>
      <w:pPr>
        <w:pStyle w:val="BodyText"/>
        <w:bidi w:val="0"/>
        <w:spacing w:lineRule="auto" w:line="360"/>
        <w:jc w:val="start"/>
        <w:rPr>
          <w:caps w:val="false"/>
          <w:smallCaps w:val="false"/>
        </w:rPr>
      </w:pPr>
      <w:r>
        <w:rPr>
          <w:b/>
          <w:bCs/>
          <w:caps w:val="false"/>
          <w:smallCaps w:val="false"/>
        </w:rPr>
        <w:t xml:space="preserve">[0028] </w:t>
      </w:r>
      <w:r>
        <w:rPr>
          <w:caps w:val="false"/>
          <w:smallCaps w:val="false"/>
        </w:rPr>
        <w:t xml:space="preserve">   In one embodiment, the invention provides a system for cryptographically managing digital asset lifecycles. The system comprises a state transition engine, a verification module, and associated storage.</w:t>
      </w:r>
    </w:p>
    <w:p>
      <w:pPr>
        <w:pStyle w:val="BodyText"/>
        <w:bidi w:val="0"/>
        <w:spacing w:lineRule="auto" w:line="360"/>
        <w:jc w:val="start"/>
        <w:rPr>
          <w:caps w:val="false"/>
          <w:smallCaps w:val="false"/>
        </w:rPr>
      </w:pPr>
      <w:r>
        <w:rPr>
          <w:b/>
          <w:bCs/>
          <w:caps w:val="false"/>
          <w:smallCaps w:val="false"/>
        </w:rPr>
        <w:t xml:space="preserve">[0029] </w:t>
      </w:r>
      <w:r>
        <w:rPr>
          <w:caps w:val="false"/>
          <w:smallCaps w:val="false"/>
        </w:rPr>
        <w:t xml:space="preserve">   The state transition engine transforms lifecycle events into persistent cryptographic states. Upon detection of a transition such as creation, migration, retention, or destruction, the engine generates a transition-state that includes: (i) a cryptographic commitment binding an asset identifier, transition type, and epoch; (ii) a Merkle proof demonstrating inclusion of the commitment within a tamper-evident accumulator; and (iii) a cumulative root chain linking the accumulator root to prior roots.</w:t>
      </w:r>
    </w:p>
    <w:p>
      <w:pPr>
        <w:pStyle w:val="BodyText"/>
        <w:bidi w:val="0"/>
        <w:spacing w:lineRule="auto" w:line="360"/>
        <w:jc w:val="start"/>
        <w:rPr>
          <w:caps w:val="false"/>
          <w:smallCaps w:val="false"/>
        </w:rPr>
      </w:pPr>
      <w:r>
        <w:rPr>
          <w:b/>
          <w:bCs/>
          <w:caps w:val="false"/>
          <w:smallCaps w:val="false"/>
        </w:rPr>
        <w:t xml:space="preserve">[0030] </w:t>
      </w:r>
      <w:r>
        <w:rPr>
          <w:caps w:val="false"/>
          <w:smallCaps w:val="false"/>
        </w:rPr>
        <w:t xml:space="preserve">   The verification module recomputes Merkle roots and validates cumulative root chains from received transition-state receipts. This validation process does not require access to the digital asset itself, thereby preserving confidentiality while allowing independent audit.</w:t>
      </w:r>
    </w:p>
    <w:p>
      <w:pPr>
        <w:pStyle w:val="BodyText"/>
        <w:bidi w:val="0"/>
        <w:spacing w:lineRule="auto" w:line="360"/>
        <w:jc w:val="start"/>
        <w:rPr>
          <w:caps w:val="false"/>
          <w:smallCaps w:val="false"/>
        </w:rPr>
      </w:pPr>
      <w:r>
        <w:rPr>
          <w:b/>
          <w:bCs/>
          <w:caps w:val="false"/>
          <w:smallCaps w:val="false"/>
        </w:rPr>
        <w:t xml:space="preserve">[0031]   </w:t>
      </w:r>
      <w:r>
        <w:rPr>
          <w:caps w:val="false"/>
          <w:smallCaps w:val="false"/>
        </w:rPr>
        <w:t xml:space="preserve"> The system enforces unidirectional progression: once a transition-state is created, neither it nor any preceding state can be reversed. In one embodiment, atomicity is enforced, preventing intermediate or partial transitions. In another embodiment, transition-states are chained by cumulative root links to produce an immutable lifecycle history.</w:t>
      </w:r>
    </w:p>
    <w:p>
      <w:pPr>
        <w:pStyle w:val="BodyText"/>
        <w:bidi w:val="0"/>
        <w:spacing w:lineRule="auto" w:line="360"/>
        <w:jc w:val="start"/>
        <w:rPr>
          <w:caps w:val="false"/>
          <w:smallCaps w:val="false"/>
        </w:rPr>
      </w:pPr>
      <w:r>
        <w:rPr>
          <w:b/>
          <w:bCs/>
          <w:caps w:val="false"/>
          <w:smallCaps w:val="false"/>
        </w:rPr>
        <w:t xml:space="preserve">[0032] </w:t>
      </w:r>
      <w:r>
        <w:rPr>
          <w:caps w:val="false"/>
          <w:smallCaps w:val="false"/>
        </w:rPr>
        <w:t xml:space="preserve">   For destruction events, the system generates a transition-state including a state-before digest representing the valid asset and a state-after digest comprising a null digest. The null digest provides positive cryptographic evidence that the asset has ceased to exist. In safety-critical systems, authorization of such transition-states may require M-of-N co-signatures from independent modules.</w:t>
      </w:r>
    </w:p>
    <w:p>
      <w:pPr>
        <w:pStyle w:val="BodyText"/>
        <w:bidi w:val="0"/>
        <w:spacing w:lineRule="auto" w:line="360"/>
        <w:jc w:val="start"/>
        <w:rPr>
          <w:caps w:val="false"/>
          <w:smallCaps w:val="false"/>
        </w:rPr>
      </w:pPr>
      <w:r>
        <w:rPr>
          <w:b/>
          <w:bCs/>
          <w:caps w:val="false"/>
          <w:smallCaps w:val="false"/>
        </w:rPr>
        <w:t xml:space="preserve">[0033] </w:t>
      </w:r>
      <w:r>
        <w:rPr>
          <w:caps w:val="false"/>
          <w:smallCaps w:val="false"/>
        </w:rPr>
        <w:t xml:space="preserve">   In some embodiments, the cryptographic commitment further comprises a hash of a legal or regulatory basis, enabling verifiers to confirm that each transition is tied to a governing policy or mandate.</w:t>
      </w:r>
    </w:p>
    <w:p>
      <w:pPr>
        <w:pStyle w:val="BodyText"/>
        <w:bidi w:val="0"/>
        <w:spacing w:lineRule="auto" w:line="360"/>
        <w:jc w:val="start"/>
        <w:rPr/>
      </w:pPr>
      <w:r>
        <w:rPr>
          <w:rStyle w:val="Strong"/>
          <w:caps w:val="false"/>
          <w:smallCaps w:val="false"/>
        </w:rPr>
        <w:t>Method Embodiments</w:t>
      </w:r>
    </w:p>
    <w:p>
      <w:pPr>
        <w:pStyle w:val="BodyText"/>
        <w:bidi w:val="0"/>
        <w:spacing w:lineRule="auto" w:line="360"/>
        <w:jc w:val="start"/>
        <w:rPr>
          <w:caps w:val="false"/>
          <w:smallCaps w:val="false"/>
        </w:rPr>
      </w:pPr>
      <w:r>
        <w:rPr>
          <w:b/>
          <w:bCs/>
          <w:caps w:val="false"/>
          <w:smallCaps w:val="false"/>
        </w:rPr>
        <w:t xml:space="preserve">[0034]  </w:t>
      </w:r>
      <w:r>
        <w:rPr>
          <w:caps w:val="false"/>
          <w:smallCaps w:val="false"/>
        </w:rPr>
        <w:t xml:space="preserve">  In one embodiment, a computer-implemented method is provided for managing digital assets in a transition-state model. The method begins by representing the digital asset in a preceding state.</w:t>
      </w:r>
    </w:p>
    <w:p>
      <w:pPr>
        <w:pStyle w:val="BodyText"/>
        <w:bidi w:val="0"/>
        <w:spacing w:lineRule="auto" w:line="360"/>
        <w:jc w:val="start"/>
        <w:rPr>
          <w:caps w:val="false"/>
          <w:smallCaps w:val="false"/>
        </w:rPr>
      </w:pPr>
      <w:r>
        <w:rPr>
          <w:b/>
          <w:bCs/>
          <w:caps w:val="false"/>
          <w:smallCaps w:val="false"/>
        </w:rPr>
        <w:t xml:space="preserve">[0035] </w:t>
      </w:r>
      <w:r>
        <w:rPr>
          <w:caps w:val="false"/>
          <w:smallCaps w:val="false"/>
        </w:rPr>
        <w:t xml:space="preserve">   A transition is performed that enforces a one-way change in the condition of the asset, such as destruction upon expiry or migration to a quantum-safe scheme. The method then generates a transition-state receipt comprising at least a commitment, a Merkle path to the commitment, and a cumulative root chain linking the Merkle root into prior records.</w:t>
      </w:r>
    </w:p>
    <w:p>
      <w:pPr>
        <w:pStyle w:val="BodyText"/>
        <w:bidi w:val="0"/>
        <w:spacing w:lineRule="auto" w:line="360"/>
        <w:jc w:val="start"/>
        <w:rPr>
          <w:caps w:val="false"/>
          <w:smallCaps w:val="false"/>
        </w:rPr>
      </w:pPr>
      <w:r>
        <w:rPr>
          <w:b/>
          <w:bCs/>
          <w:caps w:val="false"/>
          <w:smallCaps w:val="false"/>
        </w:rPr>
        <w:t xml:space="preserve">[0036] </w:t>
      </w:r>
      <w:r>
        <w:rPr>
          <w:caps w:val="false"/>
          <w:smallCaps w:val="false"/>
        </w:rPr>
        <w:t xml:space="preserve">   The asset is then represented in a succeeding state, completing the one-way transition. Because the transition-state persists as an immutable cryptographic record, subsequent audit does not require reference to the asset itself.</w:t>
      </w:r>
    </w:p>
    <w:p>
      <w:pPr>
        <w:pStyle w:val="BodyText"/>
        <w:bidi w:val="0"/>
        <w:spacing w:lineRule="auto" w:line="360"/>
        <w:jc w:val="start"/>
        <w:rPr>
          <w:caps w:val="false"/>
          <w:smallCaps w:val="false"/>
        </w:rPr>
      </w:pPr>
      <w:r>
        <w:rPr>
          <w:b/>
          <w:bCs/>
          <w:caps w:val="false"/>
          <w:smallCaps w:val="false"/>
        </w:rPr>
        <w:t>[0037]</w:t>
      </w:r>
      <w:r>
        <w:rPr>
          <w:caps w:val="false"/>
          <w:smallCaps w:val="false"/>
        </w:rPr>
        <w:t xml:space="preserve">    The method enforces atomicity such that intermediate states cannot exist, and chains multiple transition-states to form an immutable lifecycle history. For destruction events, the method includes in the transition-state a state-before digest and a null digest state-after. In safety-critical environments, the method requires M-of-N threshold co-signatures before effecting a transition-state.</w:t>
      </w:r>
    </w:p>
    <w:p>
      <w:pPr>
        <w:pStyle w:val="BodyText"/>
        <w:bidi w:val="0"/>
        <w:spacing w:lineRule="auto" w:line="360"/>
        <w:jc w:val="start"/>
        <w:rPr>
          <w:caps w:val="false"/>
          <w:smallCaps w:val="false"/>
        </w:rPr>
      </w:pPr>
      <w:r>
        <w:rPr>
          <w:b/>
          <w:bCs/>
          <w:caps w:val="false"/>
          <w:smallCaps w:val="false"/>
        </w:rPr>
        <w:t xml:space="preserve">[0038]  </w:t>
      </w:r>
      <w:r>
        <w:rPr>
          <w:caps w:val="false"/>
          <w:smallCaps w:val="false"/>
        </w:rPr>
        <w:t xml:space="preserve">  In some embodiments, the commitment includes a cryptographic hash of a legal or regulatory basis, permitting auditors to confirm that lifecycle events are not only technically enforced but also legally grounded.</w:t>
      </w:r>
    </w:p>
    <w:p>
      <w:pPr>
        <w:pStyle w:val="BodyText"/>
        <w:bidi w:val="0"/>
        <w:spacing w:lineRule="auto" w:line="360"/>
        <w:jc w:val="start"/>
        <w:rPr/>
      </w:pPr>
      <w:r>
        <w:rPr>
          <w:rStyle w:val="Strong"/>
          <w:caps w:val="false"/>
          <w:smallCaps w:val="false"/>
        </w:rPr>
        <w:t>Medium Embodiments</w:t>
      </w:r>
    </w:p>
    <w:p>
      <w:pPr>
        <w:pStyle w:val="BodyText"/>
        <w:bidi w:val="0"/>
        <w:spacing w:lineRule="auto" w:line="360"/>
        <w:jc w:val="start"/>
        <w:rPr>
          <w:caps w:val="false"/>
          <w:smallCaps w:val="false"/>
        </w:rPr>
      </w:pPr>
      <w:r>
        <w:rPr>
          <w:b/>
          <w:bCs/>
          <w:caps w:val="false"/>
          <w:smallCaps w:val="false"/>
        </w:rPr>
        <w:t xml:space="preserve">[0039] </w:t>
      </w:r>
      <w:r>
        <w:rPr>
          <w:caps w:val="false"/>
          <w:smallCaps w:val="false"/>
        </w:rPr>
        <w:t xml:space="preserve">   In one embodiment, the invention provides a non-transitory computer-readable medium storing instructions that, when executed by one or more processors, cause the processors to perform operations corresponding to the method above.</w:t>
      </w:r>
    </w:p>
    <w:p>
      <w:pPr>
        <w:pStyle w:val="BodyText"/>
        <w:bidi w:val="0"/>
        <w:spacing w:lineRule="auto" w:line="360"/>
        <w:jc w:val="start"/>
        <w:rPr>
          <w:caps w:val="false"/>
          <w:smallCaps w:val="false"/>
        </w:rPr>
      </w:pPr>
      <w:r>
        <w:rPr>
          <w:b/>
          <w:bCs/>
          <w:caps w:val="false"/>
          <w:smallCaps w:val="false"/>
        </w:rPr>
        <w:t xml:space="preserve">[0040]  </w:t>
      </w:r>
      <w:r>
        <w:rPr>
          <w:caps w:val="false"/>
          <w:smallCaps w:val="false"/>
        </w:rPr>
        <w:t xml:space="preserve">  The instructions cause the system to represent digital assets in preceding states, enforce transitions as cryptographically one-way changes, generate transition-state receipts with commitments, Merkle paths, and cumulative root chains, and represent assets in succeeding states.</w:t>
      </w:r>
    </w:p>
    <w:p>
      <w:pPr>
        <w:pStyle w:val="BodyText"/>
        <w:bidi w:val="0"/>
        <w:spacing w:lineRule="auto" w:line="360"/>
        <w:jc w:val="start"/>
        <w:rPr>
          <w:caps w:val="false"/>
          <w:smallCaps w:val="false"/>
        </w:rPr>
      </w:pPr>
      <w:r>
        <w:rPr>
          <w:b/>
          <w:bCs/>
          <w:caps w:val="false"/>
          <w:smallCaps w:val="false"/>
        </w:rPr>
        <w:t>[0041]</w:t>
      </w:r>
      <w:r>
        <w:rPr>
          <w:caps w:val="false"/>
          <w:smallCaps w:val="false"/>
        </w:rPr>
        <w:t xml:space="preserve">    The instructions further cause processors to enforce atomicity, chain transition-states into immutable lifecycle histories, and, for destruction transitions, include before/after digests with the after digest as a null digest.</w:t>
      </w:r>
    </w:p>
    <w:p>
      <w:pPr>
        <w:pStyle w:val="BodyText"/>
        <w:bidi w:val="0"/>
        <w:spacing w:lineRule="auto" w:line="360"/>
        <w:jc w:val="start"/>
        <w:rPr>
          <w:caps w:val="false"/>
          <w:smallCaps w:val="false"/>
        </w:rPr>
      </w:pPr>
      <w:r>
        <w:rPr>
          <w:b/>
          <w:bCs/>
          <w:caps w:val="false"/>
          <w:smallCaps w:val="false"/>
        </w:rPr>
        <w:t xml:space="preserve">[0042]   </w:t>
      </w:r>
      <w:r>
        <w:rPr>
          <w:caps w:val="false"/>
          <w:smallCaps w:val="false"/>
        </w:rPr>
        <w:t xml:space="preserve"> In safety-critical systems, the instructions cause processors to require M-of-N co-signatures from independent modules before finalizing a transition-state. The instructions may also bind legal or regulatory basis identifiers into the commitment field of each transition-state, providing evidentiary linkage to governing mandates.</w:t>
      </w:r>
    </w:p>
    <w:p>
      <w:pPr>
        <w:pStyle w:val="BodyText"/>
        <w:bidi w:val="0"/>
        <w:spacing w:lineRule="auto" w:line="360"/>
        <w:jc w:val="start"/>
        <w:rPr/>
      </w:pPr>
      <w:r>
        <w:rPr>
          <w:rStyle w:val="Strong"/>
          <w:caps w:val="false"/>
          <w:smallCaps w:val="false"/>
        </w:rPr>
        <w:t>Illustrative Embodiments</w:t>
      </w:r>
    </w:p>
    <w:p>
      <w:pPr>
        <w:pStyle w:val="BodyText"/>
        <w:bidi w:val="0"/>
        <w:spacing w:lineRule="auto" w:line="360"/>
        <w:jc w:val="start"/>
        <w:rPr/>
      </w:pPr>
      <w:r>
        <w:rPr>
          <w:b/>
          <w:bCs/>
          <w:caps w:val="false"/>
          <w:smallCaps w:val="false"/>
        </w:rPr>
        <w:t xml:space="preserve">[0043]  </w:t>
      </w:r>
      <w:r>
        <w:rPr>
          <w:caps w:val="false"/>
          <w:smallCaps w:val="false"/>
        </w:rPr>
        <w:t xml:space="preserve">  </w:t>
      </w:r>
      <w:r>
        <w:rPr>
          <w:rStyle w:val="Strong"/>
          <w:caps w:val="false"/>
          <w:smallCaps w:val="false"/>
        </w:rPr>
        <w:t xml:space="preserve">Data Erasure Compliance (GDPR / HIPAA).  </w:t>
      </w:r>
      <w:r>
        <w:rPr>
          <w:caps w:val="false"/>
          <w:smallCaps w:val="false"/>
        </w:rPr>
        <w:t>In one embodiment, the system generates a destruction transition-state upon expiry of an asset’s retention window. The transition-state includes a state-before digest of the asset, a state-after digest comprising a null digest, and a cumulative root chain linking the destruction to prior lifecycle events. Because the transition-state is immutable and independently verifiable, auditors can confirm compliance with legal mandates for prompt erasure (e.g., “without undue delay” under GDPR) without requiring disclosure of the deleted asset.</w:t>
      </w:r>
    </w:p>
    <w:p>
      <w:pPr>
        <w:pStyle w:val="BodyText"/>
        <w:bidi w:val="0"/>
        <w:spacing w:lineRule="auto" w:line="360"/>
        <w:jc w:val="start"/>
        <w:rPr/>
      </w:pPr>
      <w:r>
        <w:rPr>
          <w:b/>
          <w:bCs/>
          <w:caps w:val="false"/>
          <w:smallCaps w:val="false"/>
        </w:rPr>
        <w:t xml:space="preserve">[0044]   </w:t>
      </w:r>
      <w:r>
        <w:rPr>
          <w:caps w:val="false"/>
          <w:smallCaps w:val="false"/>
        </w:rPr>
        <w:t xml:space="preserve"> </w:t>
      </w:r>
      <w:r>
        <w:rPr>
          <w:rStyle w:val="Strong"/>
          <w:caps w:val="false"/>
          <w:smallCaps w:val="false"/>
        </w:rPr>
        <w:t xml:space="preserve">Cryptographic Migration (Quantum-Safe Transition).  </w:t>
      </w:r>
      <w:r>
        <w:rPr>
          <w:caps w:val="false"/>
          <w:smallCaps w:val="false"/>
        </w:rPr>
        <w:t>In another embodiment, the system manages migration of digital assets from encryption schemes vulnerable to quantum attacks to successor schemes. A migration transition-state binds the asset identifier, the epoch of migration, the transition type (quantum-vulnerable → quantum-safe), and a hash of the successor algorithm suite. This transition-state provides audit-verifiable proof that assets were migrated at a defined epoch, ensuring continuity of protection across cryptographic generations.</w:t>
      </w:r>
    </w:p>
    <w:p>
      <w:pPr>
        <w:pStyle w:val="BodyText"/>
        <w:bidi w:val="0"/>
        <w:spacing w:lineRule="auto" w:line="360"/>
        <w:jc w:val="start"/>
        <w:rPr/>
      </w:pPr>
      <w:r>
        <w:rPr>
          <w:b/>
          <w:bCs/>
          <w:caps w:val="false"/>
          <w:smallCaps w:val="false"/>
        </w:rPr>
        <w:t xml:space="preserve">[0045]  </w:t>
      </w:r>
      <w:r>
        <w:rPr>
          <w:caps w:val="false"/>
          <w:smallCaps w:val="false"/>
        </w:rPr>
        <w:t xml:space="preserve">  </w:t>
      </w:r>
      <w:r>
        <w:rPr>
          <w:rStyle w:val="Strong"/>
          <w:caps w:val="false"/>
          <w:smallCaps w:val="false"/>
        </w:rPr>
        <w:t xml:space="preserve">Safety-Critical Authorization.  </w:t>
      </w:r>
      <w:r>
        <w:rPr>
          <w:caps w:val="false"/>
          <w:smallCaps w:val="false"/>
        </w:rPr>
        <w:t>In safety-critical environments, such as avionics or industrial control systems, a transition-state may only be finalized upon receipt of M-of-N threshold signatures from independent modules. For example, destruction of a control parameter key may require authorization from three out of five supervisory modules. The resulting transition-state includes the co-signatures as part of the commitment, ensuring that no single module can unilaterally authorize a critical transition.</w:t>
      </w:r>
    </w:p>
    <w:p>
      <w:pPr>
        <w:pStyle w:val="BodyText"/>
        <w:bidi w:val="0"/>
        <w:spacing w:lineRule="auto" w:line="360"/>
        <w:jc w:val="start"/>
        <w:rPr/>
      </w:pPr>
      <w:r>
        <w:rPr>
          <w:b/>
          <w:bCs/>
          <w:caps w:val="false"/>
          <w:smallCaps w:val="false"/>
        </w:rPr>
        <w:t>[0046]</w:t>
      </w:r>
      <w:r>
        <w:rPr>
          <w:caps w:val="false"/>
          <w:smallCaps w:val="false"/>
        </w:rPr>
        <w:t xml:space="preserve">    </w:t>
      </w:r>
      <w:r>
        <w:rPr>
          <w:rStyle w:val="Strong"/>
          <w:caps w:val="false"/>
          <w:smallCaps w:val="false"/>
        </w:rPr>
        <w:t xml:space="preserve">Cross-Jurisdictional Proofs.  </w:t>
      </w:r>
      <w:r>
        <w:rPr>
          <w:caps w:val="false"/>
          <w:smallCaps w:val="false"/>
        </w:rPr>
        <w:t>In another embodiment, parallel accumulators are maintained to anchor transition-states across multiple transparency services in different jurisdictions. A retention transition-state may be validated in one jurisdiction while a destruction transition-state for the same asset is validated in another. Because the proofs are based on independent accumulators, each jurisdiction can confirm compliance with its own mandates without learning the details of the other jurisdiction’s anchors.</w:t>
      </w:r>
    </w:p>
    <w:p>
      <w:pPr>
        <w:pStyle w:val="BodyText"/>
        <w:bidi w:val="0"/>
        <w:spacing w:lineRule="auto" w:line="360"/>
        <w:jc w:val="start"/>
        <w:rPr/>
      </w:pPr>
      <w:r>
        <w:rPr>
          <w:b/>
          <w:bCs/>
          <w:caps w:val="false"/>
          <w:smallCaps w:val="false"/>
        </w:rPr>
        <w:t xml:space="preserve">[0047]  </w:t>
      </w:r>
      <w:r>
        <w:rPr>
          <w:caps w:val="false"/>
          <w:smallCaps w:val="false"/>
        </w:rPr>
        <w:t xml:space="preserve">  </w:t>
      </w:r>
      <w:r>
        <w:rPr>
          <w:rStyle w:val="Strong"/>
          <w:caps w:val="false"/>
          <w:smallCaps w:val="false"/>
        </w:rPr>
        <w:t xml:space="preserve">Lifecycle Composability.  </w:t>
      </w:r>
      <w:r>
        <w:rPr>
          <w:caps w:val="false"/>
          <w:smallCaps w:val="false"/>
        </w:rPr>
        <w:t>In yet another embodiment, multiple transition-states are chained to represent a composable lifecycle. For example, an asset may pass through creation → retention → migration → destruction. Each transition-state links to the prior cumulative root, forming an immutable chain of lifecycle events. This composability enables organizations to reconstruct complete lifecycle histories without reliance on mutable logs.</w:t>
      </w:r>
    </w:p>
    <w:p>
      <w:pPr>
        <w:pStyle w:val="BodyText"/>
        <w:bidi w:val="0"/>
        <w:spacing w:lineRule="auto" w:line="360"/>
        <w:jc w:val="start"/>
        <w:rPr/>
      </w:pPr>
      <w:r>
        <w:rPr>
          <w:rStyle w:val="Strong"/>
          <w:caps w:val="false"/>
          <w:smallCaps w:val="false"/>
        </w:rPr>
        <w:t>Figures</w:t>
      </w:r>
    </w:p>
    <w:p>
      <w:pPr>
        <w:pStyle w:val="BodyText"/>
        <w:bidi w:val="0"/>
        <w:spacing w:lineRule="auto" w:line="360"/>
        <w:jc w:val="start"/>
        <w:rPr/>
      </w:pPr>
      <w:r>
        <w:rPr>
          <w:rStyle w:val="Strong"/>
          <w:caps w:val="false"/>
          <w:smallCaps w:val="false"/>
        </w:rPr>
        <w:t xml:space="preserve">[0048]    System Architecture (FIG. 1).  </w:t>
      </w:r>
      <w:r>
        <w:rPr>
          <w:caps w:val="false"/>
          <w:smallCaps w:val="false"/>
        </w:rPr>
        <w:t>The system architecture comprises a state transition engine 110, a commitment constructor 130, a Merkle accumulator 140, a root-chain logger 150, an anchor interface 160, a receipt store 190, and a verification module 120. Transition-states 200 are generated from commitments 210, inserted into accumulators, chained forward, and anchored for audit.</w:t>
      </w:r>
    </w:p>
    <w:p>
      <w:pPr>
        <w:pStyle w:val="BodyText"/>
        <w:bidi w:val="0"/>
        <w:spacing w:lineRule="auto" w:line="360"/>
        <w:jc w:val="start"/>
        <w:rPr/>
      </w:pPr>
      <w:r>
        <w:rPr>
          <w:rStyle w:val="Strong"/>
          <w:caps w:val="false"/>
          <w:smallCaps w:val="false"/>
        </w:rPr>
        <w:t xml:space="preserve">[0049]    Transition-State Creation (FIG. 2).  </w:t>
      </w:r>
      <w:r>
        <w:rPr>
          <w:caps w:val="false"/>
          <w:smallCaps w:val="false"/>
        </w:rPr>
        <w:t>Lifecycle events trigger construction of a commitment 210, insertion into the accumulator 140, computation of a root 230, extension into a chain value 240, anchoring, and issuance of a transition-state 200. The process enforces atomic transitions and produces immutable receipts.</w:t>
      </w:r>
    </w:p>
    <w:p>
      <w:pPr>
        <w:pStyle w:val="BodyText"/>
        <w:bidi w:val="0"/>
        <w:spacing w:lineRule="auto" w:line="360"/>
        <w:jc w:val="start"/>
        <w:rPr/>
      </w:pPr>
      <w:r>
        <w:rPr>
          <w:rStyle w:val="Strong"/>
          <w:caps w:val="false"/>
          <w:smallCaps w:val="false"/>
        </w:rPr>
        <w:t xml:space="preserve">[0050]    Destruction Transition-State (FIG. 3).  </w:t>
      </w:r>
      <w:r>
        <w:rPr>
          <w:caps w:val="false"/>
          <w:smallCaps w:val="false"/>
        </w:rPr>
        <w:t>A destruction transition-state includes a state-before digest 260 and a state-after digest 270 defined as a null digest. This structure provides affirmative cryptographic proof of non-existence while linking to the cumulative root chain 240.</w:t>
      </w:r>
    </w:p>
    <w:p>
      <w:pPr>
        <w:pStyle w:val="BodyText"/>
        <w:bidi w:val="0"/>
        <w:spacing w:lineRule="auto" w:line="360"/>
        <w:jc w:val="start"/>
        <w:rPr/>
      </w:pPr>
      <w:r>
        <w:rPr>
          <w:rStyle w:val="Strong"/>
          <w:caps w:val="false"/>
          <w:smallCaps w:val="false"/>
        </w:rPr>
        <w:t xml:space="preserve">[0051]    Cumulative Root Chains (FIG. 4).  </w:t>
      </w:r>
      <w:r>
        <w:rPr>
          <w:caps w:val="false"/>
          <w:smallCaps w:val="false"/>
        </w:rPr>
        <w:t>Successive epoch roots 230 are chained together by cumulative hash values 240. Replay of stale receipts without the proper extension is detectable, ensuring forward integrity and preventing history modification.</w:t>
      </w:r>
    </w:p>
    <w:p>
      <w:pPr>
        <w:pStyle w:val="BodyText"/>
        <w:bidi w:val="0"/>
        <w:spacing w:lineRule="auto" w:line="360"/>
        <w:jc w:val="start"/>
        <w:rPr/>
      </w:pPr>
      <w:r>
        <w:rPr>
          <w:rStyle w:val="Strong"/>
          <w:caps w:val="false"/>
          <w:smallCaps w:val="false"/>
        </w:rPr>
        <w:t xml:space="preserve">[0052]    Parallel Accumulators (FIG. 5).  </w:t>
      </w:r>
      <w:r>
        <w:rPr>
          <w:caps w:val="false"/>
          <w:smallCaps w:val="false"/>
        </w:rPr>
        <w:t>Multiple accumulators may operate in parallel to produce roots 230 anchored separately in jurisdictional services 280 and 285. This allows independent audit of the same event without disclosure of unrelated anchors.</w:t>
      </w:r>
    </w:p>
    <w:p>
      <w:pPr>
        <w:pStyle w:val="BodyText"/>
        <w:bidi w:val="0"/>
        <w:spacing w:lineRule="auto" w:line="360"/>
        <w:jc w:val="start"/>
        <w:rPr/>
      </w:pPr>
      <w:r>
        <w:rPr>
          <w:rStyle w:val="Strong"/>
          <w:caps w:val="false"/>
          <w:smallCaps w:val="false"/>
        </w:rPr>
        <w:t xml:space="preserve">[0053]    Threshold Authorization (FIG. 6).  </w:t>
      </w:r>
      <w:r>
        <w:rPr>
          <w:caps w:val="false"/>
          <w:smallCaps w:val="false"/>
        </w:rPr>
        <w:t>In safety-critical embodiments, finalization of a transition-state requires M-of-N co-signatures 250 aggregated by an authorization module 180. This prevents unilateral state changes by any single module.</w:t>
      </w:r>
    </w:p>
    <w:p>
      <w:pPr>
        <w:pStyle w:val="BodyText"/>
        <w:bidi w:val="0"/>
        <w:spacing w:lineRule="auto" w:line="360"/>
        <w:jc w:val="start"/>
        <w:rPr/>
      </w:pPr>
      <w:r>
        <w:rPr>
          <w:rStyle w:val="Strong"/>
          <w:caps w:val="false"/>
          <w:smallCaps w:val="false"/>
        </w:rPr>
        <w:t xml:space="preserve">[0054]    Migration Transition-State (FIG. 7).  </w:t>
      </w:r>
      <w:r>
        <w:rPr>
          <w:caps w:val="false"/>
          <w:smallCaps w:val="false"/>
        </w:rPr>
        <w:t>A migration event produces a transition-state that binds both legacy and successor scheme identifiers 290. This unambiguously records cryptographic migrations, such as from quantum-vulnerable to quantum-safe schemes.</w:t>
      </w:r>
    </w:p>
    <w:p>
      <w:pPr>
        <w:pStyle w:val="BodyText"/>
        <w:bidi w:val="0"/>
        <w:spacing w:lineRule="auto" w:line="360"/>
        <w:jc w:val="start"/>
        <w:rPr/>
      </w:pPr>
      <w:r>
        <w:rPr>
          <w:rStyle w:val="Strong"/>
          <w:caps w:val="false"/>
          <w:smallCaps w:val="false"/>
        </w:rPr>
        <w:t xml:space="preserve">[0055]    Verifier Flow (FIG. 8).  </w:t>
      </w:r>
      <w:r>
        <w:rPr>
          <w:caps w:val="false"/>
          <w:smallCaps w:val="false"/>
        </w:rPr>
        <w:t>Independent verifiers validate transition-states by recomputing the commitment 210, verifying the Merkle path 220 to the root 230, checking cumulative chain values 240, and confirming anchors. Verification does not require access to the underlying asset.</w:t>
      </w:r>
    </w:p>
    <w:p>
      <w:pPr>
        <w:pStyle w:val="BodyText"/>
        <w:bidi w:val="0"/>
        <w:spacing w:lineRule="auto" w:line="360"/>
        <w:jc w:val="start"/>
        <w:rPr/>
      </w:pPr>
      <w:r>
        <w:rPr>
          <w:rStyle w:val="Strong"/>
          <w:caps w:val="false"/>
          <w:smallCaps w:val="false"/>
        </w:rPr>
        <w:t xml:space="preserve">[0056]    Receipt Data Structure (FIG. 9).  </w:t>
      </w:r>
      <w:r>
        <w:rPr>
          <w:caps w:val="false"/>
          <w:smallCaps w:val="false"/>
        </w:rPr>
        <w:t>Transition-state receipts 200 include mandatory fields (commitment 210, Merkle path 220, root 230, chain value 240) and optional fields such as state-before digest 260, null digest 270, co-signatures 250, policy hash 170, scheme identifier 290, and jurisdictional anchors 280, 285.</w:t>
      </w:r>
    </w:p>
    <w:p>
      <w:pPr>
        <w:pStyle w:val="BodyText"/>
        <w:bidi w:val="0"/>
        <w:spacing w:lineRule="auto" w:line="360"/>
        <w:jc w:val="start"/>
        <w:rPr/>
      </w:pPr>
      <w:r>
        <w:rPr>
          <w:rStyle w:val="Strong"/>
          <w:caps w:val="false"/>
          <w:smallCaps w:val="false"/>
        </w:rPr>
        <w:t>Advantages and Unexpected Technical Effects</w:t>
      </w:r>
    </w:p>
    <w:p>
      <w:pPr>
        <w:pStyle w:val="BodyText"/>
        <w:bidi w:val="0"/>
        <w:spacing w:lineRule="auto" w:line="360"/>
        <w:jc w:val="start"/>
        <w:rPr>
          <w:caps w:val="false"/>
          <w:smallCaps w:val="false"/>
        </w:rPr>
      </w:pPr>
      <w:r>
        <w:rPr>
          <w:b/>
          <w:bCs/>
          <w:caps w:val="false"/>
          <w:smallCaps w:val="false"/>
        </w:rPr>
        <w:t>[0057]</w:t>
      </w:r>
      <w:r>
        <w:rPr>
          <w:caps w:val="false"/>
          <w:smallCaps w:val="false"/>
        </w:rPr>
        <w:t xml:space="preserve">     The system architecture provides a technical improvement by representing each lifecycle event as a transition-state object (claim 30). An unexpected effect is that transitions, previously ephemeral, are now immutable cryptographic states. By enforcing atomic transitions (claim 31), the system prevents intermediate or partial events that could undermine audit integrity. Chaining successive transition-states (claim 32) produces a composable lifecycle history resistant to tampering. A destruction transition-state including a state-before digest and null digest (claim 33) provides affirmative proof of non-existence, an effect not achievable in prior systems. Safety-critical co-signature requirements (claim 34) elevate authorization into the cryptographic layer, preventing unilateral actions by any single module. Commitments including regulatory basis hashes (claim 35) bind lifecycle events directly to governing mandates, producing evidence that is both technically verifiable and legally grounded.</w:t>
      </w:r>
    </w:p>
    <w:p>
      <w:pPr>
        <w:pStyle w:val="BodyText"/>
        <w:bidi w:val="0"/>
        <w:spacing w:lineRule="auto" w:line="360"/>
        <w:jc w:val="start"/>
        <w:rPr>
          <w:caps w:val="false"/>
          <w:smallCaps w:val="false"/>
        </w:rPr>
      </w:pPr>
      <w:r>
        <w:rPr>
          <w:b/>
          <w:bCs/>
          <w:caps w:val="false"/>
          <w:smallCaps w:val="false"/>
        </w:rPr>
        <w:t xml:space="preserve">[0058] </w:t>
      </w:r>
      <w:r>
        <w:rPr>
          <w:caps w:val="false"/>
          <w:smallCaps w:val="false"/>
        </w:rPr>
        <w:t xml:space="preserve">   The computer-implemented method improves lifecycle management by enforcing unidirectional transitions as persistent states (claim 36). An unexpected effect is that lifecycle audits can be performed without reference to the underlying asset, addressing the technical challenge of proving erasure without exposing data. The method’s atomicity guarantee (claim 37) eliminates partial transitions, while chaining (claim 38) yields an immutable historical record. The destruction transition-state with null digest (claim 39) creates positive evidence of deletion, which prior art treated only as absence. M-of-N authorization (claim 40) enforces collective approval before destructive or safety-critical changes, improving operational safety. Commitments that incorporate legal or regulatory bases (claim 41) provide auditors with assurance that technical transitions correspond to required policy actions.</w:t>
      </w:r>
    </w:p>
    <w:p>
      <w:pPr>
        <w:pStyle w:val="BodyText"/>
        <w:bidi w:val="0"/>
        <w:spacing w:lineRule="auto" w:line="360"/>
        <w:jc w:val="start"/>
        <w:rPr>
          <w:caps w:val="false"/>
          <w:smallCaps w:val="false"/>
        </w:rPr>
      </w:pPr>
      <w:r>
        <w:rPr>
          <w:b/>
          <w:bCs/>
          <w:caps w:val="false"/>
          <w:smallCaps w:val="false"/>
        </w:rPr>
        <w:t xml:space="preserve">[0059]   </w:t>
      </w:r>
      <w:r>
        <w:rPr>
          <w:caps w:val="false"/>
          <w:smallCaps w:val="false"/>
        </w:rPr>
        <w:t xml:space="preserve"> The computer-readable medium encodes instructions to enforce the same transition-state model (claim 42). This enables distribution across heterogeneous systems while preserving cryptographic consistency. Atomic transitions (claim 43) and immutable chains (claim 44) provide software-level safeguards against incomplete or reversible operations. Destruction receipts with before/after digests (claim 45) offer verifiable non-existence proofs across implementations. Threshold authorization logic (claim 46) ensures distributed enforcement of safety requirements in software form. Commitments incorporating regulatory basis identifiers (claim 47) allow portable, verifiable alignment between software execution and compliance mandates.</w:t>
      </w:r>
    </w:p>
    <w:p>
      <w:pPr>
        <w:pStyle w:val="BodyText"/>
        <w:bidi w:val="0"/>
        <w:spacing w:lineRule="auto" w:line="360"/>
        <w:jc w:val="start"/>
        <w:rPr/>
      </w:pPr>
      <w:r>
        <w:rPr>
          <w:b/>
          <w:bCs/>
          <w:caps w:val="false"/>
          <w:smallCaps w:val="false"/>
        </w:rPr>
        <w:t xml:space="preserve">[0060] </w:t>
      </w:r>
      <w:r>
        <w:rPr>
          <w:caps w:val="false"/>
          <w:smallCaps w:val="false"/>
        </w:rPr>
        <w:t xml:space="preserve">   </w:t>
      </w:r>
      <w:r>
        <w:rPr>
          <w:rStyle w:val="Strong"/>
          <w:caps w:val="false"/>
          <w:smallCaps w:val="false"/>
        </w:rPr>
        <w:t xml:space="preserve">Cross-cutting effects.  </w:t>
      </w:r>
      <w:r>
        <w:rPr>
          <w:caps w:val="false"/>
          <w:smallCaps w:val="false"/>
        </w:rPr>
        <w:t>The model also enables multi-jurisdiction verification through parallel accumulators and anchors, as described in FIG. 5. This addresses the technical problem of simultaneous compliance across distinct legal domains. Migration transition-states (FIG. 7) provide an auditable mechanism for proving algorithm upgrades, including migration to quantum-safe schemes, an effect not taught in prior art. Independent verifier flows (FIG. 8) demonstrate that transition-states are content-opaque and auditable without exposure of the underlying asset, thereby enhancing confidentiality while maintaining proof integrity.</w:t>
      </w:r>
    </w:p>
    <w:p>
      <w:pPr>
        <w:pStyle w:val="BodyText"/>
        <w:bidi w:val="0"/>
        <w:spacing w:lineRule="auto" w:line="360" w:before="0" w:after="140"/>
        <w:jc w:val="start"/>
        <w:rPr>
          <w:caps w:val="false"/>
          <w:smallCaps w:val="false"/>
        </w:rPr>
      </w:pPr>
      <w:r>
        <w:rPr>
          <w:b/>
          <w:bCs/>
          <w:caps w:val="false"/>
          <w:smallCaps w:val="false"/>
        </w:rPr>
        <w:t>[0061]</w:t>
      </w:r>
      <w:r>
        <w:rPr>
          <w:caps w:val="false"/>
          <w:smallCaps w:val="false"/>
        </w:rPr>
        <w:t xml:space="preserve">    Unlike prior systems that log transitions as metadata or events, the present invention treats each transition as an independent cryptographic state with its own proof of existence. This inversion - proving that a transition exists rather than proving an asset exists or doesn't exist - enables verification of lifecycle events without reference to the underlying assets. </w:t>
      </w:r>
    </w:p>
    <w:sectPr>
      <w:footerReference w:type="even" r:id="rId2"/>
      <w:footerReference w:type="default" r:id="rId3"/>
      <w:footerReference w:type="first" r:id="rId4"/>
      <w:type w:val="nextPage"/>
      <w:pgSz w:w="12240" w:h="15840"/>
      <w:pgMar w:left="1440"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erif">
    <w:altName w:val="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9</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1"/>
    <w:r>
      <w:rPr/>
      <w:fldChar w:fldCharType="begin"/>
    </w:r>
    <w:r>
      <w:rPr/>
      <w:instrText xml:space="preserve"> PAGE </w:instrText>
    </w:r>
    <w:r>
      <w:rPr/>
      <w:fldChar w:fldCharType="separate"/>
    </w:r>
    <w:r>
      <w:rPr/>
      <w:t>9</w:t>
    </w:r>
    <w:r>
      <w:rPr/>
      <w:fldChar w:fldCharType="end"/>
    </w:r>
    <w:bookmarkEnd w:id="1"/>
  </w:p>
</w:ftr>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NSimSun" w:cs="Arial Unicode M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Unicode MS"/>
      <w:b/>
      <w:bCs/>
      <w:sz w:val="28"/>
      <w:szCs w:val="28"/>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Times New Roman" w:hAnsi="Times New Roman"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Unicode MS"/>
    </w:rPr>
  </w:style>
  <w:style w:type="paragraph" w:styleId="Caption">
    <w:name w:val="caption"/>
    <w:basedOn w:val="Normal"/>
    <w:qFormat/>
    <w:pPr>
      <w:suppressLineNumbers/>
      <w:spacing w:before="120" w:after="120"/>
    </w:pPr>
    <w:rPr>
      <w:rFonts w:ascii="Times New Roman" w:hAnsi="Times New Roman" w:cs="Arial Unicode MS"/>
      <w:i/>
      <w:iCs/>
      <w:sz w:val="24"/>
      <w:szCs w:val="24"/>
    </w:rPr>
  </w:style>
  <w:style w:type="paragraph" w:styleId="Index">
    <w:name w:val="Index"/>
    <w:basedOn w:val="Normal"/>
    <w:qFormat/>
    <w:pPr>
      <w:suppressLineNumbers/>
    </w:pPr>
    <w:rPr>
      <w:rFonts w:ascii="Times New Roman" w:hAnsi="Times New Roman"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33" w:leader="none"/>
        <w:tab w:val="right" w:pos="966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LibreOffice/25.8.1.1$Windows_X86_64 LibreOffice_project/54047653041915e595ad4e45cccea684809c77b5</Application>
  <AppVersion>15.0000</AppVersion>
  <Pages>11</Pages>
  <Words>3048</Words>
  <Characters>19869</Characters>
  <CharactersWithSpaces>23074</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2025-09-20T13:43:11Z</dcterms:created>
  <dc:creator/>
  <dc:description/>
  <dc:language>en-US</dc:language>
  <cp:lastModifiedBy/>
  <dcterms:modified xsi:type="dcterms:W3CDTF">2025-09-22T01:18:10Z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