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984243988f66f923609e69c6e563aa6b9596417"/>
    <w:p>
      <w:pPr>
        <w:pStyle w:val="Heading1"/>
      </w:pPr>
      <w:r>
        <w:t xml:space="preserve">CSTP—Transition-State Model: Formal Mathematical Specification (v1)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This document formalizes the mathematical model for CSTP–Transition State Model, including formal objects, operations, complexity, and the required sub‑models: epoch timing, atomic transaction protocol and consensus, fork resolution, quantum‑safe migration, policy‑hash construction, storage optimization (aggregation/batching), privacy guarantees (and optional zero‑knowledge extensions), and revocation/correction semantics compatible with an immutable, unidirectional model.</w:t>
      </w:r>
    </w:p>
    <w:p>
      <w:r>
        <w:pict>
          <v:rect style="width:0;height:1.5pt" o:hralign="center" o:hrstd="t" o:hr="t"/>
        </w:pict>
      </w:r>
    </w:p>
    <w:bookmarkStart w:id="25" w:name="core-objects-and-algebra"/>
    <w:p>
      <w:pPr>
        <w:pStyle w:val="Heading2"/>
      </w:pPr>
      <w:r>
        <w:t xml:space="preserve">1. Core Objects and Algebra</w:t>
      </w:r>
    </w:p>
    <w:bookmarkStart w:id="20" w:name="universes-and-identifiers"/>
    <w:p>
      <w:pPr>
        <w:pStyle w:val="Heading3"/>
      </w:pPr>
      <w:r>
        <w:t xml:space="preserve">1.1 Universes and Identifiers</w:t>
      </w:r>
    </w:p>
    <w:p>
      <w:pPr>
        <w:pStyle w:val="Compact"/>
        <w:numPr>
          <w:ilvl w:val="0"/>
          <w:numId w:val="1001"/>
        </w:numPr>
      </w:pPr>
      <w:r>
        <w:t xml:space="preserve">Let (</w:t>
      </w:r>
      <w:r>
        <w:t xml:space="preserve">) be the universe of asset identifiers (opaque strings).</w:t>
      </w:r>
    </w:p>
    <w:p>
      <w:pPr>
        <w:pStyle w:val="Compact"/>
        <w:numPr>
          <w:ilvl w:val="0"/>
          <w:numId w:val="1001"/>
        </w:numPr>
      </w:pPr>
      <w:r>
        <w:t xml:space="preserve">Let (</w:t>
      </w:r>
      <w:r>
        <w:t xml:space="preserve"> </w:t>
      </w:r>
      <w:r>
        <w:t xml:space="preserve">= {</w:t>
      </w:r>
      <w:r>
        <w:t xml:space="preserve">,</w:t>
      </w:r>
      <w:r>
        <w:t xml:space="preserve">,</w:t>
      </w:r>
      <w:r>
        <w:t xml:space="preserve">,</w:t>
      </w:r>
      <w:r>
        <w:t xml:space="preserve">,</w:t>
      </w:r>
      <w:r>
        <w:t xml:space="preserve">}) be the set of transition types.</w:t>
      </w:r>
    </w:p>
    <w:p>
      <w:pPr>
        <w:pStyle w:val="Compact"/>
        <w:numPr>
          <w:ilvl w:val="0"/>
          <w:numId w:val="1001"/>
        </w:numPr>
      </w:pPr>
      <w:r>
        <w:t xml:space="preserve">Let (</w:t>
      </w:r>
      <w:r>
        <w:t xml:space="preserve"> </w:t>
      </w:r>
      <w:r>
        <w:t xml:space="preserve">= {0,1,2,</w:t>
      </w:r>
      <w:r>
        <w:t xml:space="preserve">}) be the discrete epoch space.</w:t>
      </w:r>
    </w:p>
    <w:p>
      <w:pPr>
        <w:pStyle w:val="Compact"/>
        <w:numPr>
          <w:ilvl w:val="0"/>
          <w:numId w:val="1001"/>
        </w:numPr>
      </w:pPr>
      <w:r>
        <w:t xml:space="preserve">Let (</w:t>
      </w:r>
      <w:r>
        <w:t xml:space="preserve">) be the set of salts; let (</w:t>
      </w:r>
      <w:r>
        <w:t xml:space="preserve">) be the set of policy references (opaque, e.g., citations to statutes/regs/SOPs).</w:t>
      </w:r>
    </w:p>
    <w:p>
      <w:pPr>
        <w:pStyle w:val="Compact"/>
        <w:numPr>
          <w:ilvl w:val="0"/>
          <w:numId w:val="1001"/>
        </w:numPr>
      </w:pPr>
      <w:r>
        <w:t xml:space="preserve">Let (</w:t>
      </w:r>
      <w:r>
        <w:rPr>
          <w:i/>
          <w:iCs/>
        </w:rPr>
        <w:t xml:space="preserve">: {0,1}</w:t>
      </w:r>
      <w:r>
        <w:rPr>
          <w:i/>
          <w:iCs/>
          <w:vertAlign w:val="superscript"/>
        </w:rPr>
        <w:t xml:space="preserve">*</w:t>
      </w:r>
      <w:r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 xml:space="preserve">{0,1}</w:t>
      </w:r>
      <w:r>
        <w:rPr>
          <w:i/>
          <w:iCs/>
        </w:rPr>
        <w:t xml:space="preserve">) be a collision‑resistant hash with security parameter (</w:t>
      </w:r>
      <w:r>
        <w:rPr>
          <w:i/>
          <w:iCs/>
        </w:rPr>
        <w:t xml:space="preserve">); when needed we distinguish functions: (H_c) (commitment hash), (H_m) (Merkle hash), (H</w:t>
      </w:r>
      <w:r>
        <w:t xml:space="preserve">{ch}) (chain hash).</w:t>
      </w:r>
    </w:p>
    <w:bookmarkEnd w:id="20"/>
    <w:bookmarkStart w:id="21" w:name="commitments-and-null-digest"/>
    <w:p>
      <w:pPr>
        <w:pStyle w:val="Heading3"/>
      </w:pPr>
      <w:r>
        <w:t xml:space="preserve">1.2 Commitments and Null Digest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digest.</w:t>
      </w:r>
      <w:r>
        <w:t xml:space="preserve"> </w:t>
      </w:r>
      <w:r>
        <w:t xml:space="preserve">Fix a reserved constant (</w:t>
      </w:r>
      <w:r>
        <w:t xml:space="preserve">{0,1}^</w:t>
      </w:r>
      <w:r>
        <w:t xml:space="preserve">) outside the image of (H_c) over valid inputs (e.g., (</w:t>
      </w:r>
      <w:r>
        <w:t xml:space="preserve">=H_c(</w:t>
      </w:r>
      <w:r>
        <w:t xml:space="preserve">)) by convention and rule that (</w:t>
      </w:r>
      <w:r>
        <w:t xml:space="preserve">) is never a valid preimage for asset digests).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 digest.</w:t>
      </w:r>
      <w:r>
        <w:t xml:space="preserve"> </w:t>
      </w:r>
      <w:r>
        <w:t xml:space="preserve">(D_{</w:t>
      </w:r>
      <w:r>
        <w:t xml:space="preserve">} = H_c(</w:t>
      </w:r>
      <w:r>
        <w:t xml:space="preserve">)). For destruction, (D_{</w:t>
      </w:r>
      <w:r>
        <w:t xml:space="preserve">}=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hash.</w:t>
      </w:r>
      <w:r>
        <w:t xml:space="preserve"> </w:t>
      </w:r>
      <w:r>
        <w:t xml:space="preserve">(</w:t>
      </w:r>
      <w:r>
        <w:t xml:space="preserve">= H_c(</w:t>
      </w:r>
      <w:r>
        <w:t xml:space="preserve"> </w:t>
      </w:r>
      <w:r>
        <w:t xml:space="preserve">)). (See §6.)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Commitment.</w:t>
      </w:r>
      <w:r>
        <w:t xml:space="preserve"> </w:t>
      </w:r>
      <w:r>
        <w:t xml:space="preserve">For (a</w:t>
      </w:r>
      <w:r>
        <w:t xml:space="preserve">, e</w:t>
      </w:r>
      <w:r>
        <w:t xml:space="preserve">, t</w:t>
      </w:r>
      <w:r>
        <w:t xml:space="preserve">, s</w:t>
      </w:r>
      <w:r>
        <w:t xml:space="preserve">):</w:t>
      </w:r>
      <w:r>
        <w:t xml:space="preserve"> </w:t>
      </w:r>
      <w:r>
        <w:t xml:space="preserve">[ C = H_c(a</w:t>
      </w:r>
      <w:r>
        <w:t xml:space="preserve">e</w:t>
      </w:r>
      <w:r>
        <w:t xml:space="preserve">t</w:t>
      </w:r>
      <w:r>
        <w:t xml:space="preserve">s</w:t>
      </w:r>
      <w:r>
        <w:t xml:space="preserve">) ]</w:t>
      </w:r>
      <w:r>
        <w:t xml:space="preserve"> </w:t>
      </w:r>
      <w:r>
        <w:t xml:space="preserve">Optional fields include co‑signatures, scheme identifiers, jurisdiction tags; see §5.</w:t>
      </w:r>
    </w:p>
    <w:bookmarkEnd w:id="21"/>
    <w:bookmarkStart w:id="22" w:name="merkle-accumulator-per-epoch"/>
    <w:p>
      <w:pPr>
        <w:pStyle w:val="Heading3"/>
      </w:pPr>
      <w:r>
        <w:t xml:space="preserve">1.3 Merkle Accumulator per Epoch</w:t>
      </w:r>
    </w:p>
    <w:p>
      <w:pPr>
        <w:pStyle w:val="Compact"/>
        <w:numPr>
          <w:ilvl w:val="0"/>
          <w:numId w:val="1003"/>
        </w:numPr>
      </w:pPr>
      <w:r>
        <w:t xml:space="preserve">For each epoch (e), define a multiset of commitments (</w:t>
      </w:r>
      <w:r>
        <w:t xml:space="preserve">_e). Build an authenticated structure (</w:t>
      </w:r>
      <w:r>
        <w:t xml:space="preserve">_e) (e.g., balanced binary Merkle) with root (R_e). A Merkle path for leaf (C) is (</w:t>
      </w:r>
      <w:r>
        <w:t xml:space="preserve">(C,e)).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Inclusion proof relation.</w:t>
      </w:r>
      <w:r>
        <w:t xml:space="preserve"> </w:t>
      </w:r>
      <w:r>
        <w:t xml:space="preserve">(</w:t>
      </w:r>
      <w:r>
        <w:t xml:space="preserve">(C,e,</w:t>
      </w:r>
      <w:r>
        <w:t xml:space="preserve">,R_e)) holds iff the Merkle recomputation yields (R_e).</w:t>
      </w:r>
    </w:p>
    <w:bookmarkEnd w:id="22"/>
    <w:bookmarkStart w:id="23" w:name="cumulative-root-chain"/>
    <w:p>
      <w:pPr>
        <w:pStyle w:val="Heading3"/>
      </w:pPr>
      <w:r>
        <w:t xml:space="preserve">1.4 Cumulative Root Chain</w:t>
      </w:r>
    </w:p>
    <w:p>
      <w:pPr>
        <w:pStyle w:val="Compact"/>
        <w:numPr>
          <w:ilvl w:val="0"/>
          <w:numId w:val="1004"/>
        </w:numPr>
      </w:pPr>
      <w:r>
        <w:t xml:space="preserve">Define the cumulative chain as (</w:t>
      </w:r>
      <w:r>
        <w:rPr>
          <w:i/>
          <w:iCs/>
        </w:rPr>
        <w:t xml:space="preserve">e = H</w:t>
      </w:r>
      <w:r>
        <w:t xml:space="preserve">{ch}(</w:t>
      </w:r>
      <w:r>
        <w:rPr>
          <w:i/>
          <w:iCs/>
        </w:rPr>
        <w:t xml:space="preserve">{e-1}</w:t>
      </w:r>
      <w:r>
        <w:rPr>
          <w:i/>
          <w:iCs/>
        </w:rPr>
        <w:t xml:space="preserve">R_e)) with seed (</w:t>
      </w:r>
      <w:r>
        <w:t xml:space="preserve">{-1}=</w:t>
      </w:r>
      <w:r>
        <w:t xml:space="preserve">) (a fixed domain‑separated constant).</w:t>
      </w:r>
    </w:p>
    <w:bookmarkEnd w:id="23"/>
    <w:bookmarkStart w:id="24" w:name="transitionstate-object-ts"/>
    <w:p>
      <w:pPr>
        <w:pStyle w:val="Heading3"/>
      </w:pPr>
      <w:r>
        <w:t xml:space="preserve">1.5 Transition‑State Object (TS)</w:t>
      </w:r>
    </w:p>
    <w:p>
      <w:pPr>
        <w:pStyle w:val="FirstParagraph"/>
      </w:pPr>
      <w:r>
        <w:t xml:space="preserve">A transition‑state (</w:t>
      </w:r>
      <w:r>
        <w:t xml:space="preserve">) is the tuple</w:t>
      </w:r>
      <w:r>
        <w:t xml:space="preserve"> </w:t>
      </w:r>
      <w:r>
        <w:t xml:space="preserve">[</w:t>
      </w:r>
      <w:r>
        <w:t xml:space="preserve">= (C, e, R_e,</w:t>
      </w:r>
      <w:r>
        <w:t xml:space="preserve"> </w:t>
      </w:r>
      <w:r>
        <w:rPr>
          <w:i/>
          <w:iCs/>
        </w:rPr>
        <w:t xml:space="preserve">e,</w:t>
      </w:r>
      <w:r>
        <w:rPr>
          <w:i/>
          <w:iCs/>
        </w:rPr>
        <w:t xml:space="preserve"> </w:t>
      </w:r>
      <w:r>
        <w:rPr>
          <w:i/>
          <w:iCs/>
        </w:rPr>
        <w:t xml:space="preserve">(C,e), D</w:t>
      </w:r>
      <w:r>
        <w:t xml:space="preserve">{</w:t>
      </w:r>
      <w:r>
        <w:t xml:space="preserve">}, D_{</w:t>
      </w:r>
      <w:r>
        <w:t xml:space="preserve">},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)]</w:t>
      </w:r>
      <w:r>
        <w:t xml:space="preserve"> </w:t>
      </w:r>
      <w:r>
        <w:t xml:space="preserve">where (</w:t>
      </w:r>
      <w:r>
        <w:t xml:space="preserve">) aggregates threshold co‑signatures (optional) and (</w:t>
      </w:r>
      <w:r>
        <w:t xml:space="preserve">) carries scheme IDs, jurisdictions, anchors, etc.</w:t>
      </w:r>
    </w:p>
    <w:p>
      <w:pPr>
        <w:pStyle w:val="BodyText"/>
      </w:pPr>
      <w:r>
        <w:rPr>
          <w:b/>
          <w:bCs/>
        </w:rPr>
        <w:t xml:space="preserve">Validity predicate.</w:t>
      </w:r>
      <w:r>
        <w:t xml:space="preserve"> </w:t>
      </w:r>
      <w:r>
        <w:t xml:space="preserve">(</w:t>
      </w:r>
      <w:r>
        <w:t xml:space="preserve">(</w:t>
      </w:r>
      <w:r>
        <w:t xml:space="preserve">)) holds iff all of the following hold:</w:t>
      </w:r>
      <w:r>
        <w:t xml:space="preserve"> </w:t>
      </w:r>
      <w:r>
        <w:t xml:space="preserve">1. (</w:t>
      </w:r>
      <w:r>
        <w:t xml:space="preserve">(C,e,</w:t>
      </w:r>
      <w:r>
        <w:t xml:space="preserve">,R_e))</w:t>
      </w:r>
      <w:r>
        <w:t xml:space="preserve"> </w:t>
      </w:r>
      <w:r>
        <w:t xml:space="preserve">2. (</w:t>
      </w:r>
      <w:r>
        <w:rPr>
          <w:i/>
          <w:iCs/>
        </w:rPr>
        <w:t xml:space="preserve">e = H</w:t>
      </w:r>
      <w:r>
        <w:t xml:space="preserve">{ch}(</w:t>
      </w:r>
      <w:r>
        <w:rPr>
          <w:i/>
          <w:iCs/>
        </w:rPr>
        <w:t xml:space="preserve">{e-1}</w:t>
      </w:r>
      <w:r>
        <w:rPr>
          <w:i/>
          <w:iCs/>
        </w:rPr>
        <w:t xml:space="preserve">R_e))</w:t>
      </w:r>
      <w:r>
        <w:rPr>
          <w:i/>
          <w:iCs/>
        </w:rPr>
        <w:t xml:space="preserve"> </w:t>
      </w:r>
      <w:r>
        <w:rPr>
          <w:i/>
          <w:iCs/>
        </w:rPr>
        <w:t xml:space="preserve">3. If (t=</w:t>
      </w:r>
      <w:r>
        <w:rPr>
          <w:i/>
          <w:iCs/>
        </w:rPr>
        <w:t xml:space="preserve">) then (D</w:t>
      </w:r>
      <w:r>
        <w:t xml:space="preserve">{</w:t>
      </w:r>
      <w:r>
        <w:t xml:space="preserve">}=</w:t>
      </w:r>
      <w:r>
        <w:t xml:space="preserve">) and (D_{</w:t>
      </w:r>
      <w:r>
        <w:t xml:space="preserve">}</w:t>
      </w:r>
      <w:r>
        <w:t xml:space="preserve">{0,1}^</w:t>
      </w:r>
      <w:r>
        <w:t xml:space="preserve">)</w:t>
      </w:r>
      <w:r>
        <w:t xml:space="preserve"> </w:t>
      </w:r>
      <w:r>
        <w:t xml:space="preserve">4. If (</w:t>
      </w:r>
      <w:r>
        <w:t xml:space="preserve">) is required (safety‑critical), (</w:t>
      </w:r>
      <w:r>
        <w:t xml:space="preserve">(</w:t>
      </w:r>
      <w:r>
        <w:t xml:space="preserve">)) holds (§4.4)</w:t>
      </w:r>
      <w:r>
        <w:t xml:space="preserve"> </w:t>
      </w:r>
      <w:r>
        <w:t xml:space="preserve">5. Anchors/jurisdictional checks as configured (§5.2)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poch-timing-model"/>
    <w:p>
      <w:pPr>
        <w:pStyle w:val="Heading2"/>
      </w:pPr>
      <w:r>
        <w:t xml:space="preserve">2. Epoch Timing Model</w:t>
      </w:r>
    </w:p>
    <w:bookmarkStart w:id="26" w:name="epochs-and-boundaries"/>
    <w:p>
      <w:pPr>
        <w:pStyle w:val="Heading3"/>
      </w:pPr>
      <w:r>
        <w:t xml:space="preserve">2.1 Epochs and Boundaries</w:t>
      </w:r>
    </w:p>
    <w:p>
      <w:pPr>
        <w:pStyle w:val="Compact"/>
        <w:numPr>
          <w:ilvl w:val="0"/>
          <w:numId w:val="1005"/>
        </w:numPr>
      </w:pPr>
      <w:r>
        <w:t xml:space="preserve">Wall‑clock is partitioned into contiguous intervals ([</w:t>
      </w:r>
      <w:r>
        <w:rPr>
          <w:i/>
          <w:iCs/>
        </w:rPr>
        <w:t xml:space="preserve">e,</w:t>
      </w:r>
      <w:r>
        <w:t xml:space="preserve">{e+1})). Each epoch label (e) binds to a</w:t>
      </w:r>
      <w:r>
        <w:t xml:space="preserve"> </w:t>
      </w:r>
      <w:r>
        <w:rPr>
          <w:b/>
          <w:bCs/>
        </w:rPr>
        <w:t xml:space="preserve">time window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policy snapshot</w:t>
      </w:r>
      <w:r>
        <w:t xml:space="preserve"> </w:t>
      </w:r>
      <w:r>
        <w:t xml:space="preserve">(</w:t>
      </w:r>
      <w:r>
        <w:t xml:space="preserve">_e).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Synchronization.</w:t>
      </w:r>
      <w:r>
        <w:t xml:space="preserve"> </w:t>
      </w:r>
      <w:r>
        <w:t xml:space="preserve">Nodes maintain clocks with drift bound (</w:t>
      </w:r>
      <w:r>
        <w:t xml:space="preserve">) (via NTP/PTP) and run a consensus time‑stamp rule: an operation belongs to the smallest (e) such that a quorum timestamp (T_q</w:t>
      </w:r>
      <w:r>
        <w:t xml:space="preserve">[</w:t>
      </w:r>
      <w:r>
        <w:rPr>
          <w:i/>
          <w:iCs/>
        </w:rPr>
        <w:t xml:space="preserve">e,</w:t>
      </w:r>
      <w:r>
        <w:t xml:space="preserve">{e+1})).</w:t>
      </w:r>
    </w:p>
    <w:bookmarkEnd w:id="26"/>
    <w:bookmarkStart w:id="27" w:name="safetyliveness-conditions"/>
    <w:p>
      <w:pPr>
        <w:pStyle w:val="Heading3"/>
      </w:pPr>
      <w:r>
        <w:t xml:space="preserve">2.2 Safety/Liveness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No commitment appears in two distinct epochs: if a quorum assigns (e), then re‑assignment to (e’</w:t>
      </w:r>
      <w:r>
        <w:t xml:space="preserve">e) is invalid.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Liveness.</w:t>
      </w:r>
      <w:r>
        <w:t xml:space="preserve"> </w:t>
      </w:r>
      <w:r>
        <w:t xml:space="preserve">Any valid operation broadcast before (</w:t>
      </w:r>
      <w:r>
        <w:t xml:space="preserve">_{e+1}-</w:t>
      </w:r>
      <w:r>
        <w:t xml:space="preserve">) is included in (</w:t>
      </w:r>
      <w:r>
        <w:t xml:space="preserve">_e) with high probability; otherwise it rolls to (e+1).</w:t>
      </w:r>
    </w:p>
    <w:bookmarkEnd w:id="27"/>
    <w:bookmarkStart w:id="28" w:name="timing-for-atomicity"/>
    <w:p>
      <w:pPr>
        <w:pStyle w:val="Heading3"/>
      </w:pPr>
      <w:r>
        <w:t xml:space="preserve">2.3 Timing for Atomicity</w:t>
      </w:r>
    </w:p>
    <w:p>
      <w:pPr>
        <w:pStyle w:val="Compact"/>
        <w:numPr>
          <w:ilvl w:val="0"/>
          <w:numId w:val="1007"/>
        </w:numPr>
      </w:pPr>
      <w:r>
        <w:t xml:space="preserve">Each operation has deadline (T_{</w:t>
      </w:r>
      <w:r>
        <w:t xml:space="preserve">}). If finalization (see §3) is not reached before (T_{</w:t>
      </w:r>
      <w:r>
        <w:t xml:space="preserve">}), the operation aborts with no state effects.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operations-and-algorithms"/>
    <w:p>
      <w:pPr>
        <w:pStyle w:val="Heading2"/>
      </w:pPr>
      <w:r>
        <w:t xml:space="preserve">3. Operations and Algorithms</w:t>
      </w:r>
    </w:p>
    <w:bookmarkStart w:id="30" w:name="constructcommit"/>
    <w:p>
      <w:pPr>
        <w:pStyle w:val="Heading3"/>
      </w:pPr>
      <w:r>
        <w:t xml:space="preserve">3.1 ConstructCommit</w:t>
      </w:r>
    </w:p>
    <w:p>
      <w:pPr>
        <w:pStyle w:val="FirstParagraph"/>
      </w:pPr>
      <w:r>
        <w:t xml:space="preserve">Input: (a,t,e,s,</w:t>
      </w:r>
      <w:r>
        <w:t xml:space="preserve">,</w:t>
      </w:r>
      <w:r>
        <w:t xml:space="preserve">). Output: (C).</w:t>
      </w:r>
    </w:p>
    <w:p>
      <w:pPr>
        <w:pStyle w:val="SourceCode"/>
      </w:pPr>
      <w:r>
        <w:rPr>
          <w:rStyle w:val="VerbatimChar"/>
        </w:rPr>
        <w:t xml:space="preserve">C := Hc(a || e || t || s || Π || aux)</w:t>
      </w:r>
      <w:r>
        <w:br/>
      </w:r>
      <w:r>
        <w:rPr>
          <w:rStyle w:val="VerbatimChar"/>
        </w:rPr>
        <w:t xml:space="preserve">Return C</w:t>
      </w:r>
    </w:p>
    <w:p>
      <w:pPr>
        <w:pStyle w:val="FirstParagraph"/>
      </w:pPr>
      <w:r>
        <w:t xml:space="preserve">Time: (O(1)).</w:t>
      </w:r>
    </w:p>
    <w:bookmarkEnd w:id="30"/>
    <w:bookmarkStart w:id="31" w:name="insertleaf-merkle-accumulator"/>
    <w:p>
      <w:pPr>
        <w:pStyle w:val="Heading3"/>
      </w:pPr>
      <w:r>
        <w:t xml:space="preserve">3.2 InsertLeaf (Merkle Accumulator)</w:t>
      </w:r>
    </w:p>
    <w:p>
      <w:pPr>
        <w:pStyle w:val="FirstParagraph"/>
      </w:pPr>
      <w:r>
        <w:t xml:space="preserve">Insert (C) into (</w:t>
      </w:r>
      <w:r>
        <w:t xml:space="preserve">_e), recompute affected internal hashes. Time: (O(</w:t>
      </w:r>
      <w:r>
        <w:t xml:space="preserve">n_e)) where (n_e=|</w:t>
      </w:r>
      <w:r>
        <w:t xml:space="preserve">_e|). Space: (O(n_e)).</w:t>
      </w:r>
    </w:p>
    <w:bookmarkEnd w:id="31"/>
    <w:bookmarkStart w:id="32" w:name="extendchain"/>
    <w:p>
      <w:pPr>
        <w:pStyle w:val="Heading3"/>
      </w:pPr>
      <w:r>
        <w:t xml:space="preserve">3.3 ExtendChain</w:t>
      </w:r>
    </w:p>
    <w:p>
      <w:pPr>
        <w:pStyle w:val="FirstParagraph"/>
      </w:pPr>
      <w:r>
        <w:t xml:space="preserve">Compute (</w:t>
      </w:r>
      <w:r>
        <w:rPr>
          <w:i/>
          <w:iCs/>
        </w:rPr>
        <w:t xml:space="preserve">e = H</w:t>
      </w:r>
      <w:r>
        <w:t xml:space="preserve">{ch}(</w:t>
      </w:r>
      <w:r>
        <w:t xml:space="preserve">_{e-1}</w:t>
      </w:r>
      <w:r>
        <w:t xml:space="preserve">R_e)). Time: (O(1)).</w:t>
      </w:r>
    </w:p>
    <w:bookmarkEnd w:id="32"/>
    <w:bookmarkStart w:id="33" w:name="makereceipt-transitionstate"/>
    <w:p>
      <w:pPr>
        <w:pStyle w:val="Heading3"/>
      </w:pPr>
      <w:r>
        <w:t xml:space="preserve">3.4 MakeReceipt (Transition‑State)</w:t>
      </w:r>
    </w:p>
    <w:p>
      <w:pPr>
        <w:pStyle w:val="FirstParagraph"/>
      </w:pPr>
      <w:r>
        <w:t xml:space="preserve">Return (</w:t>
      </w:r>
      <w:r>
        <w:t xml:space="preserve">) with Merkle path, root, chain value, optional digests and signatures.</w:t>
      </w:r>
    </w:p>
    <w:bookmarkEnd w:id="33"/>
    <w:bookmarkStart w:id="34" w:name="verifyreceipt"/>
    <w:p>
      <w:pPr>
        <w:pStyle w:val="Heading3"/>
      </w:pPr>
      <w:r>
        <w:t xml:space="preserve">3.5 VerifyReceipt</w:t>
      </w:r>
    </w:p>
    <w:p>
      <w:pPr>
        <w:pStyle w:val="FirstParagraph"/>
      </w:pPr>
      <w:r>
        <w:t xml:space="preserve">Check (</w:t>
      </w:r>
      <w:r>
        <w:t xml:space="preserve">(</w:t>
      </w:r>
      <w:r>
        <w:t xml:space="preserve">)). Time: (O(</w:t>
      </w:r>
      <w:r>
        <w:t xml:space="preserve">n_e)) hash ops + signature verifies.</w:t>
      </w:r>
    </w:p>
    <w:bookmarkEnd w:id="34"/>
    <w:bookmarkStart w:id="35" w:name="destroy-transition"/>
    <w:p>
      <w:pPr>
        <w:pStyle w:val="Heading3"/>
      </w:pPr>
      <w:r>
        <w:t xml:space="preserve">3.6 Destroy Transition</w:t>
      </w:r>
    </w:p>
    <w:p>
      <w:pPr>
        <w:pStyle w:val="FirstParagraph"/>
      </w:pPr>
      <w:r>
        <w:t xml:space="preserve">Require inputs (D_{</w:t>
      </w:r>
      <w:r>
        <w:t xml:space="preserve">}) and set (D_{</w:t>
      </w:r>
      <w:r>
        <w:t xml:space="preserve">}=</w:t>
      </w:r>
      <w:r>
        <w:t xml:space="preserve">). Enforce threshold (</w:t>
      </w:r>
      <w:r>
        <w:t xml:space="preserve">) if configured. Complexity as above.</w:t>
      </w:r>
    </w:p>
    <w:bookmarkEnd w:id="35"/>
    <w:bookmarkStart w:id="36" w:name="migrate-transition"/>
    <w:p>
      <w:pPr>
        <w:pStyle w:val="Heading3"/>
      </w:pPr>
      <w:r>
        <w:t xml:space="preserve">3.7 Migrate Transition</w:t>
      </w:r>
    </w:p>
    <w:p>
      <w:pPr>
        <w:pStyle w:val="FirstParagraph"/>
      </w:pPr>
      <w:r>
        <w:t xml:space="preserve">Carry scheme IDs ((</w:t>
      </w:r>
      <w:r>
        <w:t xml:space="preserve">,</w:t>
      </w:r>
      <w:r>
        <w:t xml:space="preserve">)) in (</w:t>
      </w:r>
      <w:r>
        <w:t xml:space="preserve">). Optional proof of correct re‑encryption can be provided as a ZK proof (§7.3).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tomic-transaction-protocol-consensus"/>
    <w:p>
      <w:pPr>
        <w:pStyle w:val="Heading2"/>
      </w:pPr>
      <w:r>
        <w:t xml:space="preserve">4. Atomic Transaction Protocol &amp; Consensus</w:t>
      </w:r>
    </w:p>
    <w:p>
      <w:pPr>
        <w:pStyle w:val="FirstParagraph"/>
      </w:pPr>
      <w:r>
        <w:t xml:space="preserve">We define a two‑layer protocol</w:t>
      </w:r>
      <w:r>
        <w:t xml:space="preserve"> </w:t>
      </w:r>
      <w:r>
        <w:rPr>
          <w:b/>
          <w:bCs/>
        </w:rPr>
        <w:t xml:space="preserve">CSTP‑ATOMIC</w:t>
      </w:r>
      <w:r>
        <w:t xml:space="preserve">: a local atomicity engine plus a BFT consensus to finalize epoch roots.</w:t>
      </w:r>
    </w:p>
    <w:bookmarkStart w:id="38" w:name="system-model"/>
    <w:p>
      <w:pPr>
        <w:pStyle w:val="Heading3"/>
      </w:pPr>
      <w:r>
        <w:t xml:space="preserve">4.1 System Model</w:t>
      </w:r>
    </w:p>
    <w:p>
      <w:pPr>
        <w:pStyle w:val="Compact"/>
        <w:numPr>
          <w:ilvl w:val="0"/>
          <w:numId w:val="1008"/>
        </w:numPr>
      </w:pPr>
      <w:r>
        <w:t xml:space="preserve">Partially synchronous network, up to (f&lt;</w:t>
      </w:r>
      <w:r>
        <w:t xml:space="preserve">(N-1)/3</w:t>
      </w:r>
      <w:r>
        <w:t xml:space="preserve">) Byzantine nodes.</w:t>
      </w:r>
    </w:p>
    <w:p>
      <w:pPr>
        <w:pStyle w:val="Compact"/>
        <w:numPr>
          <w:ilvl w:val="0"/>
          <w:numId w:val="1008"/>
        </w:numPr>
      </w:pPr>
      <w:r>
        <w:t xml:space="preserve">Fault domain: consensus replicas; accumulators/constructors are deterministic functions over decided inputs.</w:t>
      </w:r>
    </w:p>
    <w:bookmarkEnd w:id="38"/>
    <w:bookmarkStart w:id="39" w:name="local-atomicity-abcommit"/>
    <w:p>
      <w:pPr>
        <w:pStyle w:val="Heading3"/>
      </w:pPr>
      <w:r>
        <w:t xml:space="preserve">4.2 Local Atomicity (A‑B‑Commit)</w:t>
      </w:r>
    </w:p>
    <w:p>
      <w:pPr>
        <w:pStyle w:val="FirstParagraph"/>
      </w:pPr>
      <w:r>
        <w:t xml:space="preserve">For each operation (op):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Prepare.</w:t>
      </w:r>
      <w:r>
        <w:t xml:space="preserve"> </w:t>
      </w:r>
      <w:r>
        <w:t xml:space="preserve">Build (C); stage in a transactional buffer.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Append.</w:t>
      </w:r>
      <w:r>
        <w:t xml:space="preserve"> </w:t>
      </w:r>
      <w:r>
        <w:t xml:space="preserve">Propose (C) into the epoch mempool (</w:t>
      </w:r>
      <w:r>
        <w:t xml:space="preserve">_e).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Finalize.</w:t>
      </w:r>
      <w:r>
        <w:t xml:space="preserve"> </w:t>
      </w:r>
      <w:r>
        <w:t xml:space="preserve">Upon consensus decision for block (B_e), materialize (</w:t>
      </w:r>
      <w:r>
        <w:t xml:space="preserve">_e), compute (R_e), (</w:t>
      </w:r>
      <w:r>
        <w:rPr>
          <w:i/>
          <w:iCs/>
        </w:rPr>
        <w:t xml:space="preserve">e), emit (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Abort if block not finalized by (T</w:t>
      </w:r>
      <w:r>
        <w:t xml:space="preserve">{</w:t>
      </w:r>
      <w:r>
        <w:t xml:space="preserve">}).</w:t>
      </w:r>
    </w:p>
    <w:bookmarkEnd w:id="39"/>
    <w:bookmarkStart w:id="40" w:name="bft-finality"/>
    <w:p>
      <w:pPr>
        <w:pStyle w:val="Heading3"/>
      </w:pPr>
      <w:r>
        <w:t xml:space="preserve">4.3 BFT Finality</w:t>
      </w:r>
    </w:p>
    <w:p>
      <w:pPr>
        <w:pStyle w:val="FirstParagraph"/>
      </w:pPr>
      <w:r>
        <w:t xml:space="preserve">Use any HotStuff/Tendermint‑style single‑chain BFT with quorum certificates (QCs). Properties: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Safety.</w:t>
      </w:r>
      <w:r>
        <w:t xml:space="preserve"> </w:t>
      </w:r>
      <w:r>
        <w:t xml:space="preserve">At most one (R_e) per epoch decides.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Liveness.</w:t>
      </w:r>
      <w:r>
        <w:t xml:space="preserve"> </w:t>
      </w:r>
      <w:r>
        <w:t xml:space="preserve">Under partial synchrony, decisions occur in expected constant rounds.</w:t>
      </w:r>
      <w:r>
        <w:t xml:space="preserve"> </w:t>
      </w:r>
      <w:r>
        <w:t xml:space="preserve">Complexity: Amortized (O(1)) hashes per op for chain extension; consensus message complexity (O(N)) per block; latency a small constant number of rounds.</w:t>
      </w:r>
    </w:p>
    <w:bookmarkEnd w:id="40"/>
    <w:bookmarkStart w:id="41" w:name="threshold-authorization"/>
    <w:p>
      <w:pPr>
        <w:pStyle w:val="Heading3"/>
      </w:pPr>
      <w:r>
        <w:t xml:space="preserve">4.4 Threshold Authorization</w:t>
      </w:r>
    </w:p>
    <w:p>
      <w:pPr>
        <w:pStyle w:val="FirstParagraph"/>
      </w:pPr>
      <w:r>
        <w:t xml:space="preserve">Configure (</w:t>
      </w:r>
      <w:r>
        <w:t xml:space="preserve">(</w:t>
      </w:r>
      <w:r>
        <w:t xml:space="preserve">)) as (</w:t>
      </w:r>
      <w:r>
        <w:t xml:space="preserve">= ({</w:t>
      </w:r>
      <w:r>
        <w:rPr>
          <w:i/>
          <w:iCs/>
        </w:rPr>
        <w:t xml:space="preserve">i}</w:t>
      </w:r>
      <w:r>
        <w:t xml:space="preserve">{i</w:t>
      </w:r>
      <w:r>
        <w:t xml:space="preserve">S}, k)) where (|S|</w:t>
      </w:r>
      <w:r>
        <w:t xml:space="preserve">k), and each (</w:t>
      </w:r>
      <w:r>
        <w:t xml:space="preserve">_i) is an EUF‑CMA signature over a canonical transcript (</w:t>
      </w:r>
      <w:r>
        <w:t xml:space="preserve">) containing (C,e,</w:t>
      </w:r>
      <w:r>
        <w:t xml:space="preserve">). Verification uses standard threshold aggregation (e.g., BLS or Schnorr multisig). See safety‑critical semantics in §8.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ork-resolution-jurisdictional-anchors"/>
    <w:p>
      <w:pPr>
        <w:pStyle w:val="Heading2"/>
      </w:pPr>
      <w:r>
        <w:t xml:space="preserve">5. Fork Resolution &amp; Jurisdictional Anchors</w:t>
      </w:r>
    </w:p>
    <w:bookmarkStart w:id="43" w:name="fork-resolution"/>
    <w:p>
      <w:pPr>
        <w:pStyle w:val="Heading3"/>
      </w:pPr>
      <w:r>
        <w:t xml:space="preserve">5.1 Fork Resolution</w:t>
      </w:r>
    </w:p>
    <w:p>
      <w:pPr>
        <w:pStyle w:val="FirstParagraph"/>
      </w:pPr>
      <w:r>
        <w:t xml:space="preserve">With BFT finality, forks are precluded after commit. If a temporary divergence occurs pre‑finality, the</w:t>
      </w:r>
      <w:r>
        <w:t xml:space="preserve"> </w:t>
      </w:r>
      <w:r>
        <w:rPr>
          <w:b/>
          <w:bCs/>
        </w:rPr>
        <w:t xml:space="preserve">unique decided QC</w:t>
      </w:r>
      <w:r>
        <w:t xml:space="preserve"> </w:t>
      </w:r>
      <w:r>
        <w:t xml:space="preserve">chooses the canonical (R_e). Any receipt whose (</w:t>
      </w:r>
      <w:r>
        <w:t xml:space="preserve">_e) does not extend the canonical chain is invalid.</w:t>
      </w:r>
    </w:p>
    <w:bookmarkEnd w:id="43"/>
    <w:bookmarkStart w:id="44" w:name="parallel-accumulators-crossdomain"/>
    <w:p>
      <w:pPr>
        <w:pStyle w:val="Heading3"/>
      </w:pPr>
      <w:r>
        <w:t xml:space="preserve">5.2 Parallel Accumulators (Cross‑Domain)</w:t>
      </w:r>
    </w:p>
    <w:p>
      <w:pPr>
        <w:pStyle w:val="FirstParagraph"/>
      </w:pPr>
      <w:r>
        <w:t xml:space="preserve">For policies requiring independent audit domains, maintain parallel (</w:t>
      </w:r>
      <w:r>
        <w:t xml:space="preserve">_e^{(j)}) per jurisdiction (j) with roots (R_e^{(j)}) and cumulative chains (</w:t>
      </w:r>
      <w:r>
        <w:t xml:space="preserve">_e^{(j)}). Receipts include one or more ((R_e^{(j)},</w:t>
      </w:r>
      <w:r>
        <w:t xml:space="preserve">_e^{(j)})). Cross‑domain consistency is not required; each domain validates independently.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olicyhash-construction"/>
    <w:p>
      <w:pPr>
        <w:pStyle w:val="Heading2"/>
      </w:pPr>
      <w:r>
        <w:t xml:space="preserve">6. Policy‑Hash Construction</w:t>
      </w:r>
    </w:p>
    <w:p>
      <w:pPr>
        <w:pStyle w:val="FirstParagraph"/>
      </w:pPr>
      <w:r>
        <w:t xml:space="preserve">Define a canonical serialization:</w:t>
      </w:r>
      <w:r>
        <w:t xml:space="preserve"> </w:t>
      </w:r>
      <w:r>
        <w:t xml:space="preserve">[</w:t>
      </w:r>
      <w:r>
        <w:t xml:space="preserve"> </w:t>
      </w:r>
      <w:r>
        <w:t xml:space="preserve">:= H_c(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]</w:t>
      </w:r>
      <w:r>
        <w:t xml:space="preserve"> </w:t>
      </w:r>
      <w:r>
        <w:rPr>
          <w:b/>
          <w:bCs/>
        </w:rPr>
        <w:t xml:space="preserve">Binding rule.</w:t>
      </w:r>
      <w:r>
        <w:t xml:space="preserve"> </w:t>
      </w:r>
      <w:r>
        <w:t xml:space="preserve">The commitment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 (</w:t>
      </w:r>
      <w:r>
        <w:t xml:space="preserve">). The verifier can check that the transition cited a precise governing basis without reading policy contents.</w:t>
      </w:r>
    </w:p>
    <w:p>
      <w:pPr>
        <w:pStyle w:val="BodyText"/>
      </w:pPr>
      <w:r>
        <w:rPr>
          <w:b/>
          <w:bCs/>
        </w:rPr>
        <w:t xml:space="preserve">Change control.</w:t>
      </w:r>
      <w:r>
        <w:t xml:space="preserve"> </w:t>
      </w:r>
      <w:r>
        <w:t xml:space="preserve">Policy updates advance version; backward compatibility is achieved by allowing multiple (</w:t>
      </w:r>
      <w:r>
        <w:t xml:space="preserve">) values within an epoch; regulators can require (</w:t>
      </w:r>
      <w:r>
        <w:t xml:space="preserve">_e) (the epoch’s allowed policy set).</w:t>
      </w:r>
    </w:p>
    <w:p>
      <w:r>
        <w:pict>
          <v:rect style="width:0;height:1.5pt" o:hralign="center" o:hrstd="t" o:hr="t"/>
        </w:pict>
      </w:r>
    </w:p>
    <w:bookmarkEnd w:id="46"/>
    <w:bookmarkStart w:id="51" w:name="privacy-model-zeroknowledge-extensions"/>
    <w:p>
      <w:pPr>
        <w:pStyle w:val="Heading2"/>
      </w:pPr>
      <w:r>
        <w:t xml:space="preserve">7. Privacy Model &amp; Zero‑Knowledge Extensions</w:t>
      </w:r>
    </w:p>
    <w:bookmarkStart w:id="47" w:name="baseline-privacy"/>
    <w:p>
      <w:pPr>
        <w:pStyle w:val="Heading3"/>
      </w:pPr>
      <w:r>
        <w:t xml:space="preserve">7.1 Baseline Privacy</w:t>
      </w:r>
    </w:p>
    <w:p>
      <w:pPr>
        <w:pStyle w:val="Compact"/>
        <w:numPr>
          <w:ilvl w:val="0"/>
          <w:numId w:val="1009"/>
        </w:numPr>
      </w:pPr>
      <w:r>
        <w:t xml:space="preserve">Receipts reveal only (C, e, R_e,</w:t>
      </w:r>
      <w:r>
        <w:t xml:space="preserve"> </w:t>
      </w:r>
      <w:r>
        <w:t xml:space="preserve">_e,</w:t>
      </w:r>
      <w:r>
        <w:t xml:space="preserve"> </w:t>
      </w:r>
      <w:r>
        <w:t xml:space="preserve">) and optional digests. Since (C) is a salted commitment, asset identifiers are computationally hidden (dictionary attacks thwarted by salt entropy).</w:t>
      </w:r>
    </w:p>
    <w:bookmarkEnd w:id="47"/>
    <w:bookmarkStart w:id="48" w:name="formal-guarantee"/>
    <w:p>
      <w:pPr>
        <w:pStyle w:val="Heading3"/>
      </w:pPr>
      <w:r>
        <w:t xml:space="preserve">7.2 Formal Guarantee</w:t>
      </w:r>
    </w:p>
    <w:p>
      <w:pPr>
        <w:pStyle w:val="FirstParagraph"/>
      </w:pPr>
      <w:r>
        <w:t xml:space="preserve">For any PPT adversary without salt or asset bytes, distinguishing two assets mapped to commitments is bounded by collision/preimage probabilities of (H_c) ((</w:t>
      </w:r>
      <w:r>
        <w:t xml:space="preserve">^{-</w:t>
      </w:r>
      <w:r>
        <w:t xml:space="preserve">})).</w:t>
      </w:r>
    </w:p>
    <w:bookmarkEnd w:id="48"/>
    <w:bookmarkStart w:id="49" w:name="optional-zk-proofs"/>
    <w:p>
      <w:pPr>
        <w:pStyle w:val="Heading3"/>
      </w:pPr>
      <w:r>
        <w:t xml:space="preserve">7.3 Optional ZK Proofs</w:t>
      </w:r>
    </w:p>
    <w:p>
      <w:pPr>
        <w:pStyle w:val="FirstParagraph"/>
      </w:pPr>
      <w:r>
        <w:t xml:space="preserve">Define NP relation (</w:t>
      </w:r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w:r>
        <w:rPr>
          <w:i/>
          <w:iCs/>
        </w:rPr>
        <w:t xml:space="preserve">&gt; Witness: plaintext (M), keys (K</w:t>
      </w:r>
      <w:r>
        <w:t xml:space="preserve">{old},K_{new}). Statement:</w:t>
      </w:r>
      <w:r>
        <w:t xml:space="preserve"> </w:t>
      </w:r>
      <w:r>
        <w:t xml:space="preserve">“(C) binds a migration where (</w:t>
      </w:r>
      <w:r>
        <w:rPr>
          <w:i/>
          <w:iCs/>
        </w:rPr>
        <w:t xml:space="preserve">{old}(M,K</w:t>
      </w:r>
      <w:r>
        <w:t xml:space="preserve">{old})) and (</w:t>
      </w:r>
      <w:r>
        <w:rPr>
          <w:i/>
          <w:iCs/>
        </w:rPr>
        <w:t xml:space="preserve">{new}(M,K</w:t>
      </w:r>
      <w:r>
        <w:t xml:space="preserve">{new})) encrypt the same (M).”</w:t>
      </w:r>
    </w:p>
    <w:p>
      <w:pPr>
        <w:pStyle w:val="BodyText"/>
      </w:pPr>
      <w:r>
        <w:t xml:space="preserve">Provide a zk‑SNARK/zk‑STARK proof (</w:t>
      </w:r>
      <w:r>
        <w:t xml:space="preserve">) that ((</w:t>
      </w:r>
      <w:r>
        <w:t xml:space="preserve">,</w:t>
      </w:r>
      <w:r>
        <w:t xml:space="preserve">)</w:t>
      </w:r>
      <w:r>
        <w:t xml:space="preserve">_</w:t>
      </w:r>
      <w:r>
        <w:t xml:space="preserve">) without revealing (M). Verifier checks (</w:t>
      </w:r>
      <w:r>
        <w:t xml:space="preserve">) in (O(</w:t>
      </w:r>
      <w:r>
        <w:t xml:space="preserve">n)) or sub‑linear time depending on the scheme.</w:t>
      </w:r>
    </w:p>
    <w:bookmarkEnd w:id="49"/>
    <w:bookmarkStart w:id="50" w:name="zeroknowledge-nonreachability-optional"/>
    <w:p>
      <w:pPr>
        <w:pStyle w:val="Heading3"/>
      </w:pPr>
      <w:r>
        <w:t xml:space="preserve">7.4 Zero‑Knowledge Non‑Reachability (Optional)</w:t>
      </w:r>
    </w:p>
    <w:p>
      <w:pPr>
        <w:pStyle w:val="FirstParagraph"/>
      </w:pPr>
      <w:r>
        <w:t xml:space="preserve">To avoid revealing that a specific asset underwent destruction, prove in ZK that</w:t>
      </w:r>
      <w:r>
        <w:t xml:space="preserve"> </w:t>
      </w:r>
      <w:r>
        <w:t xml:space="preserve">“there exists a leaf (C) with type=destroy and policy=</w:t>
      </w:r>
      <w:r>
        <w:t xml:space="preserve">within epoch (e) and jurisdiction (j),”</w:t>
      </w:r>
      <w:r>
        <w:t xml:space="preserve"> </w:t>
      </w:r>
      <w:r>
        <w:t xml:space="preserve">using a Merkle membership zk‑proof with public (R_e^{(j)}).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evocation-correction-semantics"/>
    <w:p>
      <w:pPr>
        <w:pStyle w:val="Heading2"/>
      </w:pPr>
      <w:r>
        <w:t xml:space="preserve">8. Revocation &amp; Correction Semantics</w:t>
      </w:r>
    </w:p>
    <w:p>
      <w:pPr>
        <w:pStyle w:val="FirstParagraph"/>
      </w:pPr>
      <w:r>
        <w:t xml:space="preserve">The model is unidirectional; prior states are immutable. Errors are handled by</w:t>
      </w:r>
      <w:r>
        <w:t xml:space="preserve"> </w:t>
      </w:r>
      <w:r>
        <w:rPr>
          <w:b/>
          <w:bCs/>
        </w:rPr>
        <w:t xml:space="preserve">supersession</w:t>
      </w:r>
      <w:r>
        <w:t xml:space="preserve">, not reversal.</w:t>
      </w:r>
    </w:p>
    <w:bookmarkStart w:id="52" w:name="supersede-transition"/>
    <w:p>
      <w:pPr>
        <w:pStyle w:val="Heading3"/>
      </w:pPr>
      <w:r>
        <w:t xml:space="preserve">8.1 Supersede Transition</w:t>
      </w:r>
    </w:p>
    <w:p>
      <w:pPr>
        <w:pStyle w:val="FirstParagraph"/>
      </w:pPr>
      <w:r>
        <w:t xml:space="preserve">Introduce (t=</w:t>
      </w:r>
      <w:r>
        <w:t xml:space="preserve">). Given an erroneous (</w:t>
      </w:r>
      <w:r>
        <w:t xml:space="preserve">_0), issue (</w:t>
      </w:r>
      <w:r>
        <w:t xml:space="preserve">_1) that:</w:t>
      </w:r>
      <w:r>
        <w:t xml:space="preserve"> </w:t>
      </w:r>
      <w:r>
        <w:t xml:space="preserve">- references (</w:t>
      </w:r>
      <w:r>
        <w:t xml:space="preserve">_0)’s commitment inside (</w:t>
      </w:r>
      <w:r>
        <w:t xml:space="preserve">),</w:t>
      </w:r>
      <w:r>
        <w:t xml:space="preserve"> </w:t>
      </w:r>
      <w:r>
        <w:t xml:space="preserve">- binds a corrective policy (</w:t>
      </w:r>
      <w:r>
        <w:t xml:space="preserve">’), and</w:t>
      </w:r>
      <w:r>
        <w:t xml:space="preserve"> </w:t>
      </w:r>
      <w:r>
        <w:t xml:space="preserve">- carries threshold (</w:t>
      </w:r>
      <w:r>
        <w:t xml:space="preserve">) from an elevated authority class.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Verifiers accept (</w:t>
      </w:r>
      <w:r>
        <w:t xml:space="preserve">_1) as the governing state for future processes while retaining (</w:t>
      </w:r>
      <w:r>
        <w:t xml:space="preserve">_0) in history. No asset resurrection occurs after (</w:t>
      </w:r>
      <w:r>
        <w:t xml:space="preserve">).</w:t>
      </w:r>
    </w:p>
    <w:bookmarkEnd w:id="52"/>
    <w:bookmarkStart w:id="53" w:name="revocation-lists"/>
    <w:p>
      <w:pPr>
        <w:pStyle w:val="Heading3"/>
      </w:pPr>
      <w:r>
        <w:t xml:space="preserve">8.2 Revocation Lists</w:t>
      </w:r>
    </w:p>
    <w:p>
      <w:pPr>
        <w:pStyle w:val="FirstParagraph"/>
      </w:pPr>
      <w:r>
        <w:t xml:space="preserve">Publish epoch‑scoped CRLs for</w:t>
      </w:r>
      <w:r>
        <w:t xml:space="preserve"> </w:t>
      </w:r>
      <w:r>
        <w:rPr>
          <w:b/>
          <w:bCs/>
        </w:rPr>
        <w:t xml:space="preserve">attestations</w:t>
      </w:r>
      <w:r>
        <w:t xml:space="preserve"> </w:t>
      </w:r>
      <w:r>
        <w:t xml:space="preserve">(signatures), not for state objects. A revoked co‑signature does not invalidate the underlying proof of transition; rather, it marks the authorization key as untrusted prospectively.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8dbde33c55edb21c7f01de37764137f8c5dc9c0"/>
    <w:p>
      <w:pPr>
        <w:pStyle w:val="Heading2"/>
      </w:pPr>
      <w:r>
        <w:t xml:space="preserve">9. Storage Optimization: Aggregation &amp; Batching</w:t>
      </w:r>
    </w:p>
    <w:bookmarkStart w:id="55" w:name="multiproof-aggregation"/>
    <w:p>
      <w:pPr>
        <w:pStyle w:val="Heading3"/>
      </w:pPr>
      <w:r>
        <w:t xml:space="preserve">9.1 Multi‑Proof Aggregation</w:t>
      </w:r>
    </w:p>
    <w:p>
      <w:pPr>
        <w:pStyle w:val="FirstParagraph"/>
      </w:pPr>
      <w:r>
        <w:t xml:space="preserve">Use Merkle multiproofs to batch (m) receipts from the same (</w:t>
      </w:r>
      <w:r>
        <w:t xml:space="preserve">_e): share sibling hashes; verification becomes (O(</w:t>
      </w:r>
      <w:r>
        <w:t xml:space="preserve">n_e + m)) instead of (O(m</w:t>
      </w:r>
      <w:r>
        <w:t xml:space="preserve">n_e)); proof size shrinks by ~40–70% for typical batch sizes.</w:t>
      </w:r>
    </w:p>
    <w:bookmarkEnd w:id="55"/>
    <w:bookmarkStart w:id="56" w:name="chain-compression"/>
    <w:p>
      <w:pPr>
        <w:pStyle w:val="Heading3"/>
      </w:pPr>
      <w:r>
        <w:t xml:space="preserve">9.2 Chain Compression</w:t>
      </w:r>
    </w:p>
    <w:p>
      <w:pPr>
        <w:pStyle w:val="FirstParagraph"/>
      </w:pPr>
      <w:r>
        <w:t xml:space="preserve">Periodically checkpoint (</w:t>
      </w:r>
      <w:r>
        <w:rPr>
          <w:i/>
          <w:iCs/>
        </w:rPr>
        <w:t xml:space="preserve">e) into an external anchor and prune intermediate (R_e) material while retaining proofs sufficient to recompute (</w:t>
      </w:r>
      <w:r>
        <w:rPr>
          <w:i/>
          <w:iCs/>
        </w:rPr>
        <w:t xml:space="preserve">). Use skip‑links: (</w:t>
      </w:r>
      <w:r>
        <w:t xml:space="preserve">{e+k}=H_{ch}(</w:t>
      </w:r>
      <w:r>
        <w:rPr>
          <w:i/>
          <w:iCs/>
        </w:rPr>
        <w:t xml:space="preserve">e</w:t>
      </w:r>
      <w:r>
        <w:rPr>
          <w:i/>
          <w:iCs/>
        </w:rPr>
        <w:t xml:space="preserve">R</w:t>
      </w:r>
      <w:r>
        <w:t xml:space="preserve">{e+1}</w:t>
      </w:r>
      <w:r>
        <w:t xml:space="preserve">R_{e+k})).</w:t>
      </w:r>
    </w:p>
    <w:bookmarkEnd w:id="56"/>
    <w:bookmarkStart w:id="57" w:name="receipt-deduplication"/>
    <w:p>
      <w:pPr>
        <w:pStyle w:val="Heading3"/>
      </w:pPr>
      <w:r>
        <w:t xml:space="preserve">9.3 Receipt Deduplication</w:t>
      </w:r>
    </w:p>
    <w:p>
      <w:pPr>
        <w:pStyle w:val="FirstParagraph"/>
      </w:pPr>
      <w:r>
        <w:t xml:space="preserve">Normalize receipts by canonical ordering of siblings and field hashing; store only ({C, e,</w:t>
      </w:r>
      <w:r>
        <w:t xml:space="preserve"> </w:t>
      </w:r>
      <w:r>
        <w:t xml:space="preserve">}) and derive (R_e,</w:t>
      </w:r>
      <w:r>
        <w:t xml:space="preserve">_e) on demand.</w:t>
      </w:r>
    </w:p>
    <w:bookmarkEnd w:id="57"/>
    <w:bookmarkStart w:id="58" w:name="batch-authorization"/>
    <w:p>
      <w:pPr>
        <w:pStyle w:val="Heading3"/>
      </w:pPr>
      <w:r>
        <w:t xml:space="preserve">9.4 Batch Authorization</w:t>
      </w:r>
    </w:p>
    <w:p>
      <w:pPr>
        <w:pStyle w:val="FirstParagraph"/>
      </w:pPr>
      <w:r>
        <w:t xml:space="preserve">Aggregate threshold signatures via BLS multi‑sig for a batch transcript; include a per‑item Merkle commitment to avoid cross‑item malleability.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995f23c8ae95a9f5946d812f43e6529f9c3dcfe"/>
    <w:p>
      <w:pPr>
        <w:pStyle w:val="Heading2"/>
      </w:pPr>
      <w:r>
        <w:t xml:space="preserve">10. Quantum‑Safe Migration &amp; Security Reductions</w:t>
      </w:r>
    </w:p>
    <w:bookmarkStart w:id="60" w:name="assumptions"/>
    <w:p>
      <w:pPr>
        <w:pStyle w:val="Heading3"/>
      </w:pPr>
      <w:r>
        <w:t xml:space="preserve">10.1 Assumptions</w:t>
      </w:r>
    </w:p>
    <w:p>
      <w:pPr>
        <w:pStyle w:val="Compact"/>
        <w:numPr>
          <w:ilvl w:val="0"/>
          <w:numId w:val="1010"/>
        </w:numPr>
      </w:pPr>
      <w:r>
        <w:t xml:space="preserve">Hash security: (H_c,H_m,H_{ch}) are modeled as RO or standard CR with (2^{-</w:t>
      </w:r>
      <w:r>
        <w:t xml:space="preserve">}) bounds.</w:t>
      </w:r>
    </w:p>
    <w:p>
      <w:pPr>
        <w:pStyle w:val="Compact"/>
        <w:numPr>
          <w:ilvl w:val="0"/>
          <w:numId w:val="1010"/>
        </w:numPr>
      </w:pPr>
      <w:r>
        <w:t xml:space="preserve">PQ signatures: EUF‑CMA secure (e.g., Dilithium/BLS12‑381 with PQ variant; or hash‑based SPHINCS+).</w:t>
      </w:r>
    </w:p>
    <w:p>
      <w:pPr>
        <w:pStyle w:val="Compact"/>
        <w:numPr>
          <w:ilvl w:val="0"/>
          <w:numId w:val="1010"/>
        </w:numPr>
      </w:pPr>
      <w:r>
        <w:t xml:space="preserve">Optional KEMs for encryptions in (</w:t>
      </w:r>
      <w:r>
        <w:t xml:space="preserve">_</w:t>
      </w:r>
      <w:r>
        <w:t xml:space="preserve">): IND‑CCA secure (e.g., Kyber).</w:t>
      </w:r>
    </w:p>
    <w:bookmarkEnd w:id="60"/>
    <w:bookmarkStart w:id="61" w:name="security-of-commitments-after-migration"/>
    <w:p>
      <w:pPr>
        <w:pStyle w:val="Heading3"/>
      </w:pPr>
      <w:r>
        <w:t xml:space="preserve">10.2 Security of Commitments after Migration</w:t>
      </w:r>
    </w:p>
    <w:p>
      <w:pPr>
        <w:pStyle w:val="FirstParagraph"/>
      </w:pPr>
      <w:r>
        <w:t xml:space="preserve">If (H_c) is upgraded to (H_c’) and receipts bind the</w:t>
      </w:r>
      <w:r>
        <w:t xml:space="preserve"> </w:t>
      </w:r>
      <w:r>
        <w:rPr>
          <w:b/>
          <w:bCs/>
        </w:rPr>
        <w:t xml:space="preserve">scheme identifier</w:t>
      </w:r>
      <w:r>
        <w:t xml:space="preserve"> </w:t>
      </w:r>
      <w:r>
        <w:t xml:space="preserve">and epoch, then for any PPT adversary distinguishing pre‑ vs post‑migration commitments beyond negligible advantage implies either a break of (H_c’) or of the signature scheme authenticating the migration TS. Hence, migration preserves binding/hiding under the target scheme.</w:t>
      </w:r>
    </w:p>
    <w:bookmarkEnd w:id="61"/>
    <w:bookmarkStart w:id="62" w:name="destruction-proofs-postquantum"/>
    <w:p>
      <w:pPr>
        <w:pStyle w:val="Heading3"/>
      </w:pPr>
      <w:r>
        <w:t xml:space="preserve">10.3 Destruction Proofs Post‑Quantum</w:t>
      </w:r>
    </w:p>
    <w:p>
      <w:pPr>
        <w:pStyle w:val="FirstParagraph"/>
      </w:pPr>
      <w:r>
        <w:t xml:space="preserve">Destruction relies on (</w:t>
      </w:r>
      <w:r>
        <w:t xml:space="preserve">) being non‑derivable from valid preimages. Under RO, probability an adversary forges a destruction TS with valid Merkle membership and chain value without inclusion is bounded by the collision resistance of (H_m) and (H_{ch}). PQ safety follows from the hash’s post‑quantum parameters ((</w:t>
      </w:r>
      <w:r>
        <w:t xml:space="preserve">) chosen accordingly).</w:t>
      </w:r>
    </w:p>
    <w:bookmarkEnd w:id="62"/>
    <w:bookmarkStart w:id="63" w:name="zk-soundness-postquantum-optional"/>
    <w:p>
      <w:pPr>
        <w:pStyle w:val="Heading3"/>
      </w:pPr>
      <w:r>
        <w:t xml:space="preserve">10.4 ZK Soundness Post‑Quantum (Optional)</w:t>
      </w:r>
    </w:p>
    <w:p>
      <w:pPr>
        <w:pStyle w:val="FirstParagraph"/>
      </w:pPr>
      <w:r>
        <w:t xml:space="preserve">Choose zk‑systems with plausibly PQ security (e.g., STARKs). The privacy and soundness of §7.3/7.4 inherit from the underlying proof system.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rivacy-guarantees-formal-statements"/>
    <w:p>
      <w:pPr>
        <w:pStyle w:val="Heading2"/>
      </w:pPr>
      <w:r>
        <w:t xml:space="preserve">11. Privacy Guarantees (Formal Statements)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Hiding of identifiers.</w:t>
      </w:r>
      <w:r>
        <w:t xml:space="preserve"> </w:t>
      </w:r>
      <w:r>
        <w:t xml:space="preserve">For any two assets (a_0,a_1) and salts (s_0,s_1) of sufficient entropy, commitments are computationally indistinguishable.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Receipt minimality.</w:t>
      </w:r>
      <w:r>
        <w:t xml:space="preserve"> </w:t>
      </w:r>
      <w:r>
        <w:t xml:space="preserve">Verification requires no asset content; correctness depends only on public digests and proofs.</w:t>
      </w:r>
    </w:p>
    <w:p>
      <w:r>
        <w:pict>
          <v:rect style="width:0;height:1.5pt" o:hralign="center" o:hrstd="t" o:hr="t"/>
        </w:pict>
      </w:r>
    </w:p>
    <w:bookmarkEnd w:id="65"/>
    <w:bookmarkStart w:id="66" w:name="complexity-summary"/>
    <w:p>
      <w:pPr>
        <w:pStyle w:val="Heading2"/>
      </w:pPr>
      <w:r>
        <w:t xml:space="preserve">12. Complexity Summary</w:t>
      </w:r>
    </w:p>
    <w:p>
      <w:pPr>
        <w:pStyle w:val="Compact"/>
        <w:numPr>
          <w:ilvl w:val="0"/>
          <w:numId w:val="1012"/>
        </w:numPr>
      </w:pPr>
      <w:r>
        <w:t xml:space="preserve">Insert leaf: (O(</w:t>
      </w:r>
      <w:r>
        <w:t xml:space="preserve">n_e)) time, (O(1)) parallel depth; proof size (O(</w:t>
      </w:r>
      <w:r>
        <w:t xml:space="preserve">n_e)) hashes.</w:t>
      </w:r>
    </w:p>
    <w:p>
      <w:pPr>
        <w:pStyle w:val="Compact"/>
        <w:numPr>
          <w:ilvl w:val="0"/>
          <w:numId w:val="1012"/>
        </w:numPr>
      </w:pPr>
      <w:r>
        <w:t xml:space="preserve">Verify receipt: (O(</w:t>
      </w:r>
      <w:r>
        <w:t xml:space="preserve">n_e)) hash ops + signature checks.</w:t>
      </w:r>
    </w:p>
    <w:p>
      <w:pPr>
        <w:pStyle w:val="Compact"/>
        <w:numPr>
          <w:ilvl w:val="0"/>
          <w:numId w:val="1012"/>
        </w:numPr>
      </w:pPr>
      <w:r>
        <w:t xml:space="preserve">Extend chain: (O(1)).</w:t>
      </w:r>
    </w:p>
    <w:p>
      <w:pPr>
        <w:pStyle w:val="Compact"/>
        <w:numPr>
          <w:ilvl w:val="0"/>
          <w:numId w:val="1012"/>
        </w:numPr>
      </w:pPr>
      <w:r>
        <w:t xml:space="preserve">Multiproof verify ((m) leaves, one tree): (O(</w:t>
      </w:r>
      <w:r>
        <w:t xml:space="preserve">n_e + m)).</w:t>
      </w:r>
    </w:p>
    <w:p>
      <w:pPr>
        <w:pStyle w:val="Compact"/>
        <w:numPr>
          <w:ilvl w:val="0"/>
          <w:numId w:val="1012"/>
        </w:numPr>
      </w:pPr>
      <w:r>
        <w:t xml:space="preserve">Consensus (per finalized block of B transactions): message (O(N)); latency constant rounds under partial synchrony.</w:t>
      </w:r>
    </w:p>
    <w:p>
      <w:r>
        <w:pict>
          <v:rect style="width:0;height:1.5pt" o:hralign="center" o:hrstd="t" o:hr="t"/>
        </w:pict>
      </w:r>
    </w:p>
    <w:bookmarkEnd w:id="66"/>
    <w:bookmarkStart w:id="67" w:name="safetyliveness-theorems-sketches"/>
    <w:p>
      <w:pPr>
        <w:pStyle w:val="Heading2"/>
      </w:pPr>
      <w:r>
        <w:t xml:space="preserve">13. Safety/Liveness Theorems (Sketches)</w:t>
      </w:r>
    </w:p>
    <w:p>
      <w:pPr>
        <w:pStyle w:val="FirstParagraph"/>
      </w:pPr>
      <w:r>
        <w:rPr>
          <w:b/>
          <w:bCs/>
        </w:rPr>
        <w:t xml:space="preserve">Theorem 1 (Chain Uniqueness).</w:t>
      </w:r>
      <w:r>
        <w:t xml:space="preserve"> </w:t>
      </w:r>
      <w:r>
        <w:t xml:space="preserve">Under BFT safety, each epoch has at most one decided root (R_e).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Follows from quorum intersection; two conflicting QCs would require (&gt;N/3) overlap contradiction.</w:t>
      </w:r>
    </w:p>
    <w:p>
      <w:pPr>
        <w:pStyle w:val="BodyText"/>
      </w:pPr>
      <w:r>
        <w:rPr>
          <w:b/>
          <w:bCs/>
        </w:rPr>
        <w:t xml:space="preserve">Theorem 2 (Non‑Reversibility).</w:t>
      </w:r>
      <w:r>
        <w:t xml:space="preserve"> </w:t>
      </w:r>
      <w:r>
        <w:t xml:space="preserve">If (</w:t>
      </w:r>
      <w:r>
        <w:t xml:space="preserve">) is valid in epoch (e), no later epoch can alter (</w:t>
      </w:r>
      <w:r>
        <w:t xml:space="preserve">).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Alteration would require changing (R_e) or (</w:t>
      </w:r>
      <w:r>
        <w:t xml:space="preserve">_e). Both are immutable once decided and anchored; any alternate (</w:t>
      </w:r>
      <w:r>
        <w:t xml:space="preserve">’_e) fails extension checks.</w:t>
      </w:r>
    </w:p>
    <w:p>
      <w:pPr>
        <w:pStyle w:val="BodyText"/>
      </w:pPr>
      <w:r>
        <w:rPr>
          <w:b/>
          <w:bCs/>
        </w:rPr>
        <w:t xml:space="preserve">Theorem 3 (Deletion Positivity).</w:t>
      </w:r>
      <w:r>
        <w:t xml:space="preserve"> </w:t>
      </w:r>
      <w:r>
        <w:t xml:space="preserve">A destruction TS with (D_{</w:t>
      </w:r>
      <w:r>
        <w:t xml:space="preserve">}=</w:t>
      </w:r>
      <w:r>
        <w:t xml:space="preserve">) constitutes positive evidence of non‑existence at and after epoch (e).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Any challenger producing a conflicting post‑epoch existence must either (i) compute a valid preimage to (</w:t>
      </w:r>
      <w:r>
        <w:t xml:space="preserve">) or (ii) forge chain/root membership; both negligible.</w:t>
      </w:r>
    </w:p>
    <w:p>
      <w:pPr>
        <w:pStyle w:val="BodyText"/>
      </w:pPr>
      <w:r>
        <w:rPr>
          <w:b/>
          <w:bCs/>
        </w:rPr>
        <w:t xml:space="preserve">Theorem 4 (Privacy of Commitments).</w:t>
      </w:r>
      <w:r>
        <w:t xml:space="preserve"> </w:t>
      </w:r>
      <w:r>
        <w:t xml:space="preserve">Given salts with (</w:t>
      </w:r>
      <w:r>
        <w:t xml:space="preserve">) bits of min‑entropy and CR hash, linking a commitment to an asset or policy without auxiliary leakage is negligible in (</w:t>
      </w:r>
      <w:r>
        <w:t xml:space="preserve">(2</w:t>
      </w:r>
      <w:r>
        <w:rPr>
          <w:vertAlign w:val="superscript"/>
        </w:rPr>
        <w:t xml:space="preserve">{-</w:t>
      </w:r>
      <w:r>
        <w:rPr>
          <w:vertAlign w:val="superscript"/>
        </w:rPr>
        <w:t xml:space="preserve">},2</w:t>
      </w:r>
      <w:r>
        <w:t xml:space="preserve">{-</w:t>
      </w:r>
      <w:r>
        <w:t xml:space="preserve">})).</w:t>
      </w:r>
    </w:p>
    <w:p>
      <w:r>
        <w:pict>
          <v:rect style="width:0;height:1.5pt" o:hralign="center" o:hrstd="t" o:hr="t"/>
        </w:pict>
      </w:r>
    </w:p>
    <w:bookmarkEnd w:id="67"/>
    <w:bookmarkStart w:id="68" w:name="interfaces-canonical-transcripts"/>
    <w:p>
      <w:pPr>
        <w:pStyle w:val="Heading2"/>
      </w:pPr>
      <w:r>
        <w:t xml:space="preserve">14. Interfaces (Canonical Transcripts)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Authorization transcript (</w:t>
      </w:r>
      <w:r>
        <w:rPr>
          <w:b/>
          <w:bCs/>
        </w:rPr>
        <w:t xml:space="preserve">):</w:t>
      </w:r>
      <w:r>
        <w:t xml:space="preserve"> </w:t>
      </w:r>
      <w:r>
        <w:t xml:space="preserve">hash of fields ((C,e,</w:t>
      </w:r>
      <w:r>
        <w:t xml:space="preserve">,</w:t>
      </w:r>
      <w:r>
        <w:t xml:space="preserve">)). All signatures bind (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Anchor transcript:</w:t>
      </w:r>
      <w:r>
        <w:t xml:space="preserve"> </w:t>
      </w:r>
      <w:r>
        <w:t xml:space="preserve">((</w:t>
      </w:r>
      <w:r>
        <w:t xml:space="preserve">_e,</w:t>
      </w:r>
      <w:r>
        <w:t xml:space="preserve">,</w:t>
      </w:r>
      <w:r>
        <w:t xml:space="preserve">)) for publication to external transparency services.</w:t>
      </w:r>
    </w:p>
    <w:p>
      <w:r>
        <w:pict>
          <v:rect style="width:0;height:1.5pt" o:hralign="center" o:hrstd="t" o:hr="t"/>
        </w:pict>
      </w:r>
    </w:p>
    <w:bookmarkEnd w:id="68"/>
    <w:bookmarkStart w:id="69" w:name="implementation-notes"/>
    <w:p>
      <w:pPr>
        <w:pStyle w:val="Heading2"/>
      </w:pPr>
      <w:r>
        <w:t xml:space="preserve">15. Implementation Notes</w:t>
      </w:r>
    </w:p>
    <w:p>
      <w:pPr>
        <w:pStyle w:val="Compact"/>
        <w:numPr>
          <w:ilvl w:val="0"/>
          <w:numId w:val="1014"/>
        </w:numPr>
      </w:pPr>
      <w:r>
        <w:t xml:space="preserve">Domain separation: Use distinct prefixes for (H_c,H_m,H_{ch}).</w:t>
      </w:r>
    </w:p>
    <w:p>
      <w:pPr>
        <w:pStyle w:val="Compact"/>
        <w:numPr>
          <w:ilvl w:val="0"/>
          <w:numId w:val="1014"/>
        </w:numPr>
      </w:pPr>
      <w:r>
        <w:t xml:space="preserve">Deterministic leaf encoding to avoid ambiguity (SSZ/CBOR with canonical ordering).</w:t>
      </w:r>
    </w:p>
    <w:p>
      <w:pPr>
        <w:pStyle w:val="Compact"/>
        <w:numPr>
          <w:ilvl w:val="0"/>
          <w:numId w:val="1014"/>
        </w:numPr>
      </w:pPr>
      <w:r>
        <w:t xml:space="preserve">Salts: (</w:t>
      </w:r>
      <w:r>
        <w:t xml:space="preserve">) bits of entropy; rotate per asset per transition.</w:t>
      </w:r>
    </w:p>
    <w:p>
      <w:pPr>
        <w:pStyle w:val="Compact"/>
        <w:numPr>
          <w:ilvl w:val="0"/>
          <w:numId w:val="1014"/>
        </w:numPr>
      </w:pPr>
      <w:r>
        <w:t xml:space="preserve">Keys for threshold authorization should support PQ migration; prefer schemes with robust aggregation APIs.</w:t>
      </w:r>
    </w:p>
    <w:p>
      <w:r>
        <w:pict>
          <v:rect style="width:0;height:1.5pt" o:hralign="center" o:hrstd="t" o:hr="t"/>
        </w:pict>
      </w:r>
    </w:p>
    <w:bookmarkEnd w:id="69"/>
    <w:bookmarkStart w:id="70" w:name="compliance-mappings-examples"/>
    <w:p>
      <w:pPr>
        <w:pStyle w:val="Heading2"/>
      </w:pPr>
      <w:r>
        <w:t xml:space="preserve">16. Compliance Mappings (Examples)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GDPR Art. 17 (erasure):</w:t>
      </w:r>
      <w:r>
        <w:t xml:space="preserve"> </w:t>
      </w:r>
      <w:r>
        <w:t xml:space="preserve">destruction TS with (</w:t>
      </w:r>
      <w:r>
        <w:t xml:space="preserve">) citing lawful basis; receipt proves erasure</w:t>
      </w:r>
      <w:r>
        <w:t xml:space="preserve"> </w:t>
      </w:r>
      <w:r>
        <w:t xml:space="preserve">“without undue delay.”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 17a‑4 (records):</w:t>
      </w:r>
      <w:r>
        <w:t xml:space="preserve"> </w:t>
      </w:r>
      <w:r>
        <w:t xml:space="preserve">retention TS bound to epoch/classification; anchors satisfy tamper‑evidence.</w:t>
      </w:r>
    </w:p>
    <w:p>
      <w:r>
        <w:pict>
          <v:rect style="width:0;height:1.5pt" o:hralign="center" o:hrstd="t" o:hr="t"/>
        </w:pict>
      </w:r>
    </w:p>
    <w:bookmarkEnd w:id="70"/>
    <w:bookmarkStart w:id="71" w:name="appendix-a-pseudocode-endtoend"/>
    <w:p>
      <w:pPr>
        <w:pStyle w:val="Heading2"/>
      </w:pPr>
      <w:r>
        <w:t xml:space="preserve">17. Appendix A — Pseudocode (End‑to‑End)</w:t>
      </w:r>
    </w:p>
    <w:p>
      <w:pPr>
        <w:pStyle w:val="SourceCode"/>
      </w:pPr>
      <w:r>
        <w:rPr>
          <w:rStyle w:val="VerbatimChar"/>
        </w:rPr>
        <w:t xml:space="preserve">function SubmitTransition(a, t, policy_ref, aux):</w:t>
      </w:r>
      <w:r>
        <w:br/>
      </w:r>
      <w:r>
        <w:rPr>
          <w:rStyle w:val="VerbatimChar"/>
        </w:rPr>
        <w:t xml:space="preserve">  e   := CurrentEpoch()</w:t>
      </w:r>
      <w:r>
        <w:br/>
      </w:r>
      <w:r>
        <w:rPr>
          <w:rStyle w:val="VerbatimChar"/>
        </w:rPr>
        <w:t xml:space="preserve">  s   := RandomSalt()</w:t>
      </w:r>
      <w:r>
        <w:br/>
      </w:r>
      <w:r>
        <w:rPr>
          <w:rStyle w:val="VerbatimChar"/>
        </w:rPr>
        <w:t xml:space="preserve">  Π   := Hc(Serialize(policy_ref))</w:t>
      </w:r>
      <w:r>
        <w:br/>
      </w:r>
      <w:r>
        <w:rPr>
          <w:rStyle w:val="VerbatimChar"/>
        </w:rPr>
        <w:t xml:space="preserve">  C   := Hc(Serialize(a,e,t,s,Π,aux))</w:t>
      </w:r>
      <w:r>
        <w:br/>
      </w:r>
      <w:r>
        <w:rPr>
          <w:rStyle w:val="VerbatimChar"/>
        </w:rPr>
        <w:t xml:space="preserve">  Propose(C)                 // to BFT mempool</w:t>
      </w:r>
      <w:r>
        <w:br/>
      </w:r>
      <w:r>
        <w:rPr>
          <w:rStyle w:val="VerbatimChar"/>
        </w:rPr>
        <w:t xml:space="preserve">  wait until DecidedBlock(e)</w:t>
      </w:r>
      <w:r>
        <w:br/>
      </w:r>
      <w:r>
        <w:rPr>
          <w:rStyle w:val="VerbatimChar"/>
        </w:rPr>
        <w:t xml:space="preserve">  R_e := MerkleRoot(C_set(e))</w:t>
      </w:r>
      <w:r>
        <w:br/>
      </w:r>
      <w:r>
        <w:rPr>
          <w:rStyle w:val="VerbatimChar"/>
        </w:rPr>
        <w:t xml:space="preserve">  Γ_e := Hch(Γ_{e-1} || R_e)</w:t>
      </w:r>
      <w:r>
        <w:br/>
      </w:r>
      <w:r>
        <w:rPr>
          <w:rStyle w:val="VerbatimChar"/>
        </w:rPr>
        <w:t xml:space="preserve">  path := MerklePath(C, e)</w:t>
      </w:r>
      <w:r>
        <w:br/>
      </w:r>
      <w:r>
        <w:rPr>
          <w:rStyle w:val="VerbatimChar"/>
        </w:rPr>
        <w:t xml:space="preserve">  Θ := (C, e, R_e, Γ_e, path, D_before?, D_after?, Π, Σ?, aux)</w:t>
      </w:r>
      <w:r>
        <w:br/>
      </w:r>
      <w:r>
        <w:rPr>
          <w:rStyle w:val="VerbatimChar"/>
        </w:rPr>
        <w:t xml:space="preserve">  Anchor(Γ_e, e, aux.jurisdiction)</w:t>
      </w:r>
      <w:r>
        <w:br/>
      </w:r>
      <w:r>
        <w:rPr>
          <w:rStyle w:val="VerbatimChar"/>
        </w:rPr>
        <w:t xml:space="preserve">  Store(Θ)</w:t>
      </w:r>
      <w:r>
        <w:br/>
      </w:r>
      <w:r>
        <w:rPr>
          <w:rStyle w:val="VerbatimChar"/>
        </w:rPr>
        <w:t xml:space="preserve">  return Θ</w:t>
      </w:r>
    </w:p>
    <w:p>
      <w:r>
        <w:pict>
          <v:rect style="width:0;height:1.5pt" o:hralign="center" o:hrstd="t" o:hr="t"/>
        </w:pict>
      </w:r>
    </w:p>
    <w:bookmarkEnd w:id="71"/>
    <w:bookmarkStart w:id="72" w:name="appendix-b-optional-zkcircuits-sketch"/>
    <w:p>
      <w:pPr>
        <w:pStyle w:val="Heading2"/>
      </w:pPr>
      <w:r>
        <w:t xml:space="preserve">18. Appendix B — Optional zk‑Circuits (Sketch)</w:t>
      </w:r>
    </w:p>
    <w:p>
      <w:pPr>
        <w:pStyle w:val="Compact"/>
        <w:numPr>
          <w:ilvl w:val="0"/>
          <w:numId w:val="1016"/>
        </w:numPr>
      </w:pPr>
      <w:r>
        <w:t xml:space="preserve">Membership circuit over (R_e) for leaf (C).</w:t>
      </w:r>
    </w:p>
    <w:p>
      <w:pPr>
        <w:pStyle w:val="Compact"/>
        <w:numPr>
          <w:ilvl w:val="0"/>
          <w:numId w:val="1016"/>
        </w:numPr>
      </w:pPr>
      <w:r>
        <w:t xml:space="preserve">Migration equality circuit for encryptions under old/new schemes.</w:t>
      </w:r>
    </w:p>
    <w:p>
      <w:pPr>
        <w:pStyle w:val="Compact"/>
        <w:numPr>
          <w:ilvl w:val="0"/>
          <w:numId w:val="1016"/>
        </w:numPr>
      </w:pPr>
      <w:r>
        <w:t xml:space="preserve">Policy binding: public input (</w:t>
      </w:r>
      <w:r>
        <w:t xml:space="preserve">), private asset inputs.</w:t>
      </w:r>
    </w:p>
    <w:p>
      <w:r>
        <w:pict>
          <v:rect style="width:0;height:1.5pt" o:hralign="center" o:hrstd="t" o:hr="t"/>
        </w:pict>
      </w:r>
    </w:p>
    <w:bookmarkEnd w:id="72"/>
    <w:bookmarkStart w:id="73" w:name="appendix-c-parameter-selection"/>
    <w:p>
      <w:pPr>
        <w:pStyle w:val="Heading2"/>
      </w:pPr>
      <w:r>
        <w:t xml:space="preserve">19. Appendix C — Parameter Selection</w:t>
      </w:r>
    </w:p>
    <w:p>
      <w:pPr>
        <w:pStyle w:val="Compact"/>
        <w:numPr>
          <w:ilvl w:val="0"/>
          <w:numId w:val="1017"/>
        </w:numPr>
      </w:pPr>
      <w:r>
        <w:t xml:space="preserve">(</w:t>
      </w:r>
      <w:r>
        <w:t xml:space="preserve">{128,192,256}) depending on PQ target horizon.</w:t>
      </w:r>
    </w:p>
    <w:p>
      <w:pPr>
        <w:pStyle w:val="Compact"/>
        <w:numPr>
          <w:ilvl w:val="0"/>
          <w:numId w:val="1017"/>
        </w:numPr>
      </w:pPr>
      <w:r>
        <w:t xml:space="preserve">Epoch length selection to balance accumulator size and audit recency.</w:t>
      </w:r>
    </w:p>
    <w:p>
      <w:pPr>
        <w:pStyle w:val="Compact"/>
        <w:numPr>
          <w:ilvl w:val="0"/>
          <w:numId w:val="1017"/>
        </w:numPr>
      </w:pPr>
      <w:r>
        <w:t xml:space="preserve">BFT committee size (N) sized for jurisdictional deployment and fault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specification.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2025-09-23T15:54:39Z</dcterms:created>
  <dcterms:modified xsi:type="dcterms:W3CDTF">2025-09-23T15:54:39Z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