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60" w:before="0" w:after="140"/>
        <w:jc w:val="start"/>
        <w:rPr/>
      </w:pPr>
      <w:r>
        <w:rPr/>
      </w:r>
    </w:p>
    <w:p>
      <w:pPr>
        <w:pStyle w:val="BodyText"/>
        <w:bidi w:val="0"/>
        <w:spacing w:lineRule="auto" w:line="360" w:before="0" w:after="140"/>
        <w:jc w:val="start"/>
        <w:rPr/>
      </w:pPr>
      <w:r>
        <w:rPr>
          <w:rStyle w:val="Strong"/>
        </w:rPr>
        <w:t>RELATIONAL MERKLE CLOSURES FOR NON-REACHABILITY</w:t>
      </w:r>
      <w:r>
        <w:rPr/>
        <w:t xml:space="preserve"> </w:t>
      </w:r>
    </w:p>
    <w:p>
      <w:pPr>
        <w:pStyle w:val="BodyText"/>
        <w:bidi w:val="0"/>
        <w:spacing w:lineRule="auto" w:line="360"/>
        <w:jc w:val="start"/>
        <w:rPr/>
      </w:pPr>
      <w:r>
        <w:rPr>
          <w:b/>
          <w:bCs/>
          <w:smallCaps/>
        </w:rPr>
        <w:t>Claims</w:t>
      </w:r>
    </w:p>
    <w:p>
      <w:pPr>
        <w:pStyle w:val="BodyText"/>
        <w:numPr>
          <w:ilvl w:val="0"/>
          <w:numId w:val="1"/>
        </w:numPr>
        <w:tabs>
          <w:tab w:val="left" w:pos="709" w:leader="none"/>
        </w:tabs>
        <w:bidi w:val="0"/>
        <w:spacing w:lineRule="auto" w:line="360"/>
        <w:jc w:val="start"/>
        <w:rPr/>
      </w:pPr>
      <w:r>
        <w:rPr>
          <w:rStyle w:val="Strong"/>
        </w:rPr>
        <w:t>A system</w:t>
      </w:r>
      <w:r>
        <w:rPr/>
        <w:t xml:space="preserve"> for producing verifiable non-reachability proofs in a relational dataset, comprising:</w:t>
        <w:br/>
        <w:t>a closure engine configured to compute, for a source node at a given epoch, a reachability closure that contains identifiers of all nodes reachable from the source via dependency edges;</w:t>
        <w:br/>
        <w:t>a commitment module configured to encode the reachability closure as a sparse Merkle map over a universal keyspace of node identifiers, with a root that commits to membership of reachable identifiers and a canonical default value for non-members;</w:t>
        <w:br/>
        <w:t>an accumulator module configured to form a closure header that binds the root to the source node and the epoch, and to insert the closure header into an authenticated epoch accumulator that is chained across epochs; and</w:t>
        <w:br/>
        <w:t>a verification module configured to validate a non-reachability receipt for a target node by (i) verifying a sparse-Merkle non-membership proof showing the target identifier maps to the canonical default under the root, (ii) verifying inclusion of the closure header in the epoch accumulator, and (iii) verifying that the epoch accumulator extends a cumulative chain anchored for the epoch.</w:t>
      </w:r>
    </w:p>
    <w:p>
      <w:pPr>
        <w:pStyle w:val="BodyText"/>
        <w:numPr>
          <w:ilvl w:val="0"/>
          <w:numId w:val="1"/>
        </w:numPr>
        <w:tabs>
          <w:tab w:val="left" w:pos="709" w:leader="none"/>
        </w:tabs>
        <w:bidi w:val="0"/>
        <w:spacing w:lineRule="auto" w:line="360"/>
        <w:jc w:val="start"/>
        <w:rPr/>
      </w:pPr>
      <w:r>
        <w:rPr/>
        <w:t>The system of claim 1, wherein the closure header is a collision-resistant hash over a domain separator, the source identifier, the epoch value, and the sparse-Merkle root.</w:t>
      </w:r>
    </w:p>
    <w:p>
      <w:pPr>
        <w:pStyle w:val="BodyText"/>
        <w:numPr>
          <w:ilvl w:val="0"/>
          <w:numId w:val="1"/>
        </w:numPr>
        <w:tabs>
          <w:tab w:val="left" w:pos="709" w:leader="none"/>
        </w:tabs>
        <w:bidi w:val="0"/>
        <w:spacing w:lineRule="auto" w:line="360"/>
        <w:jc w:val="start"/>
        <w:rPr/>
      </w:pPr>
      <w:r>
        <w:rPr/>
        <w:t>The system of claim 1, wherein the canonical default encodes a reserved non-member value that is domain-separated from member encodings.</w:t>
      </w:r>
    </w:p>
    <w:p>
      <w:pPr>
        <w:pStyle w:val="BodyText"/>
        <w:numPr>
          <w:ilvl w:val="0"/>
          <w:numId w:val="1"/>
        </w:numPr>
        <w:tabs>
          <w:tab w:val="left" w:pos="709" w:leader="none"/>
        </w:tabs>
        <w:bidi w:val="0"/>
        <w:spacing w:lineRule="auto" w:line="360"/>
        <w:jc w:val="start"/>
        <w:rPr/>
      </w:pPr>
      <w:r>
        <w:rPr/>
        <w:t>The system of claim 1, wherein the verification module supports</w:t>
      </w:r>
      <w:r>
        <w:rPr>
          <w:b w:val="false"/>
          <w:bCs w:val="false"/>
        </w:rPr>
        <w:t xml:space="preserve"> </w:t>
      </w:r>
      <w:r>
        <w:rPr>
          <w:rStyle w:val="Strong"/>
          <w:b w:val="false"/>
          <w:bCs w:val="false"/>
        </w:rPr>
        <w:t>batch</w:t>
      </w:r>
      <w:r>
        <w:rPr>
          <w:b w:val="false"/>
          <w:bCs w:val="false"/>
        </w:rPr>
        <w:t xml:space="preserve"> </w:t>
      </w:r>
      <w:r>
        <w:rPr/>
        <w:t>non-reachability by validating a sparse-Merkle multiproof for a plurality of target identifiers under a single closure header.</w:t>
      </w:r>
    </w:p>
    <w:p>
      <w:pPr>
        <w:pStyle w:val="BodyText"/>
        <w:numPr>
          <w:ilvl w:val="0"/>
          <w:numId w:val="1"/>
        </w:numPr>
        <w:tabs>
          <w:tab w:val="left" w:pos="709" w:leader="none"/>
        </w:tabs>
        <w:bidi w:val="0"/>
        <w:spacing w:lineRule="auto" w:line="360"/>
        <w:jc w:val="start"/>
        <w:rPr/>
      </w:pPr>
      <w:r>
        <w:rPr/>
        <w:t>The system of claim 1, further comprising a cycle-detection component configured to reject insertion of dependency edges that would introduce a cycle, thereby ensuring the dataset remains a directed acyclic graph for the epoch.</w:t>
      </w:r>
    </w:p>
    <w:p>
      <w:pPr>
        <w:pStyle w:val="BodyText"/>
        <w:numPr>
          <w:ilvl w:val="0"/>
          <w:numId w:val="1"/>
        </w:numPr>
        <w:tabs>
          <w:tab w:val="left" w:pos="709" w:leader="none"/>
        </w:tabs>
        <w:bidi w:val="0"/>
        <w:spacing w:lineRule="auto" w:line="360"/>
        <w:jc w:val="start"/>
        <w:rPr/>
      </w:pPr>
      <w:r>
        <w:rPr>
          <w:b w:val="false"/>
          <w:bCs w:val="false"/>
        </w:rPr>
        <w:t xml:space="preserve">The system of claim 1, further comprising an </w:t>
      </w:r>
      <w:r>
        <w:rPr>
          <w:rStyle w:val="Strong"/>
          <w:b w:val="false"/>
          <w:bCs w:val="false"/>
        </w:rPr>
        <w:t>edge status subsystem</w:t>
      </w:r>
      <w:r>
        <w:rPr>
          <w:b w:val="false"/>
          <w:bCs w:val="false"/>
        </w:rPr>
        <w:t xml:space="preserve"> th</w:t>
      </w:r>
      <w:r>
        <w:rPr/>
        <w:t>at publishes, per epoch, (i) a valid-edge authenticated set committing to in-force edges and (ii) an invalid-edge authenticated set committing to tombstones for rejected or revoked edges with reason codes and policy hashes.</w:t>
      </w:r>
    </w:p>
    <w:p>
      <w:pPr>
        <w:pStyle w:val="BodyText"/>
        <w:numPr>
          <w:ilvl w:val="0"/>
          <w:numId w:val="1"/>
        </w:numPr>
        <w:tabs>
          <w:tab w:val="left" w:pos="709" w:leader="none"/>
        </w:tabs>
        <w:bidi w:val="0"/>
        <w:spacing w:lineRule="auto" w:line="360"/>
        <w:jc w:val="start"/>
        <w:rPr/>
      </w:pPr>
      <w:r>
        <w:rPr/>
        <w:t>The system of claim 6, wherein the verification module is further configured, upon dispute of an excluded edge, to verify inclusion of a corresponding tombstone in the invalid-edge set and to verify attester signatures bound to the tombstone.</w:t>
      </w:r>
    </w:p>
    <w:p>
      <w:pPr>
        <w:pStyle w:val="BodyText"/>
        <w:numPr>
          <w:ilvl w:val="0"/>
          <w:numId w:val="1"/>
        </w:numPr>
        <w:tabs>
          <w:tab w:val="left" w:pos="709" w:leader="none"/>
        </w:tabs>
        <w:bidi w:val="0"/>
        <w:spacing w:lineRule="auto" w:line="360"/>
        <w:jc w:val="start"/>
        <w:rPr/>
      </w:pPr>
      <w:r>
        <w:rPr/>
        <w:t>The system of claim 1, wherein edge validity is represented using versioned edge headers with time intervals, and the verification module proves invalidity at the epoch by either non-membership of the edge identifier in the valid-edge set or membership with an interval that does not cover the epoch.</w:t>
      </w:r>
    </w:p>
    <w:p>
      <w:pPr>
        <w:pStyle w:val="BodyText"/>
        <w:numPr>
          <w:ilvl w:val="0"/>
          <w:numId w:val="1"/>
        </w:numPr>
        <w:tabs>
          <w:tab w:val="left" w:pos="709" w:leader="none"/>
        </w:tabs>
        <w:bidi w:val="0"/>
        <w:spacing w:lineRule="auto" w:line="360"/>
        <w:jc w:val="start"/>
        <w:rPr/>
      </w:pPr>
      <w:r>
        <w:rPr/>
        <w:t>The system of claim 1, wherein the accumulator module anchors epoch accumulator roots into one or more independent transparency services, including jurisdiction-scoped anchors.</w:t>
      </w:r>
    </w:p>
    <w:p>
      <w:pPr>
        <w:pStyle w:val="BodyText"/>
        <w:numPr>
          <w:ilvl w:val="0"/>
          <w:numId w:val="1"/>
        </w:numPr>
        <w:tabs>
          <w:tab w:val="left" w:pos="709" w:leader="none"/>
        </w:tabs>
        <w:bidi w:val="0"/>
        <w:spacing w:lineRule="auto" w:line="360"/>
        <w:jc w:val="start"/>
        <w:rPr/>
      </w:pPr>
      <w:r>
        <w:rPr>
          <w:rStyle w:val="Strong"/>
          <w:b/>
          <w:bCs/>
        </w:rPr>
        <w:t>A computer-implemented method</w:t>
      </w:r>
      <w:r>
        <w:rPr>
          <w:b w:val="false"/>
          <w:bCs w:val="false"/>
        </w:rPr>
        <w:t xml:space="preserve"> for proving n</w:t>
      </w:r>
      <w:r>
        <w:rPr/>
        <w:t>on-reachability in a relational dataset, the method comprising:</w:t>
        <w:br/>
        <w:t>receiving a relational graph with node and edge identifiers;</w:t>
        <w:br/>
        <w:t>computing, for a source node and an epoch, a reachability closure of all nodes reachable from the source;</w:t>
        <w:br/>
        <w:t>constructing a sparse-Merkle root over a universal keyspace that commits the closure, with non-members mapped to a canonical default;</w:t>
        <w:br/>
        <w:t>forming a closure header that binds the root to the source node and the epoch;</w:t>
        <w:br/>
        <w:t>inserting the closure header into an authenticated epoch accumulator and chaining the accumulator across epochs; and</w:t>
        <w:br/>
        <w:t>issuing a non-reachability receipt for a target node that includes a sparse-Merkle non-membership proof under the root and inclusion evidence for the closure header.</w:t>
      </w:r>
    </w:p>
    <w:p>
      <w:pPr>
        <w:pStyle w:val="BodyText"/>
        <w:numPr>
          <w:ilvl w:val="0"/>
          <w:numId w:val="1"/>
        </w:numPr>
        <w:tabs>
          <w:tab w:val="left" w:pos="709" w:leader="none"/>
        </w:tabs>
        <w:bidi w:val="0"/>
        <w:spacing w:lineRule="auto" w:line="360"/>
        <w:jc w:val="start"/>
        <w:rPr/>
      </w:pPr>
      <w:r>
        <w:rPr/>
        <w:t>The method of claim 10, further comprising verifying the receipt by: validating the non-membership proof; validating inclusion of the closure header in the epoch accumulator; and validating that the epoch accumulator extends an anchored cumulative chain for the epoch.</w:t>
      </w:r>
    </w:p>
    <w:p>
      <w:pPr>
        <w:pStyle w:val="BodyText"/>
        <w:numPr>
          <w:ilvl w:val="0"/>
          <w:numId w:val="1"/>
        </w:numPr>
        <w:tabs>
          <w:tab w:val="left" w:pos="709" w:leader="none"/>
        </w:tabs>
        <w:bidi w:val="0"/>
        <w:spacing w:lineRule="auto" w:line="360"/>
        <w:jc w:val="start"/>
        <w:rPr/>
      </w:pPr>
      <w:r>
        <w:rPr/>
        <w:t>The method of claim 10, wherein computing the reachability closure employs a deterministic traversal algorithm selected from depth-first search and breadth-first search, and rejects updates that introduce cycles.</w:t>
      </w:r>
    </w:p>
    <w:p>
      <w:pPr>
        <w:pStyle w:val="BodyText"/>
        <w:numPr>
          <w:ilvl w:val="0"/>
          <w:numId w:val="1"/>
        </w:numPr>
        <w:tabs>
          <w:tab w:val="left" w:pos="709" w:leader="none"/>
        </w:tabs>
        <w:bidi w:val="0"/>
        <w:spacing w:lineRule="auto" w:line="360"/>
        <w:jc w:val="start"/>
        <w:rPr/>
      </w:pPr>
      <w:r>
        <w:rPr/>
        <w:t>The method of claim 10, further comprising enforcing one or more bounds selected from maximum closure depth and maximum number of nodes affected per epoch.</w:t>
      </w:r>
    </w:p>
    <w:p>
      <w:pPr>
        <w:pStyle w:val="BodyText"/>
        <w:numPr>
          <w:ilvl w:val="0"/>
          <w:numId w:val="1"/>
        </w:numPr>
        <w:tabs>
          <w:tab w:val="left" w:pos="709" w:leader="none"/>
        </w:tabs>
        <w:bidi w:val="0"/>
        <w:spacing w:lineRule="auto" w:line="360"/>
        <w:jc w:val="start"/>
        <w:rPr/>
      </w:pPr>
      <w:r>
        <w:rPr/>
        <w:t>The method of claim 10, wherein the non-reachability receipt omits intermediate node and edge lists, thereby preserving confidentiality while remaining verifiable.</w:t>
      </w:r>
    </w:p>
    <w:p>
      <w:pPr>
        <w:pStyle w:val="BodyText"/>
        <w:numPr>
          <w:ilvl w:val="0"/>
          <w:numId w:val="1"/>
        </w:numPr>
        <w:tabs>
          <w:tab w:val="left" w:pos="709" w:leader="none"/>
        </w:tabs>
        <w:bidi w:val="0"/>
        <w:spacing w:lineRule="auto" w:line="360"/>
        <w:jc w:val="start"/>
        <w:rPr/>
      </w:pPr>
      <w:r>
        <w:rPr/>
        <w:t>The method of claim 10, further comprising publishing per-epoch authenticated sets of valid edges and invalidated edges, and including, upon request, a proof of invalidity for any disputed edge referenced by the source or target.</w:t>
      </w:r>
    </w:p>
    <w:p>
      <w:pPr>
        <w:pStyle w:val="BodyText"/>
        <w:numPr>
          <w:ilvl w:val="0"/>
          <w:numId w:val="1"/>
        </w:numPr>
        <w:tabs>
          <w:tab w:val="left" w:pos="709" w:leader="none"/>
        </w:tabs>
        <w:bidi w:val="0"/>
        <w:spacing w:lineRule="auto" w:line="360"/>
        <w:jc w:val="start"/>
        <w:rPr/>
      </w:pPr>
      <w:r>
        <w:rPr/>
        <w:t>The method of claim 10, wherein anchors are verified by signature-based verification or by inclusion in an anchor Merkle tree.</w:t>
      </w:r>
    </w:p>
    <w:p>
      <w:pPr>
        <w:pStyle w:val="BodyText"/>
        <w:numPr>
          <w:ilvl w:val="0"/>
          <w:numId w:val="1"/>
        </w:numPr>
        <w:tabs>
          <w:tab w:val="left" w:pos="709" w:leader="none"/>
        </w:tabs>
        <w:bidi w:val="0"/>
        <w:spacing w:lineRule="auto" w:line="360"/>
        <w:jc w:val="start"/>
        <w:rPr/>
      </w:pPr>
      <w:r>
        <w:rPr/>
        <w:t>The method of claim 10, wherein the sparse-Merkle tree is replaced by an alternative authenticated set selected from RSA accumulators, class-group accumulators, vector commitments, or authenticated prefix tries, and the non-reachability proof is constructed as a non-membership or zero-evaluation witness under the alternative structure.</w:t>
      </w:r>
    </w:p>
    <w:p>
      <w:pPr>
        <w:pStyle w:val="BodyText"/>
        <w:numPr>
          <w:ilvl w:val="0"/>
          <w:numId w:val="1"/>
        </w:numPr>
        <w:tabs>
          <w:tab w:val="left" w:pos="709" w:leader="none"/>
        </w:tabs>
        <w:bidi w:val="0"/>
        <w:spacing w:lineRule="auto" w:line="360"/>
        <w:jc w:val="start"/>
        <w:rPr/>
      </w:pPr>
      <w:r>
        <w:rPr>
          <w:b/>
          <w:bCs/>
        </w:rPr>
        <w:t xml:space="preserve">A non-transitory computer-readable medium </w:t>
      </w:r>
      <w:r>
        <w:rPr>
          <w:b w:val="false"/>
          <w:bCs w:val="false"/>
        </w:rPr>
        <w:t xml:space="preserve">storing instructions that, when executed by one or more processors, cause the processors to </w:t>
      </w:r>
      <w:r>
        <w:rPr>
          <w:b w:val="false"/>
          <w:bCs w:val="false"/>
        </w:rPr>
        <w:t>the method of claim</w:t>
      </w:r>
      <w:r>
        <w:rPr>
          <w:b w:val="false"/>
          <w:bCs w:val="false"/>
        </w:rPr>
        <w:t xml:space="preserve"> 10.</w:t>
      </w:r>
    </w:p>
    <w:p>
      <w:pPr>
        <w:pStyle w:val="BodyText"/>
        <w:numPr>
          <w:ilvl w:val="0"/>
          <w:numId w:val="1"/>
        </w:numPr>
        <w:tabs>
          <w:tab w:val="left" w:pos="709" w:leader="none"/>
        </w:tabs>
        <w:bidi w:val="0"/>
        <w:spacing w:lineRule="auto" w:line="360"/>
        <w:jc w:val="start"/>
        <w:rPr/>
      </w:pPr>
      <w:r>
        <w:rPr>
          <w:b w:val="false"/>
          <w:bCs w:val="false"/>
        </w:rPr>
        <w:t xml:space="preserve">The medium of claim 18, wherein the instructions further cause the processors to generate </w:t>
      </w:r>
      <w:r>
        <w:rPr>
          <w:rStyle w:val="Strong"/>
          <w:b w:val="false"/>
          <w:bCs w:val="false"/>
        </w:rPr>
        <w:t>batch</w:t>
      </w:r>
      <w:r>
        <w:rPr>
          <w:b w:val="false"/>
          <w:bCs w:val="false"/>
        </w:rPr>
        <w:t xml:space="preserve"> no</w:t>
      </w:r>
      <w:r>
        <w:rPr/>
        <w:t>n-reachability receipts using sparse-Merkle multiproofs for multiple target identifiers under a single closure header.</w:t>
      </w:r>
    </w:p>
    <w:p>
      <w:pPr>
        <w:pStyle w:val="BodyText"/>
        <w:numPr>
          <w:ilvl w:val="0"/>
          <w:numId w:val="1"/>
        </w:numPr>
        <w:tabs>
          <w:tab w:val="left" w:pos="709" w:leader="none"/>
        </w:tabs>
        <w:bidi w:val="0"/>
        <w:spacing w:lineRule="auto" w:line="360"/>
        <w:jc w:val="start"/>
        <w:rPr/>
      </w:pPr>
      <w:r>
        <w:rPr/>
        <w:t>The medium of claim 18, wherein the instructions enforce canonical encodings for leaves and internal nodes, including fixed byte order, domain separators, and a globally fixed canonical default for non-members.</w:t>
      </w:r>
    </w:p>
    <w:p>
      <w:pPr>
        <w:pStyle w:val="BodyText"/>
        <w:numPr>
          <w:ilvl w:val="0"/>
          <w:numId w:val="1"/>
        </w:numPr>
        <w:tabs>
          <w:tab w:val="left" w:pos="709" w:leader="none"/>
        </w:tabs>
        <w:bidi w:val="0"/>
        <w:spacing w:lineRule="auto" w:line="360"/>
        <w:jc w:val="start"/>
        <w:rPr/>
      </w:pPr>
      <w:r>
        <w:rPr/>
        <w:t>The medium of claim 18, wherein the instructions generate tombstones for invalid edges that include at least a status selected from invalid, rejected, or revoked, a revocation epoch, a reason code, and a policy hash.</w:t>
      </w:r>
    </w:p>
    <w:p>
      <w:pPr>
        <w:pStyle w:val="BodyText"/>
        <w:numPr>
          <w:ilvl w:val="0"/>
          <w:numId w:val="1"/>
        </w:numPr>
        <w:tabs>
          <w:tab w:val="left" w:pos="709" w:leader="none"/>
        </w:tabs>
        <w:bidi w:val="0"/>
        <w:spacing w:lineRule="auto" w:line="360" w:before="0" w:after="140"/>
        <w:jc w:val="start"/>
        <w:rPr/>
      </w:pPr>
      <w:r>
        <w:rPr/>
        <w:t>The medium of claim 18, wherein the instructions cause the system to anchor epoch accumulator roots to multiple transparency services and to include references to such anchors in non-reachability receipts.</w:t>
      </w:r>
    </w:p>
    <w:sectPr>
      <w:footerReference w:type="even" r:id="rId2"/>
      <w:footerReference w:type="default" r:id="rId3"/>
      <w:footerReference w:type="first" r:id="rId4"/>
      <w:type w:val="nextPage"/>
      <w:pgSz w:w="12240" w:h="15840"/>
      <w:pgMar w:left="1440"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erif">
    <w:altName w:val="Times New Roman"/>
    <w:charset w:val="01"/>
    <w:family w:val="roman"/>
    <w:pitch w:val="default"/>
  </w:font>
  <w:font w:name="OpenSymbol">
    <w:altName w:val="Arial Unicode MS"/>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4</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1"/>
    <w:r>
      <w:rPr/>
      <w:fldChar w:fldCharType="begin"/>
    </w:r>
    <w:r>
      <w:rPr/>
      <w:instrText xml:space="preserve"> PAGE </w:instrText>
    </w:r>
    <w:r>
      <w:rPr/>
      <w:fldChar w:fldCharType="separate"/>
    </w:r>
    <w:r>
      <w:rPr/>
      <w:t>4</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Times New Roman" w:hAnsi="Times New Roman" w:eastAsia="NSimSun" w:cs="Arial Unicode M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Unicode M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Unicode MS"/>
      <w:b/>
      <w:bCs/>
      <w:sz w:val="28"/>
      <w:szCs w:val="28"/>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Times New Roman" w:hAnsi="Times New Roman"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Unicode MS"/>
    </w:rPr>
  </w:style>
  <w:style w:type="paragraph" w:styleId="Caption">
    <w:name w:val="caption"/>
    <w:basedOn w:val="Normal"/>
    <w:qFormat/>
    <w:pPr>
      <w:suppressLineNumbers/>
      <w:spacing w:before="120" w:after="120"/>
    </w:pPr>
    <w:rPr>
      <w:rFonts w:ascii="Times New Roman" w:hAnsi="Times New Roman" w:cs="Arial Unicode MS"/>
      <w:i/>
      <w:iCs/>
      <w:sz w:val="24"/>
      <w:szCs w:val="24"/>
    </w:rPr>
  </w:style>
  <w:style w:type="paragraph" w:styleId="Index">
    <w:name w:val="Index"/>
    <w:basedOn w:val="Normal"/>
    <w:qFormat/>
    <w:pPr>
      <w:suppressLineNumbers/>
    </w:pPr>
    <w:rPr>
      <w:rFonts w:ascii="Times New Roman" w:hAnsi="Times New Roman"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833" w:leader="none"/>
        <w:tab w:val="right" w:pos="9666"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LibreOffice/25.8.1.1$Windows_X86_64 LibreOffice_project/54047653041915e595ad4e45cccea684809c77b5</Application>
  <AppVersion>15.0000</AppVersion>
  <Pages>4</Pages>
  <Words>940</Words>
  <Characters>5362</Characters>
  <CharactersWithSpaces>6255</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2025-09-20T17:24:36Z</dcterms:created>
  <dc:creator/>
  <dc:description/>
  <dc:language>en-US</dc:language>
  <cp:lastModifiedBy/>
  <dcterms:modified xsi:type="dcterms:W3CDTF">2025-09-20T22:59:04Z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