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057d41bdbd76a30dd62509ef07ae388882c00f8"/>
    <w:p>
      <w:pPr>
        <w:pStyle w:val="Heading1"/>
      </w:pPr>
      <w:r>
        <w:t xml:space="preserve">Relational Merkle Trees / Audit‑Verifiable Compliance Receipts</w:t>
      </w:r>
    </w:p>
    <w:p>
      <w:pPr>
        <w:pStyle w:val="FirstParagraph"/>
      </w:pPr>
      <w:r>
        <w:rPr>
          <w:i/>
          <w:iCs/>
        </w:rPr>
        <w:t xml:space="preserve">A complete mathematical model, with formal objects, operations, proof strategies, and complexity bounds.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2025‑09‑23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Prepared for Epistria (Charles Thomas)</w:t>
      </w:r>
    </w:p>
    <w:p>
      <w:r>
        <w:pict>
          <v:rect style="width:0;height:1.5pt" o:hralign="center" o:hrstd="t" o:hr="t"/>
        </w:pict>
      </w:r>
    </w:p>
    <w:bookmarkStart w:id="20" w:name="notation-conventions"/>
    <w:p>
      <w:pPr>
        <w:pStyle w:val="Heading2"/>
      </w:pPr>
      <w:r>
        <w:t xml:space="preserve">0. Notation &amp; Conventions</w:t>
      </w:r>
    </w:p>
    <w:p>
      <w:pPr>
        <w:pStyle w:val="Compact"/>
        <w:numPr>
          <w:ilvl w:val="0"/>
          <w:numId w:val="1001"/>
        </w:numPr>
      </w:pPr>
      <w:r>
        <w:t xml:space="preserve">(</w:t>
      </w:r>
      <w:r>
        <w:t xml:space="preserve">): security parameter for the hash/commitment scheme.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Hash function (H:{0,1}^*</w:t>
      </w:r>
      <w:r>
        <w:t xml:space="preserve">{0,1}^</w:t>
      </w:r>
      <w:r>
        <w:t xml:space="preserve">) (e.g., SHA‑256) modeled as collision/2nd‑preimage resistant; (</w:t>
      </w:r>
      <w:r>
        <w:t xml:space="preserve">{224,256,384,512}).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Canonical default (reserved) leaf value for non‑members: (</w:t>
      </w:r>
      <w:r>
        <w:t xml:space="preserve">), domain‑separated from any member encoding.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Universe of identifiers (</w:t>
      </w:r>
      <w:r>
        <w:t xml:space="preserve">U</w:t>
      </w:r>
      <w:r>
        <w:t xml:space="preserve">{0,1}^*); keyspace size (|</w:t>
      </w:r>
      <w:r>
        <w:t xml:space="preserve">U|=U) (often conceptualized as (2^</w:t>
      </w:r>
      <w:r>
        <w:t xml:space="preserve">)).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Epochs indexed by integers (i</w:t>
      </w:r>
      <w:r>
        <w:t xml:space="preserve">Z_{</w:t>
      </w:r>
      <w:r>
        <w:t xml:space="preserve">}).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All byte encodings are canonical (fixed endianness, domain tags/prefixes, length‑prefixing).</w:t>
      </w:r>
    </w:p>
    <w:p>
      <w:r>
        <w:pict>
          <v:rect style="width:0;height:1.5pt" o:hralign="center" o:hrstd="t" o:hr="t"/>
        </w:pict>
      </w:r>
    </w:p>
    <w:bookmarkEnd w:id="20"/>
    <w:bookmarkStart w:id="24" w:name="formal-objects"/>
    <w:p>
      <w:pPr>
        <w:pStyle w:val="Heading2"/>
      </w:pPr>
      <w:r>
        <w:t xml:space="preserve">1. Formal Objects</w:t>
      </w:r>
    </w:p>
    <w:bookmarkStart w:id="21" w:name="relational-graph-policy-state"/>
    <w:p>
      <w:pPr>
        <w:pStyle w:val="Heading3"/>
      </w:pPr>
      <w:r>
        <w:t xml:space="preserve">1.1 Relational Graph &amp; Policy State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Nodes.</w:t>
      </w:r>
      <w:r>
        <w:t xml:space="preserve"> </w:t>
      </w:r>
      <w:r>
        <w:t xml:space="preserve">Finite set (V</w:t>
      </w:r>
      <w:r>
        <w:t xml:space="preserve">U) with identifiers (</w:t>
      </w:r>
      <w:r>
        <w:t xml:space="preserve">(v)</w:t>
      </w:r>
      <w:r>
        <w:t xml:space="preserve">U).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Edges.</w:t>
      </w:r>
      <w:r>
        <w:t xml:space="preserve"> </w:t>
      </w:r>
      <w:r>
        <w:t xml:space="preserve">Each directed edge is an object (e=(s,d,</w:t>
      </w:r>
      <w:r>
        <w:t xml:space="preserve">,</w:t>
      </w:r>
      <w:r>
        <w:t xml:space="preserve">,</w:t>
      </w:r>
      <w:r>
        <w:t xml:space="preserve">)) with:</w:t>
      </w:r>
    </w:p>
    <w:p>
      <w:pPr>
        <w:pStyle w:val="Compact"/>
        <w:numPr>
          <w:ilvl w:val="1"/>
          <w:numId w:val="1003"/>
        </w:numPr>
      </w:pPr>
      <w:r>
        <w:t xml:space="preserve">(s,d</w:t>
      </w:r>
      <w:r>
        <w:t xml:space="preserve">V) (source/destination), relation type (</w:t>
      </w:r>
      <w:r>
        <w:t xml:space="preserve">T).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Validity semantics</w:t>
      </w:r>
      <w:r>
        <w:t xml:space="preserve"> </w:t>
      </w:r>
      <w:r>
        <w:t xml:space="preserve">given by either model A (dual‑set invalids) or model B (interval versioning):</w:t>
      </w:r>
    </w:p>
    <w:p>
      <w:pPr>
        <w:pStyle w:val="Compact"/>
        <w:numPr>
          <w:ilvl w:val="2"/>
          <w:numId w:val="1004"/>
        </w:numPr>
      </w:pPr>
      <w:r>
        <w:rPr>
          <w:b/>
          <w:bCs/>
        </w:rPr>
        <w:t xml:space="preserve">Model A (dual‑set).</w:t>
      </w:r>
      <w:r>
        <w:t xml:space="preserve"> </w:t>
      </w:r>
      <w:r>
        <w:t xml:space="preserve">Status (</w:t>
      </w:r>
      <w:r>
        <w:t xml:space="preserve">{</w:t>
      </w:r>
      <w:r>
        <w:t xml:space="preserve">}) recorded in the valid set (</w:t>
      </w:r>
      <w:r>
        <w:t xml:space="preserve">V_i) at epoch (i); invalid events ((</w:t>
      </w:r>
      <w:r>
        <w:t xml:space="preserve">,</w:t>
      </w:r>
      <w:r>
        <w:t xml:space="preserve">,</w:t>
      </w:r>
      <w:r>
        <w:t xml:space="preserve">)) recorded as tombstones in (</w:t>
      </w:r>
      <w:r>
        <w:t xml:space="preserve">I_i) with reason/policy hash.</w:t>
      </w:r>
      <w:r>
        <w:br/>
      </w:r>
    </w:p>
    <w:p>
      <w:pPr>
        <w:pStyle w:val="Compact"/>
        <w:numPr>
          <w:ilvl w:val="2"/>
          <w:numId w:val="1004"/>
        </w:numPr>
      </w:pPr>
      <w:r>
        <w:rPr>
          <w:b/>
          <w:bCs/>
        </w:rPr>
        <w:t xml:space="preserve">Model B (interval).</w:t>
      </w:r>
      <w:r>
        <w:t xml:space="preserve"> </w:t>
      </w:r>
      <w:r>
        <w:t xml:space="preserve">Header carries validity interval ([i_{</w:t>
      </w:r>
      <w:r>
        <w:t xml:space="preserve">},i_{</w:t>
      </w:r>
      <w:r>
        <w:t xml:space="preserve">})); edge in force at epoch (i) iff (i_{</w:t>
      </w:r>
      <w:r>
        <w:t xml:space="preserve">}</w:t>
      </w:r>
      <w:r>
        <w:t xml:space="preserve">i&lt;i_{</w:t>
      </w:r>
      <w:r>
        <w:t xml:space="preserve">}).</w:t>
      </w:r>
    </w:p>
    <w:p>
      <w:pPr>
        <w:pStyle w:val="Compact"/>
        <w:numPr>
          <w:ilvl w:val="1"/>
          <w:numId w:val="1003"/>
        </w:numPr>
      </w:pPr>
      <w:r>
        <w:t xml:space="preserve">Optional policy binding (</w:t>
      </w:r>
      <w:r>
        <w:t xml:space="preserve">) includes policy hash (h_{</w:t>
      </w:r>
      <w:r>
        <w:t xml:space="preserve">}) and attester signatures.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Epoch‑scoped in‑force edge relation.</w:t>
      </w:r>
      <w:r>
        <w:t xml:space="preserve"> </w:t>
      </w:r>
      <w:r>
        <w:t xml:space="preserve">For each epoch (i), define</w:t>
      </w:r>
      <w:r>
        <w:t xml:space="preserve"> </w:t>
      </w:r>
      <w:r>
        <w:t xml:space="preserve">[</w:t>
      </w:r>
      <w:r>
        <w:t xml:space="preserve"> </w:t>
      </w:r>
      <w:r>
        <w:t xml:space="preserve">E_i</w:t>
      </w:r>
      <w:r>
        <w:t xml:space="preserve">V</w:t>
      </w:r>
      <w:r>
        <w:t xml:space="preserve">V:={(s,d):</w:t>
      </w:r>
      <w:r>
        <w:t xml:space="preserve">e</w:t>
      </w:r>
      <w:r>
        <w:t xml:space="preserve">s</w:t>
      </w:r>
      <w:r>
        <w:t xml:space="preserve">d</w:t>
      </w:r>
      <w:r>
        <w:t xml:space="preserve">i},.</w:t>
      </w:r>
      <w:r>
        <w:t xml:space="preserve"> </w:t>
      </w:r>
      <w:r>
        <w:t xml:space="preserve">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Acyclicity.</w:t>
      </w:r>
      <w:r>
        <w:t xml:space="preserve"> </w:t>
      </w:r>
      <w:r>
        <w:t xml:space="preserve">System enforces that ((V,E_i)) is a DAG for each (i) (cycle submissions are rejected).</w:t>
      </w:r>
    </w:p>
    <w:bookmarkEnd w:id="21"/>
    <w:bookmarkStart w:id="22" w:name="reachability-closures"/>
    <w:p>
      <w:pPr>
        <w:pStyle w:val="Heading3"/>
      </w:pPr>
      <w:r>
        <w:t xml:space="preserve">1.2 Reachability &amp; Closures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Reachability (epoch‑scoped).</w:t>
      </w:r>
      <w:r>
        <w:t xml:space="preserve"> </w:t>
      </w:r>
      <w:r>
        <w:t xml:space="preserve">For (A</w:t>
      </w:r>
      <w:r>
        <w:t xml:space="preserve">V), (</w:t>
      </w:r>
      <w:r>
        <w:t xml:space="preserve">_i(A)</w:t>
      </w:r>
      <w:r>
        <w:t xml:space="preserve">V) is the set of vertices reachable from (A) via (E_i).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Closure set.</w:t>
      </w:r>
      <w:r>
        <w:t xml:space="preserve"> </w:t>
      </w:r>
      <w:r>
        <w:t xml:space="preserve">Denote (</w:t>
      </w:r>
      <w:r>
        <w:t xml:space="preserve">_i(A):=</w:t>
      </w:r>
      <w:r>
        <w:t xml:space="preserve">_i(A)).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Closure map for (A).</w:t>
      </w:r>
      <w:r>
        <w:t xml:space="preserve"> </w:t>
      </w:r>
      <w:r>
        <w:t xml:space="preserve">Boolean map (f_{A,i}:</w:t>
      </w:r>
      <w:r>
        <w:t xml:space="preserve">U</w:t>
      </w:r>
      <w:r>
        <w:t xml:space="preserve">{</w:t>
      </w:r>
      <w:r>
        <w:t xml:space="preserve">,1}) such that</w:t>
      </w:r>
      <w:r>
        <w:t xml:space="preserve"> </w:t>
      </w:r>
      <w:r>
        <w:t xml:space="preserve">[</w:t>
      </w:r>
      <w:r>
        <w:t xml:space="preserve"> </w:t>
      </w:r>
      <w:r>
        <w:t xml:space="preserve">f_{A,i}(x)=</w:t>
      </w:r>
    </w:p>
    <w:p>
      <w:pPr>
        <w:pStyle w:val="Compact"/>
        <w:numPr>
          <w:ilvl w:val="0"/>
          <w:numId w:val="1000"/>
        </w:numPr>
      </w:pPr>
      <w:r>
        <w:t xml:space="preserve">]</w:t>
      </w:r>
    </w:p>
    <w:bookmarkEnd w:id="22"/>
    <w:bookmarkStart w:id="23" w:name="commitment-primitives"/>
    <w:p>
      <w:pPr>
        <w:pStyle w:val="Heading3"/>
      </w:pPr>
      <w:r>
        <w:t xml:space="preserve">1.3 Commitment Primitives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Sparse Merkle Map (SMM).</w:t>
      </w:r>
      <w:r>
        <w:t xml:space="preserve"> </w:t>
      </w:r>
      <w:r>
        <w:t xml:space="preserve">Over keyspace (</w:t>
      </w:r>
      <w:r>
        <w:t xml:space="preserve">U) with default (</w:t>
      </w:r>
      <w:r>
        <w:t xml:space="preserve">). Define (</w:t>
      </w:r>
      <w:r>
        <w:t xml:space="preserve">(f):</w:t>
      </w:r>
      <w:r>
        <w:t xml:space="preserve">U</w:t>
      </w:r>
      <w:r>
        <w:t xml:space="preserve">{0,1}^</w:t>
      </w:r>
      <w:r>
        <w:t xml:space="preserve">) producing a root (R=</w:t>
      </w:r>
      <w:r>
        <w:t xml:space="preserve">(f)) and membership/non‑membership witnesses (</w:t>
      </w:r>
      <w:r>
        <w:t xml:space="preserve">) of depth (</w:t>
      </w:r>
      <w:r>
        <w:t xml:space="preserve">) (binary) or (</w:t>
      </w:r>
      <w:r>
        <w:t xml:space="preserve">_k U</w:t>
      </w:r>
      <w:r>
        <w:t xml:space="preserve">) for (k)-ary fan‑out.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Closure root.</w:t>
      </w:r>
      <w:r>
        <w:t xml:space="preserve"> </w:t>
      </w:r>
      <w:r>
        <w:t xml:space="preserve">(R_A^i:=</w:t>
      </w:r>
      <w:r>
        <w:t xml:space="preserve">(f_{A,i})).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Closure header.</w:t>
      </w:r>
      <w:r>
        <w:t xml:space="preserve"> </w:t>
      </w:r>
      <w:r>
        <w:t xml:space="preserve">Domain‑bound binding</w:t>
      </w:r>
      <w:r>
        <w:t xml:space="preserve"> </w:t>
      </w:r>
      <w:r>
        <w:t xml:space="preserve">[</w:t>
      </w:r>
      <w:r>
        <w:t xml:space="preserve"> </w:t>
      </w:r>
      <w:r>
        <w:t xml:space="preserve">_A^i := H(</w:t>
      </w:r>
      <w:r>
        <w:t xml:space="preserve">(A)</w:t>
      </w:r>
      <w:r>
        <w:t xml:space="preserve">i</w:t>
      </w:r>
      <w:r>
        <w:t xml:space="preserve">R_A^i),.</w:t>
      </w:r>
      <w:r>
        <w:t xml:space="preserve"> </w:t>
      </w:r>
      <w:r>
        <w:t xml:space="preserve">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Epoch accumulator.</w:t>
      </w:r>
      <w:r>
        <w:t xml:space="preserve"> </w:t>
      </w:r>
      <w:r>
        <w:t xml:space="preserve">Authenticated set (</w:t>
      </w:r>
      <w:r>
        <w:t xml:space="preserve">C_i) committing to items published for epoch (i) (e.g., (</w:t>
      </w:r>
      <w:r>
        <w:rPr>
          <w:i/>
          <w:iCs/>
        </w:rPr>
        <w:t xml:space="preserve">A^i) for many (A), roots (R</w:t>
      </w:r>
      <w:r>
        <w:t xml:space="preserve">{</w:t>
      </w:r>
      <w:r>
        <w:t xml:space="preserve">V}^i, R_{</w:t>
      </w:r>
      <w:r>
        <w:t xml:space="preserve">I}^i), etc.). Let (</w:t>
      </w:r>
      <w:r>
        <w:rPr>
          <w:i/>
          <w:iCs/>
        </w:rPr>
        <w:t xml:space="preserve">i) be its root and (</w:t>
      </w:r>
      <w:r>
        <w:t xml:space="preserve">{</w:t>
      </w:r>
      <w:r>
        <w:t xml:space="preserve">}) standard inclusion proofs.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Cumulative chain.</w:t>
      </w:r>
      <w:r>
        <w:t xml:space="preserve"> </w:t>
      </w:r>
      <w:r>
        <w:t xml:space="preserve">(</w:t>
      </w:r>
      <w:r>
        <w:t xml:space="preserve">_0</w:t>
      </w:r>
      <w:r>
        <w:t xml:space="preserve">H(</w:t>
      </w:r>
      <w:r>
        <w:t xml:space="preserve">)), (</w:t>
      </w:r>
      <w:r>
        <w:rPr>
          <w:i/>
          <w:iCs/>
        </w:rPr>
        <w:t xml:space="preserve">i</w:t>
      </w:r>
      <w:r>
        <w:rPr>
          <w:i/>
          <w:iCs/>
        </w:rPr>
        <w:t xml:space="preserve">H(</w:t>
      </w:r>
      <w:r>
        <w:t xml:space="preserve">{i-1}</w:t>
      </w:r>
      <w:r>
        <w:t xml:space="preserve">_i)). External anchoring produces audit handle(s) (</w:t>
      </w:r>
      <w:r>
        <w:t xml:space="preserve">_i).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operations"/>
    <w:p>
      <w:pPr>
        <w:pStyle w:val="Heading2"/>
      </w:pPr>
      <w:r>
        <w:t xml:space="preserve">2. Operations</w:t>
      </w:r>
    </w:p>
    <w:bookmarkStart w:id="25" w:name="closure-construction-compute"/>
    <w:p>
      <w:pPr>
        <w:pStyle w:val="Heading3"/>
      </w:pPr>
      <w:r>
        <w:t xml:space="preserve">2.1 Closure Construction (Compute)</w:t>
      </w:r>
    </w:p>
    <w:p>
      <w:pPr>
        <w:pStyle w:val="FirstParagraph"/>
      </w:pPr>
      <w:r>
        <w:rPr>
          <w:b/>
          <w:bCs/>
        </w:rPr>
        <w:t xml:space="preserve">Input:</w:t>
      </w:r>
      <w:r>
        <w:t xml:space="preserve"> </w:t>
      </w:r>
      <w:r>
        <w:t xml:space="preserve">graph snapshot ((V,E_i)), source (A).</w:t>
      </w:r>
      <w:r>
        <w:br/>
      </w:r>
      <w:r>
        <w:rPr>
          <w:b/>
          <w:bCs/>
        </w:rPr>
        <w:t xml:space="preserve">Output:</w:t>
      </w:r>
      <w:r>
        <w:t xml:space="preserve"> </w:t>
      </w:r>
      <w:r>
        <w:t xml:space="preserve">(</w:t>
      </w:r>
      <w:r>
        <w:t xml:space="preserve">_i(A)), (R_A^i), (</w:t>
      </w:r>
      <w:r>
        <w:t xml:space="preserve">_A^i).</w:t>
      </w:r>
      <w:r>
        <w:br/>
      </w:r>
      <w:r>
        <w:rPr>
          <w:b/>
          <w:bCs/>
        </w:rPr>
        <w:t xml:space="preserve">Algorithm:</w:t>
      </w:r>
      <w:r>
        <w:t xml:space="preserve"> </w:t>
      </w:r>
      <w:r>
        <w:t xml:space="preserve">1. DAG check on ((V,E_i)); reject on cycle.</w:t>
      </w:r>
      <w:r>
        <w:br/>
      </w:r>
      <w:r>
        <w:t xml:space="preserve">2. Traverse via BFS/DFS from (A) over (E_i) to enumerate (</w:t>
      </w:r>
      <w:r>
        <w:rPr>
          <w:i/>
          <w:iCs/>
        </w:rPr>
        <w:t xml:space="preserve">i(A)).</w:t>
      </w:r>
      <w:r>
        <w:br/>
      </w:r>
      <w:r>
        <w:rPr>
          <w:i/>
          <w:iCs/>
        </w:rPr>
        <w:t xml:space="preserve">3. Construct (f</w:t>
      </w:r>
      <w:r>
        <w:t xml:space="preserve">{A,i}) and SMM root (R_A^i) with default (</w:t>
      </w:r>
      <w:r>
        <w:t xml:space="preserve">).</w:t>
      </w:r>
      <w:r>
        <w:br/>
      </w:r>
      <w:r>
        <w:t xml:space="preserve">4. Form header (</w:t>
      </w:r>
      <w:r>
        <w:t xml:space="preserve">_A^i); insert into (</w:t>
      </w:r>
      <w:r>
        <w:t xml:space="preserve">C_i).</w:t>
      </w:r>
    </w:p>
    <w:p>
      <w:pPr>
        <w:pStyle w:val="BodyText"/>
      </w:pPr>
      <w:r>
        <w:rPr>
          <w:b/>
          <w:bCs/>
        </w:rPr>
        <w:t xml:space="preserve">Cost:</w:t>
      </w:r>
      <w:r>
        <w:t xml:space="preserve"> </w:t>
      </w:r>
      <w:r>
        <w:t xml:space="preserve">(O(|</w:t>
      </w:r>
      <w:r>
        <w:rPr>
          <w:i/>
          <w:iCs/>
        </w:rPr>
        <w:t xml:space="preserve">i(A)|+|E</w:t>
      </w:r>
      <w:r>
        <w:t xml:space="preserve">{A,i}|)) traversal + (O(</w:t>
      </w:r>
      <w:r>
        <w:rPr>
          <w:i/>
          <w:iCs/>
        </w:rPr>
        <w:t xml:space="preserve">{A,i}</w:t>
      </w:r>
      <w:r>
        <w:rPr>
          <w:i/>
          <w:iCs/>
        </w:rPr>
        <w:t xml:space="preserve">U)) SMM updates for membership flips (</w:t>
      </w:r>
      <w:r>
        <w:t xml:space="preserve">{A,i}).</w:t>
      </w:r>
    </w:p>
    <w:bookmarkEnd w:id="25"/>
    <w:bookmarkStart w:id="26" w:name="nonreachability-receipt-prove"/>
    <w:p>
      <w:pPr>
        <w:pStyle w:val="Heading3"/>
      </w:pPr>
      <w:r>
        <w:t xml:space="preserve">2.2 Non‑Reachability Receipt (Prove)</w:t>
      </w:r>
    </w:p>
    <w:p>
      <w:pPr>
        <w:pStyle w:val="FirstParagraph"/>
      </w:pPr>
      <w:r>
        <w:t xml:space="preserve">To prove (A</w:t>
      </w:r>
      <w:r>
        <w:rPr>
          <w:i/>
          <w:iCs/>
        </w:rPr>
        <w:t xml:space="preserve">i B): emit receipt</w:t>
      </w:r>
      <w:r>
        <w:rPr>
          <w:i/>
          <w:iCs/>
        </w:rPr>
        <w:t xml:space="preserve"> </w:t>
      </w:r>
      <w:r>
        <w:rPr>
          <w:i/>
          <w:iCs/>
        </w:rPr>
        <w:t xml:space="preserve">[</w:t>
      </w:r>
      <w:r>
        <w:rPr>
          <w:i/>
          <w:iCs/>
        </w:rPr>
        <w:t xml:space="preserve"> </w:t>
      </w:r>
      <w:r>
        <w:rPr>
          <w:i/>
          <w:iCs/>
        </w:rPr>
        <w:t xml:space="preserve">R(A</w:t>
      </w:r>
      <w:r>
        <w:rPr>
          <w:i/>
          <w:iCs/>
        </w:rPr>
        <w:t xml:space="preserve">B</w:t>
      </w:r>
      <w:r>
        <w:rPr>
          <w:i/>
          <w:iCs/>
        </w:rPr>
        <w:t xml:space="preserve">i):=(</w:t>
      </w:r>
      <w:r>
        <w:rPr>
          <w:i/>
          <w:i/>
          <w:iCs/>
          <w:iCs/>
        </w:rPr>
        <w:t xml:space="preserve">A^i, R_A^i,</w:t>
      </w:r>
      <w:r>
        <w:rPr>
          <w:i/>
          <w:i/>
          <w:iCs/>
          <w:iCs/>
        </w:rP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}^{(A,i)}(B),</w:t>
      </w:r>
      <w:r>
        <w:t xml:space="preserve">{</w:t>
      </w:r>
      <w:r>
        <w:t xml:space="preserve">}(</w:t>
      </w:r>
      <w:r>
        <w:rPr>
          <w:i/>
          <w:iCs/>
        </w:rPr>
        <w:t xml:space="preserve">A^i</w:t>
      </w:r>
      <w:r>
        <w:rPr>
          <w:i/>
          <w:iCs/>
        </w:rPr>
        <w:t xml:space="preserve">C_i),</w:t>
      </w:r>
      <w:r>
        <w:rPr>
          <w:i/>
          <w:iCs/>
        </w:rPr>
        <w:t xml:space="preserve"> </w:t>
      </w:r>
      <w:r>
        <w:rPr>
          <w:i/>
          <w:iCs/>
        </w:rPr>
        <w:t xml:space="preserve">),.</w:t>
      </w:r>
      <w:r>
        <w:rPr>
          <w:i/>
          <w:iCs/>
        </w:rPr>
        <w:t xml:space="preserve"> </w:t>
      </w:r>
      <w:r>
        <w:rPr>
          <w:i/>
          <w:iCs/>
        </w:rPr>
        <w:t xml:space="preserve">]</w:t>
      </w:r>
      <w:r>
        <w:rPr>
          <w:i/>
          <w:iCs/>
        </w:rPr>
        <w:t xml:space="preserve"> </w:t>
      </w:r>
      <w:r>
        <w:rPr>
          <w:i/>
          <w:iCs/>
        </w:rPr>
        <w:t xml:space="preserve">Here (</w:t>
      </w:r>
      <w:r>
        <w:t xml:space="preserve">{</w:t>
      </w:r>
      <w:r>
        <w:t xml:space="preserve">}) is a sparse‑Merkle</w:t>
      </w:r>
      <w:r>
        <w:t xml:space="preserve"> </w:t>
      </w:r>
      <w:r>
        <w:rPr>
          <w:i/>
          <w:iCs/>
        </w:rPr>
        <w:t xml:space="preserve">non‑membership</w:t>
      </w:r>
      <w:r>
        <w:t xml:space="preserve"> </w:t>
      </w:r>
      <w:r>
        <w:t xml:space="preserve">witness that the leaf at key (H(</w:t>
      </w:r>
      <w:r>
        <w:t xml:space="preserve">(B))) equals (</w:t>
      </w:r>
      <w:r>
        <w:t xml:space="preserve">) under root (R_A^i). Optional edge‑status witnesses may accompany disputes.</w:t>
      </w:r>
    </w:p>
    <w:bookmarkEnd w:id="26"/>
    <w:bookmarkStart w:id="27" w:name="verification-verify"/>
    <w:p>
      <w:pPr>
        <w:pStyle w:val="Heading3"/>
      </w:pPr>
      <w:r>
        <w:t xml:space="preserve">2.3 Verification (Verify)</w:t>
      </w:r>
    </w:p>
    <w:p>
      <w:pPr>
        <w:pStyle w:val="FirstParagraph"/>
      </w:pPr>
      <w:r>
        <w:t xml:space="preserve">Given public parameters and epoch artifacts, accept iff all hold: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Header binding:</w:t>
      </w:r>
      <w:r>
        <w:t xml:space="preserve"> </w:t>
      </w:r>
      <w:r>
        <w:t xml:space="preserve">(H(</w:t>
      </w:r>
      <w:r>
        <w:t xml:space="preserve">(A)</w:t>
      </w:r>
      <w:r>
        <w:t xml:space="preserve">i</w:t>
      </w:r>
      <w:r>
        <w:t xml:space="preserve">R_A^i)=</w:t>
      </w:r>
      <w:r>
        <w:rPr>
          <w:i/>
          <w:iCs/>
        </w:rPr>
        <w:t xml:space="preserve">A^i).</w:t>
      </w:r>
      <w:r>
        <w:rPr>
          <w:i/>
          <w:iCs/>
        </w:rPr>
        <w:t xml:space="preserve"> </w:t>
      </w:r>
      <w:r>
        <w:rPr>
          <w:i/>
          <w:iCs/>
        </w:rPr>
        <w:t xml:space="preserve">2.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Sparse‑Merkle non‑membership: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i/>
          <w:iCs/>
        </w:rPr>
        <w:t xml:space="preserve">(R_A^i, H(</w:t>
      </w:r>
      <w:r>
        <w:rPr>
          <w:i/>
          <w:iCs/>
        </w:rPr>
        <w:t xml:space="preserve">(B)),</w:t>
      </w:r>
      <w:r>
        <w:rPr>
          <w:i/>
          <w:iCs/>
        </w:rPr>
        <w:t xml:space="preserve"> 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t xml:space="preserve">{</w:t>
      </w:r>
      <w:r>
        <w:t xml:space="preserve">})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Epoch inclusion:</w:t>
      </w:r>
      <w:r>
        <w:t xml:space="preserve"> </w:t>
      </w:r>
      <w:r>
        <w:t xml:space="preserve">(</w:t>
      </w:r>
      <w:r>
        <w:t xml:space="preserve">(</w:t>
      </w:r>
      <w:r>
        <w:t xml:space="preserve">_i,</w:t>
      </w:r>
      <w:r>
        <w:t xml:space="preserve"> </w:t>
      </w:r>
      <w:r>
        <w:rPr>
          <w:i/>
          <w:iCs/>
        </w:rPr>
        <w:t xml:space="preserve">A^i,</w:t>
      </w:r>
      <w:r>
        <w:rPr>
          <w:i/>
          <w:iCs/>
        </w:rPr>
        <w:t xml:space="preserve"> </w:t>
      </w:r>
      <w:r>
        <w:t xml:space="preserve">{</w:t>
      </w:r>
      <w:r>
        <w:t xml:space="preserve">})</w:t>
      </w:r>
      <w:r>
        <w:t xml:space="preserve">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Chain/anchors:</w:t>
      </w:r>
      <w:r>
        <w:t xml:space="preserve"> </w:t>
      </w:r>
      <w:r>
        <w:t xml:space="preserve">(</w:t>
      </w:r>
      <w:r>
        <w:t xml:space="preserve">_i) consistent and anchored (signature/Merkle).</w:t>
      </w:r>
      <w:r>
        <w:br/>
      </w:r>
      <w:r>
        <w:t xml:space="preserve">5.</w:t>
      </w:r>
      <w:r>
        <w:t xml:space="preserve"> </w:t>
      </w:r>
      <w:r>
        <w:rPr>
          <w:b/>
          <w:bCs/>
        </w:rPr>
        <w:t xml:space="preserve">Optional edge status:</w:t>
      </w:r>
      <w:r>
        <w:t xml:space="preserve"> </w:t>
      </w:r>
      <w:r>
        <w:t xml:space="preserve">any disputed edges validate under the chosen edge model.</w:t>
      </w:r>
    </w:p>
    <w:p>
      <w:pPr>
        <w:pStyle w:val="BodyText"/>
      </w:pPr>
      <w:r>
        <w:t xml:space="preserve">Complexities: SMM check (O(</w:t>
      </w:r>
      <w:r>
        <w:t xml:space="preserve">U)); accumulator (O(</w:t>
      </w:r>
      <w:r>
        <w:t xml:space="preserve">M_i)); chain/anchor (O(1)) (sig) or (O(</w:t>
      </w:r>
      <w:r>
        <w:t xml:space="preserve">A)) (Merkle).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edgestatus-semantics-policy-binding"/>
    <w:p>
      <w:pPr>
        <w:pStyle w:val="Heading2"/>
      </w:pPr>
      <w:r>
        <w:t xml:space="preserve">3. Edge‑Status Semantics &amp; Policy Binding</w:t>
      </w:r>
    </w:p>
    <w:bookmarkStart w:id="29" w:name="model-a-dual-sets"/>
    <w:p>
      <w:pPr>
        <w:pStyle w:val="Heading3"/>
      </w:pPr>
      <w:r>
        <w:t xml:space="preserve">3.1 Model A — Dual Sets</w:t>
      </w:r>
    </w:p>
    <w:p>
      <w:pPr>
        <w:pStyle w:val="Compact"/>
        <w:numPr>
          <w:ilvl w:val="0"/>
          <w:numId w:val="1007"/>
        </w:numPr>
      </w:pPr>
      <w:r>
        <w:t xml:space="preserve">Publish (R_{</w:t>
      </w:r>
      <w:r>
        <w:t xml:space="preserve">V}^i=</w:t>
      </w:r>
      <w:r>
        <w:t xml:space="preserve">(</w:t>
      </w:r>
      <w:r>
        <w:t xml:space="preserve">V_i)) and (R_{</w:t>
      </w:r>
      <w:r>
        <w:t xml:space="preserve">I}^i=</w:t>
      </w:r>
      <w:r>
        <w:t xml:space="preserve">(</w:t>
      </w:r>
      <w:r>
        <w:t xml:space="preserve">I_i)).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Validity witness: inclusion of (H(</w:t>
      </w:r>
      <w:r>
        <w:t xml:space="preserve">(e))) in (</w:t>
      </w:r>
      <w:r>
        <w:t xml:space="preserve">V_i) with header covering (i).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Invalidity witness: inclusion in (</w:t>
      </w:r>
      <w:r>
        <w:t xml:space="preserve">I_i) with tombstone (status, reason, policy hash, revocation epoch) and attester sigs.</w:t>
      </w:r>
    </w:p>
    <w:bookmarkEnd w:id="29"/>
    <w:bookmarkStart w:id="30" w:name="model-b-interval-versioning"/>
    <w:p>
      <w:pPr>
        <w:pStyle w:val="Heading3"/>
      </w:pPr>
      <w:r>
        <w:t xml:space="preserve">3.2 Model B — Interval Versioning</w:t>
      </w:r>
    </w:p>
    <w:p>
      <w:pPr>
        <w:pStyle w:val="Compact"/>
        <w:numPr>
          <w:ilvl w:val="0"/>
          <w:numId w:val="1008"/>
        </w:numPr>
      </w:pPr>
      <w:r>
        <w:t xml:space="preserve">Maintain only (</w:t>
      </w:r>
      <w:r>
        <w:t xml:space="preserve">V_i) with interval headers; prove invalidity by non‑membership or membership with interval (</w:t>
      </w:r>
      <w:r>
        <w:t xml:space="preserve">i). Optional revocation receipts attach rationale.</w:t>
      </w:r>
    </w:p>
    <w:bookmarkEnd w:id="30"/>
    <w:bookmarkStart w:id="31" w:name="computing-closures-with-edge-status"/>
    <w:p>
      <w:pPr>
        <w:pStyle w:val="Heading3"/>
      </w:pPr>
      <w:r>
        <w:t xml:space="preserve">3.3 Computing Closures with Edge Status</w:t>
      </w:r>
    </w:p>
    <w:p>
      <w:pPr>
        <w:pStyle w:val="Compact"/>
        <w:numPr>
          <w:ilvl w:val="0"/>
          <w:numId w:val="1009"/>
        </w:numPr>
      </w:pPr>
      <w:r>
        <w:t xml:space="preserve">Closures use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in‑force edges: (E_i) derived from (</w:t>
      </w:r>
      <w:r>
        <w:t xml:space="preserve">V_i) minus invalidated edges (A) or via interval coverage (B).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security-properties"/>
    <w:p>
      <w:pPr>
        <w:pStyle w:val="Heading2"/>
      </w:pPr>
      <w:r>
        <w:t xml:space="preserve">4. Security Properties</w:t>
      </w:r>
    </w:p>
    <w:bookmarkStart w:id="33" w:name="correctness-completeness"/>
    <w:p>
      <w:pPr>
        <w:pStyle w:val="Heading3"/>
      </w:pPr>
      <w:r>
        <w:t xml:space="preserve">4.1 Correctness &amp; Completeness</w:t>
      </w:r>
    </w:p>
    <w:p>
      <w:pPr>
        <w:pStyle w:val="Compact"/>
        <w:numPr>
          <w:ilvl w:val="0"/>
          <w:numId w:val="1010"/>
        </w:numPr>
      </w:pPr>
      <w:r>
        <w:t xml:space="preserve">If a path exists ((A</w:t>
      </w:r>
      <w:r>
        <w:rPr>
          <w:i/>
          <w:iCs/>
        </w:rPr>
        <w:t xml:space="preserve">i B)), then (H(</w:t>
      </w:r>
      <w:r>
        <w:rPr>
          <w:i/>
          <w:iCs/>
        </w:rPr>
        <w:t xml:space="preserve">(B))) must map to (1) under (R_A^i); (</w:t>
      </w:r>
      <w:r>
        <w:t xml:space="preserve">{</w:t>
      </w:r>
      <w:r>
        <w:t xml:space="preserve">}) cannot verify.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If no path exists ((A</w:t>
      </w:r>
      <w:r>
        <w:rPr>
          <w:i/>
          <w:iCs/>
        </w:rPr>
        <w:t xml:space="preserve">i B)), then (f</w:t>
      </w:r>
      <w:r>
        <w:t xml:space="preserve">{A,i}(</w:t>
      </w:r>
      <w:r>
        <w:t xml:space="preserve">(B))=</w:t>
      </w:r>
      <w:r>
        <w:t xml:space="preserve">), so non‑membership verifies.</w:t>
      </w:r>
    </w:p>
    <w:bookmarkEnd w:id="33"/>
    <w:bookmarkStart w:id="34" w:name="soundness"/>
    <w:p>
      <w:pPr>
        <w:pStyle w:val="Heading3"/>
      </w:pPr>
      <w:r>
        <w:t xml:space="preserve">4.2 Soundness</w:t>
      </w:r>
    </w:p>
    <w:p>
      <w:pPr>
        <w:pStyle w:val="Compact"/>
        <w:numPr>
          <w:ilvl w:val="0"/>
          <w:numId w:val="1011"/>
        </w:numPr>
      </w:pPr>
      <w:r>
        <w:t xml:space="preserve">Forging (</w:t>
      </w:r>
      <w:r>
        <w:rPr>
          <w:i/>
          <w:iCs/>
        </w:rPr>
        <w:t xml:space="preserve">{</w:t>
      </w:r>
      <w:r>
        <w:rPr>
          <w:i/>
          <w:iCs/>
        </w:rPr>
        <w:t xml:space="preserve">}) while (f</w:t>
      </w:r>
      <w:r>
        <w:t xml:space="preserve">{A,i}(</w:t>
      </w:r>
      <w:r>
        <w:t xml:space="preserve">(B))=1) requires hash collision/2nd‑preimage or malleability of encodings; ruled out under (H)’s assumptions and canonical encoding of (</w:t>
      </w:r>
      <w:r>
        <w:t xml:space="preserve">).</w:t>
      </w:r>
    </w:p>
    <w:bookmarkEnd w:id="34"/>
    <w:bookmarkStart w:id="35" w:name="nonequivocation-tamper-evidence"/>
    <w:p>
      <w:pPr>
        <w:pStyle w:val="Heading3"/>
      </w:pPr>
      <w:r>
        <w:t xml:space="preserve">4.3 Non‑Equivocation &amp; Tamper Evidence</w:t>
      </w:r>
    </w:p>
    <w:p>
      <w:pPr>
        <w:pStyle w:val="Compact"/>
        <w:numPr>
          <w:ilvl w:val="0"/>
          <w:numId w:val="1012"/>
        </w:numPr>
      </w:pPr>
      <w:r>
        <w:t xml:space="preserve">Divergent (</w:t>
      </w:r>
      <w:r>
        <w:t xml:space="preserve">_A^i) across views change (</w:t>
      </w:r>
      <w:r>
        <w:t xml:space="preserve">C_i</w:t>
      </w:r>
      <w:r>
        <w:t xml:space="preserve">_i</w:t>
      </w:r>
      <w:r>
        <w:t xml:space="preserve">_i), detected against anchors.</w:t>
      </w:r>
    </w:p>
    <w:bookmarkEnd w:id="35"/>
    <w:bookmarkStart w:id="36" w:name="confidentiality-minimal-disclosure"/>
    <w:p>
      <w:pPr>
        <w:pStyle w:val="Heading3"/>
      </w:pPr>
      <w:r>
        <w:t xml:space="preserve">4.4 Confidentiality / Minimal Disclosure</w:t>
      </w:r>
    </w:p>
    <w:p>
      <w:pPr>
        <w:pStyle w:val="Compact"/>
        <w:numPr>
          <w:ilvl w:val="0"/>
          <w:numId w:val="1013"/>
        </w:numPr>
      </w:pPr>
      <w:r>
        <w:t xml:space="preserve">Receipts reveal only ((A,B,i)), roots, and succinct witnesses; no intermediate nodes/edges disclosed.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mplexity-analysis"/>
    <w:p>
      <w:pPr>
        <w:pStyle w:val="Heading2"/>
      </w:pPr>
      <w:r>
        <w:t xml:space="preserve">5. Complexity Analysis</w:t>
      </w:r>
    </w:p>
    <w:p>
      <w:pPr>
        <w:pStyle w:val="FirstParagraph"/>
      </w:pPr>
      <w:r>
        <w:t xml:space="preserve">Let (U=|</w:t>
      </w:r>
      <w:r>
        <w:t xml:space="preserve">U|) (keyspace), (M_i=|</w:t>
      </w:r>
      <w:r>
        <w:t xml:space="preserve">C_i|) (accumulator items), (m) targets in batch.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Verification (single):</w:t>
      </w:r>
      <w:r>
        <w:t xml:space="preserve"> </w:t>
      </w:r>
      <w:r>
        <w:t xml:space="preserve">(O(</w:t>
      </w:r>
      <w:r>
        <w:t xml:space="preserve">U)+O(</w:t>
      </w:r>
      <w:r>
        <w:t xml:space="preserve">M_i)+O(1)) or (O(</w:t>
      </w:r>
      <w:r>
        <w:t xml:space="preserve">A)).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Verification (batch):</w:t>
      </w:r>
      <w:r>
        <w:t xml:space="preserve"> </w:t>
      </w:r>
      <w:r>
        <w:t xml:space="preserve">one accumulator &amp; chain check + multiproof of size (</w:t>
      </w:r>
      <w:r>
        <w:t xml:space="preserve">O(</w:t>
      </w:r>
      <w:r>
        <w:t xml:space="preserve">U+m)).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Closure compute:</w:t>
      </w:r>
      <w:r>
        <w:t xml:space="preserve"> </w:t>
      </w:r>
      <w:r>
        <w:t xml:space="preserve">(O(|</w:t>
      </w:r>
      <w:r>
        <w:rPr>
          <w:i/>
          <w:iCs/>
        </w:rPr>
        <w:t xml:space="preserve">i(A)|+|E</w:t>
      </w:r>
      <w:r>
        <w:t xml:space="preserve">{A,i}|)).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SMM updates:</w:t>
      </w:r>
      <w:r>
        <w:t xml:space="preserve"> </w:t>
      </w:r>
      <w:r>
        <w:t xml:space="preserve">amortized (O(</w:t>
      </w:r>
      <w:r>
        <w:t xml:space="preserve">_{A,i}</w:t>
      </w:r>
      <w:r>
        <w:t xml:space="preserve">U)).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changed branches only for SMM; headers/roots constant per epoch; optional (R_{</w:t>
      </w:r>
      <w:r>
        <w:t xml:space="preserve">V}</w:t>
      </w:r>
      <w:r>
        <w:rPr>
          <w:vertAlign w:val="superscript"/>
        </w:rPr>
        <w:t xml:space="preserve">i,R_{</w:t>
      </w:r>
      <w:r>
        <w:rPr>
          <w:vertAlign w:val="superscript"/>
        </w:rPr>
        <w:t xml:space="preserve">I}</w:t>
      </w:r>
      <w:r>
        <w:t xml:space="preserve">i) per epoch.</w:t>
      </w:r>
    </w:p>
    <w:p>
      <w:r>
        <w:pict>
          <v:rect style="width:0;height:1.5pt" o:hralign="center" o:hrstd="t" o:hr="t"/>
        </w:pict>
      </w:r>
    </w:p>
    <w:bookmarkEnd w:id="38"/>
    <w:bookmarkStart w:id="39" w:name="algorithms-reference-pseudocode"/>
    <w:p>
      <w:pPr>
        <w:pStyle w:val="Heading2"/>
      </w:pPr>
      <w:r>
        <w:t xml:space="preserve">6. Algorithms (Reference Pseudocode)</w:t>
      </w:r>
    </w:p>
    <w:p>
      <w:pPr>
        <w:pStyle w:val="SourceCode"/>
      </w:pPr>
      <w:r>
        <w:rPr>
          <w:rStyle w:val="VerbatimChar"/>
        </w:rPr>
        <w:t xml:space="preserve">ComputeClosure(A,i):</w:t>
      </w:r>
      <w:r>
        <w:br/>
      </w:r>
      <w:r>
        <w:rPr>
          <w:rStyle w:val="VerbatimChar"/>
        </w:rPr>
        <w:t xml:space="preserve">  assert DAG(E_i)</w:t>
      </w:r>
      <w:r>
        <w:br/>
      </w:r>
      <w:r>
        <w:rPr>
          <w:rStyle w:val="VerbatimChar"/>
        </w:rPr>
        <w:t xml:space="preserve">  Desc := BFS/DFS(A, E_i)</w:t>
      </w:r>
      <w:r>
        <w:br/>
      </w:r>
      <w:r>
        <w:rPr>
          <w:rStyle w:val="VerbatimChar"/>
        </w:rPr>
        <w:t xml:space="preserve">  R := BuildSMM(Desc, default=⊥)</w:t>
      </w:r>
      <w:r>
        <w:br/>
      </w:r>
      <w:r>
        <w:rPr>
          <w:rStyle w:val="VerbatimChar"/>
        </w:rPr>
        <w:t xml:space="preserve">  CH := H("RMT" || id(A) || i || R)</w:t>
      </w:r>
      <w:r>
        <w:br/>
      </w:r>
      <w:r>
        <w:rPr>
          <w:rStyle w:val="VerbatimChar"/>
        </w:rPr>
        <w:t xml:space="preserve">  PublishToAccumulator(i, CH)</w:t>
      </w:r>
      <w:r>
        <w:br/>
      </w:r>
      <w:r>
        <w:rPr>
          <w:rStyle w:val="VerbatimChar"/>
        </w:rPr>
        <w:t xml:space="preserve">  return (Desc, R, CH)</w:t>
      </w:r>
    </w:p>
    <w:p>
      <w:pPr>
        <w:pStyle w:val="SourceCode"/>
      </w:pPr>
      <w:r>
        <w:rPr>
          <w:rStyle w:val="VerbatimChar"/>
        </w:rPr>
        <w:t xml:space="preserve">VerifyNoPath(A,B,i, receipt):</w:t>
      </w:r>
      <w:r>
        <w:br/>
      </w:r>
      <w:r>
        <w:rPr>
          <w:rStyle w:val="VerbatimChar"/>
        </w:rPr>
        <w:t xml:space="preserve">  (CH, R, pi_perp, pi_acc, chain) := receipt</w:t>
      </w:r>
      <w:r>
        <w:br/>
      </w:r>
      <w:r>
        <w:rPr>
          <w:rStyle w:val="VerbatimChar"/>
        </w:rPr>
        <w:t xml:space="preserve">  if H("RMT"||id(A)||i||R) != CH: return REJECT</w:t>
      </w:r>
      <w:r>
        <w:br/>
      </w:r>
      <w:r>
        <w:rPr>
          <w:rStyle w:val="VerbatimChar"/>
        </w:rPr>
        <w:t xml:space="preserve">  if !VerifySMMNonMember(R, H(id(B)), ⊥, pi_perp): return REJECT</w:t>
      </w:r>
      <w:r>
        <w:br/>
      </w:r>
      <w:r>
        <w:rPr>
          <w:rStyle w:val="VerbatimChar"/>
        </w:rPr>
        <w:t xml:space="preserve">  if !VerifyAcc(Root_i, CH, pi_acc): return REJECT</w:t>
      </w:r>
      <w:r>
        <w:br/>
      </w:r>
      <w:r>
        <w:rPr>
          <w:rStyle w:val="VerbatimChar"/>
        </w:rPr>
        <w:t xml:space="preserve">  if !VerifyChainAnchors(i, Root_i, chain): return REJECT</w:t>
      </w:r>
      <w:r>
        <w:br/>
      </w:r>
      <w:r>
        <w:rPr>
          <w:rStyle w:val="VerbatimChar"/>
        </w:rPr>
        <w:t xml:space="preserve">  return ACCEPT</w:t>
      </w:r>
    </w:p>
    <w:p>
      <w:r>
        <w:pict>
          <v:rect style="width:0;height:1.5pt" o:hralign="center" o:hrstd="t" o:hr="t"/>
        </w:pict>
      </w:r>
    </w:p>
    <w:bookmarkEnd w:id="39"/>
    <w:bookmarkStart w:id="40" w:name="formal-statements"/>
    <w:p>
      <w:pPr>
        <w:pStyle w:val="Heading2"/>
      </w:pPr>
      <w:r>
        <w:t xml:space="preserve">7. Formal Statements</w:t>
      </w:r>
    </w:p>
    <w:p>
      <w:pPr>
        <w:pStyle w:val="FirstParagraph"/>
      </w:pPr>
      <w:r>
        <w:rPr>
          <w:b/>
          <w:bCs/>
        </w:rPr>
        <w:t xml:space="preserve">Theorem 1 (Correctness).</w:t>
      </w:r>
      <w:r>
        <w:t xml:space="preserve"> </w:t>
      </w:r>
      <w:r>
        <w:t xml:space="preserve">For any epoch (i) and nodes (A,B</w:t>
      </w:r>
      <w:r>
        <w:t xml:space="preserve">V), if (A</w:t>
      </w:r>
      <w:r>
        <w:rPr>
          <w:i/>
          <w:iCs/>
        </w:rPr>
        <w:t xml:space="preserve">i B) then (</w:t>
      </w:r>
      <w:r>
        <w:rPr>
          <w:i/>
          <w:iCs/>
        </w:rPr>
        <w:t xml:space="preserve">R(A</w:t>
      </w:r>
      <w:r>
        <w:rPr>
          <w:i/>
          <w:iCs/>
        </w:rPr>
        <w:t xml:space="preserve">B</w:t>
      </w:r>
      <w:r>
        <w:rPr>
          <w:i/>
          <w:iCs/>
        </w:rPr>
        <w:t xml:space="preserve">i)) verifies.</w:t>
      </w:r>
      <w:r>
        <w:br/>
      </w:r>
      <w:r>
        <w:rPr>
          <w:i/>
          <w:i/>
          <w:iCs/>
          <w:iCs/>
        </w:rPr>
        <w:t xml:space="preserve">Sketch.</w:t>
      </w:r>
      <w:r>
        <w:rPr>
          <w:i/>
          <w:iCs/>
        </w:rPr>
        <w:t xml:space="preserve"> </w:t>
      </w:r>
      <w:r>
        <w:rPr>
          <w:i/>
          <w:iCs/>
        </w:rPr>
        <w:t xml:space="preserve">By construction, (f</w:t>
      </w:r>
      <w:r>
        <w:t xml:space="preserve">{A,i}(</w:t>
      </w:r>
      <w:r>
        <w:t xml:space="preserve">(B))=</w:t>
      </w:r>
      <w:r>
        <w:t xml:space="preserve">); SMM non‑membership witness verifies under (R_A^i). Header &amp; accumulator checks bind (R_A^i) to ((A,i)) and to (</w:t>
      </w:r>
      <w:r>
        <w:t xml:space="preserve">_i). ∎</w:t>
      </w:r>
    </w:p>
    <w:p>
      <w:pPr>
        <w:pStyle w:val="BodyText"/>
      </w:pPr>
      <w:r>
        <w:rPr>
          <w:b/>
          <w:bCs/>
        </w:rPr>
        <w:t xml:space="preserve">Theorem 2 (Soundness).</w:t>
      </w:r>
      <w:r>
        <w:t xml:space="preserve"> </w:t>
      </w:r>
      <w:r>
        <w:t xml:space="preserve">Under collision/second‑preimage resistance of (H) and canonical encodings, no PPT adversary can produce a verifying (</w:t>
      </w:r>
      <w:r>
        <w:t xml:space="preserve">R(A</w:t>
      </w:r>
      <w:r>
        <w:t xml:space="preserve">B</w:t>
      </w:r>
      <w:r>
        <w:t xml:space="preserve">i)) when (A</w:t>
      </w:r>
      <w:r>
        <w:t xml:space="preserve">_i B) except with negligible probability in (</w:t>
      </w:r>
      <w:r>
        <w:t xml:space="preserve">).</w:t>
      </w:r>
      <w:r>
        <w:br/>
      </w:r>
      <w:r>
        <w:rPr>
          <w:i/>
          <w:iCs/>
        </w:rPr>
        <w:t xml:space="preserve">Sketch.</w:t>
      </w:r>
      <w:r>
        <w:t xml:space="preserve"> </w:t>
      </w:r>
      <w:r>
        <w:t xml:space="preserve">A valid non‑membership witness for a member implies a Merkle collision/malleability. Alternately, equivocation on ((A,i)) changes (</w:t>
      </w:r>
      <w:r>
        <w:t xml:space="preserve">C_i) and (</w:t>
      </w:r>
      <w:r>
        <w:t xml:space="preserve">_i) conflicting with anchors. ∎</w:t>
      </w:r>
    </w:p>
    <w:p>
      <w:pPr>
        <w:pStyle w:val="BodyText"/>
      </w:pPr>
      <w:r>
        <w:rPr>
          <w:b/>
          <w:bCs/>
        </w:rPr>
        <w:t xml:space="preserve">Proposition 3 (Batch Efficiency).</w:t>
      </w:r>
      <w:r>
        <w:t xml:space="preserve"> </w:t>
      </w:r>
      <w:r>
        <w:t xml:space="preserve">For fixed ((A,i)) and targets ({B_j}_{j=1}^m), there exists a witness of size (O(</w:t>
      </w:r>
      <w:r>
        <w:t xml:space="preserve">U+m)) verifying all (A</w:t>
      </w:r>
      <w:r>
        <w:t xml:space="preserve">_i B_j).</w:t>
      </w:r>
      <w:r>
        <w:br/>
      </w:r>
      <w:r>
        <w:rPr>
          <w:i/>
          <w:iCs/>
        </w:rPr>
        <w:t xml:space="preserve">Sketch.</w:t>
      </w:r>
      <w:r>
        <w:t xml:space="preserve"> </w:t>
      </w:r>
      <w:r>
        <w:t xml:space="preserve">Use sparse‑Merkle multiproof construction that shares path siblings. ∎</w:t>
      </w:r>
    </w:p>
    <w:p>
      <w:r>
        <w:pict>
          <v:rect style="width:0;height:1.5pt" o:hralign="center" o:hrstd="t" o:hr="t"/>
        </w:pict>
      </w:r>
    </w:p>
    <w:bookmarkEnd w:id="40"/>
    <w:bookmarkStart w:id="41" w:name="policy-jurisdiction-extensions"/>
    <w:p>
      <w:pPr>
        <w:pStyle w:val="Heading2"/>
      </w:pPr>
      <w:r>
        <w:t xml:space="preserve">8. Policy &amp; Jurisdiction Extensions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Policy hash binding.</w:t>
      </w:r>
      <w:r>
        <w:t xml:space="preserve"> </w:t>
      </w:r>
      <w:r>
        <w:t xml:space="preserve">Optional inclusion of (h_{</w:t>
      </w:r>
      <w:r>
        <w:t xml:space="preserve">}) in tombstones or receipts links denials to governing rules.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Multi‑jurisdiction anchoring.</w:t>
      </w:r>
      <w:r>
        <w:t xml:space="preserve"> </w:t>
      </w:r>
      <w:r>
        <w:t xml:space="preserve">Publish (</w:t>
      </w:r>
      <w:r>
        <w:t xml:space="preserve">_i) into jurisdiction‑scoped transparency services; verifiers choose trust roots per venue.</w:t>
      </w:r>
    </w:p>
    <w:p>
      <w:r>
        <w:pict>
          <v:rect style="width:0;height:1.5pt" o:hralign="center" o:hrstd="t" o:hr="t"/>
        </w:pict>
      </w:r>
    </w:p>
    <w:bookmarkEnd w:id="41"/>
    <w:bookmarkStart w:id="42" w:name="paradoxes-edge-cases-for-auditors"/>
    <w:p>
      <w:pPr>
        <w:pStyle w:val="Heading2"/>
      </w:pPr>
      <w:r>
        <w:t xml:space="preserve">9. Paradoxes &amp; Edge Cases (for auditors)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Absence as evidence.</w:t>
      </w:r>
      <w:r>
        <w:t xml:space="preserve"> </w:t>
      </w:r>
      <w:r>
        <w:t xml:space="preserve">RMT converts a negative existential (no path) into a positive artifact. The paradox resolves because the closure is</w:t>
      </w:r>
      <w:r>
        <w:t xml:space="preserve"> </w:t>
      </w:r>
      <w:r>
        <w:rPr>
          <w:i/>
          <w:iCs/>
        </w:rPr>
        <w:t xml:space="preserve">bounded</w:t>
      </w:r>
      <w:r>
        <w:t xml:space="preserve"> </w:t>
      </w:r>
      <w:r>
        <w:t xml:space="preserve">by ((A,i)): we avoid universal claims while still proving absence in a specified relational neighborhood.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Stale receipts.</w:t>
      </w:r>
      <w:r>
        <w:t xml:space="preserve"> </w:t>
      </w:r>
      <w:r>
        <w:t xml:space="preserve">A proof at epoch (i) says nothing about (i+1); chaining prevents rewriting the past but not forward changes.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Rejected‑then‑revoked edges.</w:t>
      </w:r>
      <w:r>
        <w:t xml:space="preserve"> </w:t>
      </w:r>
      <w:r>
        <w:t xml:space="preserve">Under model A the same (e) may appear only in (</w:t>
      </w:r>
      <w:r>
        <w:t xml:space="preserve">I_i) with different statuses over time; closure logic always queries (E_i)</w:t>
      </w:r>
      <w:r>
        <w:t xml:space="preserve"> </w:t>
      </w:r>
      <w:r>
        <w:rPr>
          <w:i/>
          <w:iCs/>
        </w:rPr>
        <w:t xml:space="preserve">post</w:t>
      </w:r>
      <w:r>
        <w:t xml:space="preserve">‑resolution.</w:t>
      </w:r>
    </w:p>
    <w:p>
      <w:r>
        <w:pict>
          <v:rect style="width:0;height:1.5pt" o:hralign="center" o:hrstd="t" o:hr="t"/>
        </w:pict>
      </w:r>
    </w:p>
    <w:bookmarkEnd w:id="42"/>
    <w:bookmarkStart w:id="43" w:name="implementation-hints"/>
    <w:p>
      <w:pPr>
        <w:pStyle w:val="Heading2"/>
      </w:pPr>
      <w:r>
        <w:t xml:space="preserve">10. Implementation Hints</w:t>
      </w:r>
    </w:p>
    <w:p>
      <w:pPr>
        <w:pStyle w:val="Compact"/>
        <w:numPr>
          <w:ilvl w:val="0"/>
          <w:numId w:val="1017"/>
        </w:numPr>
      </w:pPr>
      <w:r>
        <w:t xml:space="preserve">Use constant‑time hashing and domain‑separated encodings for leaves/internal nodes.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Prefer k‑ary Merkle to reduce depth if bandwidth permits.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Cache per‑node SMM branches; update only flipped leaves across epochs.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Tune epoch granularity so (M_i) keeps (</w:t>
      </w:r>
      <w:r>
        <w:t xml:space="preserve">M_i) small for audit paths.</w:t>
      </w:r>
    </w:p>
    <w:p>
      <w:r>
        <w:pict>
          <v:rect style="width:0;height:1.5pt" o:hralign="center" o:hrstd="t" o:hr="t"/>
        </w:pict>
      </w:r>
    </w:p>
    <w:bookmarkEnd w:id="43"/>
    <w:bookmarkStart w:id="44" w:name="minimal-interface-abi"/>
    <w:p>
      <w:pPr>
        <w:pStyle w:val="Heading2"/>
      </w:pPr>
      <w:r>
        <w:t xml:space="preserve">11. Minimal Interface (ABI)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PublishToAccumulator(i, item)</w:t>
      </w:r>
      <w:r>
        <w:t xml:space="preserve"> </w:t>
      </w:r>
      <w:r>
        <w:t xml:space="preserve">→ inclusion proof handle.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GetChainAnchor(i)</w:t>
      </w:r>
      <w:r>
        <w:t xml:space="preserve"> </w:t>
      </w:r>
      <w:r>
        <w:t xml:space="preserve">→ (</w:t>
      </w:r>
      <w:r>
        <w:t xml:space="preserve">_i,</w:t>
      </w:r>
      <w:r>
        <w:t xml:space="preserve"> </w:t>
      </w:r>
      <w:r>
        <w:t xml:space="preserve">_i).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BuildSMM(S, default)</w:t>
      </w:r>
      <w:r>
        <w:t xml:space="preserve"> </w:t>
      </w:r>
      <w:r>
        <w:t xml:space="preserve">→ root, witnesses.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VerifySMMNonMember(root, key, default, proof)</w:t>
      </w:r>
      <w:r>
        <w:t xml:space="preserve"> </w:t>
      </w:r>
      <w:r>
        <w:t xml:space="preserve">→ {</w:t>
      </w:r>
      <w:r>
        <w:t xml:space="preserve">,</w:t>
      </w:r>
      <w:r>
        <w:t xml:space="preserve">}.</w:t>
      </w:r>
    </w:p>
    <w:p>
      <w:r>
        <w:pict>
          <v:rect style="width:0;height:1.5pt" o:hralign="center" o:hrstd="t" o:hr="t"/>
        </w:pict>
      </w:r>
    </w:p>
    <w:bookmarkEnd w:id="44"/>
    <w:bookmarkStart w:id="45" w:name="worked-example-sketch"/>
    <w:p>
      <w:pPr>
        <w:pStyle w:val="Heading2"/>
      </w:pPr>
      <w:r>
        <w:t xml:space="preserve">12. Worked Example (Sketch)</w:t>
      </w:r>
    </w:p>
    <w:p>
      <w:pPr>
        <w:pStyle w:val="FirstParagraph"/>
      </w:pPr>
      <w:r>
        <w:t xml:space="preserve">Suppose (U=2^{256}), (M_i</w:t>
      </w:r>
      <w:r>
        <w:t xml:space="preserve">^6). For a product (P) and banned supplier (X): compute (</w:t>
      </w:r>
      <w:r>
        <w:t xml:space="preserve">_i(P)) (≈500 nodes), build (R_P^i). A receipt contains: header (32 B), SMM non‑membership (~8 KB), accumulator path (~640 B), chain sig (~64 B). Verifier performs ≈256 hash checks + one accumulator path + one signature → &lt;100 ms on commodity CPU.</w:t>
      </w:r>
    </w:p>
    <w:p>
      <w:r>
        <w:pict>
          <v:rect style="width:0;height:1.5pt" o:hralign="center" o:hrstd="t" o:hr="t"/>
        </w:pict>
      </w:r>
    </w:p>
    <w:bookmarkEnd w:id="45"/>
    <w:bookmarkStart w:id="46" w:name="references-to-figures-mapping"/>
    <w:p>
      <w:pPr>
        <w:pStyle w:val="Heading2"/>
      </w:pPr>
      <w:r>
        <w:t xml:space="preserve">13. References to Figures (Mapping)</w:t>
      </w:r>
    </w:p>
    <w:p>
      <w:pPr>
        <w:pStyle w:val="Compact"/>
        <w:numPr>
          <w:ilvl w:val="0"/>
          <w:numId w:val="1019"/>
        </w:numPr>
      </w:pPr>
      <w:r>
        <w:t xml:space="preserve">System architecture and flow correspond to Figs. 1–2.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Receipt layout and verifier flow correspond to Figs. 3–4.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Edge models correspond to Figs. 5–6.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Batch proofs correspond to Fig. 7.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Accumulator→chain→anchors correspond to Fig. 8.</w:t>
      </w:r>
    </w:p>
    <w:p>
      <w:r>
        <w:pict>
          <v:rect style="width:0;height:1.5pt" o:hralign="center" o:hrstd="t" o:hr="t"/>
        </w:pict>
      </w:r>
    </w:p>
    <w:bookmarkEnd w:id="46"/>
    <w:bookmarkStart w:id="47" w:name="glossary"/>
    <w:p>
      <w:pPr>
        <w:pStyle w:val="Heading2"/>
      </w:pPr>
      <w:r>
        <w:t xml:space="preserve">14. Glossary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Closure</w:t>
      </w:r>
      <w:r>
        <w:t xml:space="preserve">: set of nodes reachable from a source under in‑force edges at an epoch.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SMM</w:t>
      </w:r>
      <w:r>
        <w:t xml:space="preserve">: Sparse Merkle Map, authenticates key→value dictionary with default leaf.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Non‑reachability receipt</w:t>
      </w:r>
      <w:r>
        <w:t xml:space="preserve">: artifact proving absence of a path (A</w:t>
      </w:r>
      <w:r>
        <w:t xml:space="preserve">B) at epoch (i).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Accumulator</w:t>
      </w:r>
      <w:r>
        <w:t xml:space="preserve">: authenticated set that aggregates epoch items with inclusion proofs.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Cumulative chain</w:t>
      </w:r>
      <w:r>
        <w:t xml:space="preserve">: hash chain over epoch roots, externally anchored.</w:t>
      </w:r>
    </w:p>
    <w:p>
      <w:r>
        <w:pict>
          <v:rect style="width:0;height:1.5pt" o:hralign="center" o:hrstd="t" o:hr="t"/>
        </w:pict>
      </w:r>
    </w:p>
    <w:bookmarkEnd w:id="47"/>
    <w:bookmarkStart w:id="48" w:name="license-use"/>
    <w:p>
      <w:pPr>
        <w:pStyle w:val="Heading2"/>
      </w:pPr>
      <w:r>
        <w:t xml:space="preserve">15. License / Use</w:t>
      </w:r>
    </w:p>
    <w:p>
      <w:pPr>
        <w:pStyle w:val="FirstParagraph"/>
      </w:pPr>
      <w:r>
        <w:t xml:space="preserve">Internal use by Epistria and trusted counsel. This document formalizes claims and specification language into a math‑rigorous model suitable for proofs, verification, and implementation.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2025-09-23T16:29:04Z</dcterms:created>
  <dcterms:modified xsi:type="dcterms:W3CDTF">2025-09-23T16:29:04Z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