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5D58" w14:textId="77777777" w:rsidR="00CE0760" w:rsidRPr="00CE0760" w:rsidRDefault="00CE0760" w:rsidP="00CE0760">
      <w:pPr>
        <w:rPr>
          <w:b/>
          <w:bCs/>
        </w:rPr>
      </w:pPr>
      <w:r w:rsidRPr="00CE0760">
        <w:rPr>
          <w:b/>
          <w:bCs/>
        </w:rPr>
        <w:t>Deployment Strategy</w:t>
      </w:r>
    </w:p>
    <w:p w14:paraId="590BCFCF" w14:textId="3BD8046A" w:rsidR="00CE0760" w:rsidRPr="00CE0760" w:rsidRDefault="00CE0760" w:rsidP="00CE0760">
      <w:r w:rsidRPr="00CE0760">
        <w:t xml:space="preserve">The </w:t>
      </w:r>
      <w:r>
        <w:t>t</w:t>
      </w:r>
      <w:r w:rsidRPr="00CE0760">
        <w:t>ask</w:t>
      </w:r>
      <w:r>
        <w:t xml:space="preserve"> f</w:t>
      </w:r>
      <w:r w:rsidRPr="00CE0760">
        <w:t>low application uses three environments: development, staging, and production. Developers deploy changes to the development environment for initial validation. Once changes are complete, they are deployed automatically to the staging environment through the CI/CD pipeline. Staging mirrors production and is used to verify functionality, database changes, and integration behavior before release.</w:t>
      </w:r>
      <w:r>
        <w:t>]</w:t>
      </w:r>
    </w:p>
    <w:p w14:paraId="3530260C" w14:textId="77777777" w:rsidR="00CE0760" w:rsidRPr="00CE0760" w:rsidRDefault="00CE0760" w:rsidP="00CE0760">
      <w:r w:rsidRPr="00CE0760">
        <w:t>Deployment to production requires approval from the Product Owner or engineering lead after staging validation passes. The release cadence is planned as weekly deployments, with emergency fixes deployed as needed.</w:t>
      </w:r>
    </w:p>
    <w:p w14:paraId="40CA8988" w14:textId="23A4EA61" w:rsidR="00CE0760" w:rsidRDefault="00CE0760" w:rsidP="00CE0760">
      <w:r w:rsidRPr="00CE0760">
        <w:t>The deployment strategy uses a blue-green deployment model. In this approach, two production environments exist: one active (current version) and one inactive (new version). The new version is deployed to the inactive environment and tested. Once validated, traffic is switched to the new version. This strategy minimizes downtime and allows immediate rollback by switching back to the previous environment if necessary.</w:t>
      </w:r>
    </w:p>
    <w:p w14:paraId="52C27DAF" w14:textId="77777777" w:rsidR="00FA6465" w:rsidRPr="00CE0760" w:rsidRDefault="00FA6465" w:rsidP="00CE0760"/>
    <w:p w14:paraId="350B0BEF" w14:textId="77777777" w:rsidR="00CE0760" w:rsidRPr="00CE0760" w:rsidRDefault="00CE0760" w:rsidP="00CE0760">
      <w:pPr>
        <w:rPr>
          <w:b/>
          <w:bCs/>
          <w:sz w:val="28"/>
          <w:szCs w:val="28"/>
        </w:rPr>
      </w:pPr>
      <w:r w:rsidRPr="00CE0760">
        <w:rPr>
          <w:b/>
          <w:bCs/>
          <w:sz w:val="28"/>
          <w:szCs w:val="28"/>
        </w:rPr>
        <w:t>Risk Identification</w:t>
      </w:r>
    </w:p>
    <w:p w14:paraId="03D5AE63" w14:textId="77777777" w:rsidR="00CE0760" w:rsidRPr="00CE0760" w:rsidRDefault="00CE0760" w:rsidP="00CE0760">
      <w:r w:rsidRPr="00CE0760">
        <w:t>The following deployment risks could affect system stability and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5087"/>
      </w:tblGrid>
      <w:tr w:rsidR="00CE0760" w:rsidRPr="00CE0760" w14:paraId="74CC18B1" w14:textId="77777777" w:rsidTr="00FA6465">
        <w:trPr>
          <w:tblHeader/>
          <w:tblCellSpacing w:w="15" w:type="dxa"/>
        </w:trPr>
        <w:tc>
          <w:tcPr>
            <w:tcW w:w="0" w:type="auto"/>
            <w:tcBorders>
              <w:bottom w:val="single" w:sz="4" w:space="0" w:color="auto"/>
            </w:tcBorders>
            <w:vAlign w:val="center"/>
            <w:hideMark/>
          </w:tcPr>
          <w:p w14:paraId="378FC848" w14:textId="77777777" w:rsidR="00CE0760" w:rsidRPr="00CE0760" w:rsidRDefault="00CE0760" w:rsidP="00CE0760">
            <w:pPr>
              <w:rPr>
                <w:b/>
                <w:bCs/>
              </w:rPr>
            </w:pPr>
            <w:r w:rsidRPr="00CE0760">
              <w:rPr>
                <w:b/>
                <w:bCs/>
              </w:rPr>
              <w:t>Risk</w:t>
            </w:r>
          </w:p>
        </w:tc>
        <w:tc>
          <w:tcPr>
            <w:tcW w:w="0" w:type="auto"/>
            <w:tcBorders>
              <w:bottom w:val="single" w:sz="4" w:space="0" w:color="auto"/>
            </w:tcBorders>
            <w:vAlign w:val="center"/>
            <w:hideMark/>
          </w:tcPr>
          <w:p w14:paraId="22035477" w14:textId="77777777" w:rsidR="00CE0760" w:rsidRPr="00CE0760" w:rsidRDefault="00CE0760" w:rsidP="00CE0760">
            <w:pPr>
              <w:rPr>
                <w:b/>
                <w:bCs/>
              </w:rPr>
            </w:pPr>
            <w:r w:rsidRPr="00CE0760">
              <w:rPr>
                <w:b/>
                <w:bCs/>
              </w:rPr>
              <w:t>Impact</w:t>
            </w:r>
          </w:p>
        </w:tc>
      </w:tr>
      <w:tr w:rsidR="00CE0760" w:rsidRPr="00CE0760" w14:paraId="0CFDC353" w14:textId="77777777" w:rsidTr="00FA6465">
        <w:trPr>
          <w:tblCellSpacing w:w="15" w:type="dxa"/>
        </w:trPr>
        <w:tc>
          <w:tcPr>
            <w:tcW w:w="0" w:type="auto"/>
            <w:tcBorders>
              <w:bottom w:val="single" w:sz="4" w:space="0" w:color="auto"/>
            </w:tcBorders>
            <w:vAlign w:val="center"/>
            <w:hideMark/>
          </w:tcPr>
          <w:p w14:paraId="54DC38BC" w14:textId="77777777" w:rsidR="00CE0760" w:rsidRPr="00CE0760" w:rsidRDefault="00CE0760" w:rsidP="00CE0760">
            <w:r w:rsidRPr="00CE0760">
              <w:t>Configuration errors</w:t>
            </w:r>
          </w:p>
        </w:tc>
        <w:tc>
          <w:tcPr>
            <w:tcW w:w="0" w:type="auto"/>
            <w:tcBorders>
              <w:bottom w:val="single" w:sz="4" w:space="0" w:color="auto"/>
            </w:tcBorders>
            <w:vAlign w:val="center"/>
            <w:hideMark/>
          </w:tcPr>
          <w:p w14:paraId="1F7956A5" w14:textId="77777777" w:rsidR="00CE0760" w:rsidRPr="00CE0760" w:rsidRDefault="00CE0760" w:rsidP="00CE0760">
            <w:r w:rsidRPr="00CE0760">
              <w:t>Application may fail to start or connect to services</w:t>
            </w:r>
          </w:p>
        </w:tc>
      </w:tr>
      <w:tr w:rsidR="00CE0760" w:rsidRPr="00CE0760" w14:paraId="2E561D60" w14:textId="77777777" w:rsidTr="00FA6465">
        <w:trPr>
          <w:tblCellSpacing w:w="15" w:type="dxa"/>
        </w:trPr>
        <w:tc>
          <w:tcPr>
            <w:tcW w:w="0" w:type="auto"/>
            <w:tcBorders>
              <w:bottom w:val="single" w:sz="4" w:space="0" w:color="auto"/>
            </w:tcBorders>
            <w:vAlign w:val="center"/>
            <w:hideMark/>
          </w:tcPr>
          <w:p w14:paraId="7E3AF049" w14:textId="77777777" w:rsidR="00CE0760" w:rsidRPr="00CE0760" w:rsidRDefault="00CE0760" w:rsidP="00CE0760">
            <w:r w:rsidRPr="00CE0760">
              <w:t>Database schema changes</w:t>
            </w:r>
          </w:p>
        </w:tc>
        <w:tc>
          <w:tcPr>
            <w:tcW w:w="0" w:type="auto"/>
            <w:tcBorders>
              <w:bottom w:val="single" w:sz="4" w:space="0" w:color="auto"/>
            </w:tcBorders>
            <w:vAlign w:val="center"/>
            <w:hideMark/>
          </w:tcPr>
          <w:p w14:paraId="36211602" w14:textId="77777777" w:rsidR="00CE0760" w:rsidRPr="00CE0760" w:rsidRDefault="00CE0760" w:rsidP="00CE0760">
            <w:r w:rsidRPr="00CE0760">
              <w:t>Data corruption or application incompatibility</w:t>
            </w:r>
          </w:p>
        </w:tc>
      </w:tr>
      <w:tr w:rsidR="00CE0760" w:rsidRPr="00CE0760" w14:paraId="3D5226F8" w14:textId="77777777" w:rsidTr="00FA6465">
        <w:trPr>
          <w:tblCellSpacing w:w="15" w:type="dxa"/>
        </w:trPr>
        <w:tc>
          <w:tcPr>
            <w:tcW w:w="0" w:type="auto"/>
            <w:tcBorders>
              <w:bottom w:val="single" w:sz="4" w:space="0" w:color="auto"/>
            </w:tcBorders>
            <w:vAlign w:val="center"/>
            <w:hideMark/>
          </w:tcPr>
          <w:p w14:paraId="38B1ACC4" w14:textId="77777777" w:rsidR="00CE0760" w:rsidRPr="00CE0760" w:rsidRDefault="00CE0760" w:rsidP="00CE0760">
            <w:r w:rsidRPr="00CE0760">
              <w:t>Dependency mismatches</w:t>
            </w:r>
          </w:p>
        </w:tc>
        <w:tc>
          <w:tcPr>
            <w:tcW w:w="0" w:type="auto"/>
            <w:tcBorders>
              <w:bottom w:val="single" w:sz="4" w:space="0" w:color="auto"/>
            </w:tcBorders>
            <w:vAlign w:val="center"/>
            <w:hideMark/>
          </w:tcPr>
          <w:p w14:paraId="133D9A39" w14:textId="77777777" w:rsidR="00CE0760" w:rsidRPr="00CE0760" w:rsidRDefault="00CE0760" w:rsidP="00CE0760">
            <w:r w:rsidRPr="00CE0760">
              <w:t>Application may crash due to incompatible libraries</w:t>
            </w:r>
          </w:p>
        </w:tc>
      </w:tr>
      <w:tr w:rsidR="00CE0760" w:rsidRPr="00CE0760" w14:paraId="137F5B95" w14:textId="77777777" w:rsidTr="00FA6465">
        <w:trPr>
          <w:tblCellSpacing w:w="15" w:type="dxa"/>
        </w:trPr>
        <w:tc>
          <w:tcPr>
            <w:tcW w:w="0" w:type="auto"/>
            <w:tcBorders>
              <w:bottom w:val="single" w:sz="4" w:space="0" w:color="auto"/>
            </w:tcBorders>
            <w:vAlign w:val="center"/>
            <w:hideMark/>
          </w:tcPr>
          <w:p w14:paraId="13ADBCA8" w14:textId="77777777" w:rsidR="00CE0760" w:rsidRPr="00CE0760" w:rsidRDefault="00CE0760" w:rsidP="00CE0760">
            <w:r w:rsidRPr="00CE0760">
              <w:t>Infrastructure failure</w:t>
            </w:r>
          </w:p>
        </w:tc>
        <w:tc>
          <w:tcPr>
            <w:tcW w:w="0" w:type="auto"/>
            <w:tcBorders>
              <w:bottom w:val="single" w:sz="4" w:space="0" w:color="auto"/>
            </w:tcBorders>
            <w:vAlign w:val="center"/>
            <w:hideMark/>
          </w:tcPr>
          <w:p w14:paraId="0B2B343A" w14:textId="77777777" w:rsidR="00CE0760" w:rsidRPr="00CE0760" w:rsidRDefault="00CE0760" w:rsidP="00CE0760">
            <w:r w:rsidRPr="00CE0760">
              <w:t>Deployment may fail or cause service outage</w:t>
            </w:r>
          </w:p>
        </w:tc>
      </w:tr>
      <w:tr w:rsidR="00CE0760" w:rsidRPr="00CE0760" w14:paraId="497299D6" w14:textId="77777777">
        <w:trPr>
          <w:tblCellSpacing w:w="15" w:type="dxa"/>
        </w:trPr>
        <w:tc>
          <w:tcPr>
            <w:tcW w:w="0" w:type="auto"/>
            <w:vAlign w:val="center"/>
            <w:hideMark/>
          </w:tcPr>
          <w:p w14:paraId="17E913AF" w14:textId="77777777" w:rsidR="00CE0760" w:rsidRPr="00CE0760" w:rsidRDefault="00CE0760" w:rsidP="00CE0760">
            <w:r w:rsidRPr="00CE0760">
              <w:t>Undetected application bugs</w:t>
            </w:r>
          </w:p>
        </w:tc>
        <w:tc>
          <w:tcPr>
            <w:tcW w:w="0" w:type="auto"/>
            <w:vAlign w:val="center"/>
            <w:hideMark/>
          </w:tcPr>
          <w:p w14:paraId="63A4EF06" w14:textId="77777777" w:rsidR="00CE0760" w:rsidRPr="00CE0760" w:rsidRDefault="00CE0760" w:rsidP="00CE0760">
            <w:r w:rsidRPr="00CE0760">
              <w:t>Users may experience errors or broken functionality</w:t>
            </w:r>
          </w:p>
        </w:tc>
      </w:tr>
    </w:tbl>
    <w:p w14:paraId="4C848CB8" w14:textId="77777777" w:rsidR="00CE0760" w:rsidRPr="00CE0760" w:rsidRDefault="00CE0760" w:rsidP="00CE0760">
      <w:r w:rsidRPr="00CE0760">
        <w:t>These risks can reduce system reliability and negatively affect user experience.</w:t>
      </w:r>
    </w:p>
    <w:p w14:paraId="141750DA" w14:textId="60BF79BE" w:rsidR="00FA6465" w:rsidRDefault="00FA6465">
      <w:r>
        <w:br w:type="page"/>
      </w:r>
    </w:p>
    <w:p w14:paraId="5D858526" w14:textId="77777777" w:rsidR="00CE0760" w:rsidRPr="00CE0760" w:rsidRDefault="00CE0760" w:rsidP="00CE0760">
      <w:pPr>
        <w:rPr>
          <w:b/>
          <w:bCs/>
          <w:sz w:val="28"/>
          <w:szCs w:val="28"/>
        </w:rPr>
      </w:pPr>
      <w:r w:rsidRPr="00CE0760">
        <w:rPr>
          <w:b/>
          <w:bCs/>
          <w:sz w:val="28"/>
          <w:szCs w:val="28"/>
        </w:rPr>
        <w:lastRenderedPageBreak/>
        <w:t>Mitigation Plan</w:t>
      </w:r>
    </w:p>
    <w:p w14:paraId="6651E75B" w14:textId="77777777" w:rsidR="00CE0760" w:rsidRPr="00CE0760" w:rsidRDefault="00CE0760" w:rsidP="00CE0760">
      <w:r w:rsidRPr="00CE0760">
        <w:t>Each deployment risk is mitigated through preventative safeguards: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6767"/>
      </w:tblGrid>
      <w:tr w:rsidR="00CE0760" w:rsidRPr="00CE0760" w14:paraId="39C73FD2" w14:textId="77777777" w:rsidTr="00FA6465">
        <w:trPr>
          <w:tblHeader/>
          <w:tblCellSpacing w:w="15" w:type="dxa"/>
        </w:trPr>
        <w:tc>
          <w:tcPr>
            <w:tcW w:w="0" w:type="auto"/>
            <w:tcBorders>
              <w:bottom w:val="single" w:sz="4" w:space="0" w:color="auto"/>
            </w:tcBorders>
            <w:vAlign w:val="center"/>
            <w:hideMark/>
          </w:tcPr>
          <w:p w14:paraId="6F25851E" w14:textId="77777777" w:rsidR="00CE0760" w:rsidRPr="00CE0760" w:rsidRDefault="00CE0760" w:rsidP="00CE0760">
            <w:pPr>
              <w:rPr>
                <w:b/>
                <w:bCs/>
              </w:rPr>
            </w:pPr>
            <w:r w:rsidRPr="00CE0760">
              <w:rPr>
                <w:b/>
                <w:bCs/>
              </w:rPr>
              <w:t>Risk</w:t>
            </w:r>
          </w:p>
        </w:tc>
        <w:tc>
          <w:tcPr>
            <w:tcW w:w="0" w:type="auto"/>
            <w:tcBorders>
              <w:bottom w:val="single" w:sz="4" w:space="0" w:color="auto"/>
            </w:tcBorders>
            <w:vAlign w:val="center"/>
            <w:hideMark/>
          </w:tcPr>
          <w:p w14:paraId="0D70C1CB" w14:textId="77777777" w:rsidR="00CE0760" w:rsidRPr="00CE0760" w:rsidRDefault="00CE0760" w:rsidP="00CE0760">
            <w:pPr>
              <w:rPr>
                <w:b/>
                <w:bCs/>
              </w:rPr>
            </w:pPr>
            <w:r w:rsidRPr="00CE0760">
              <w:rPr>
                <w:b/>
                <w:bCs/>
              </w:rPr>
              <w:t>Mitigation Strategy</w:t>
            </w:r>
          </w:p>
        </w:tc>
      </w:tr>
      <w:tr w:rsidR="00CE0760" w:rsidRPr="00CE0760" w14:paraId="0B67FA73" w14:textId="77777777" w:rsidTr="00FA6465">
        <w:trPr>
          <w:tblCellSpacing w:w="15" w:type="dxa"/>
        </w:trPr>
        <w:tc>
          <w:tcPr>
            <w:tcW w:w="0" w:type="auto"/>
            <w:tcBorders>
              <w:bottom w:val="single" w:sz="4" w:space="0" w:color="auto"/>
            </w:tcBorders>
            <w:vAlign w:val="center"/>
            <w:hideMark/>
          </w:tcPr>
          <w:p w14:paraId="2BE8222C" w14:textId="77777777" w:rsidR="00CE0760" w:rsidRPr="00CE0760" w:rsidRDefault="00CE0760" w:rsidP="00CE0760">
            <w:r w:rsidRPr="00CE0760">
              <w:t>Configuration errors</w:t>
            </w:r>
          </w:p>
        </w:tc>
        <w:tc>
          <w:tcPr>
            <w:tcW w:w="0" w:type="auto"/>
            <w:tcBorders>
              <w:bottom w:val="single" w:sz="4" w:space="0" w:color="auto"/>
            </w:tcBorders>
            <w:vAlign w:val="center"/>
            <w:hideMark/>
          </w:tcPr>
          <w:p w14:paraId="0373C562" w14:textId="77777777" w:rsidR="00CE0760" w:rsidRPr="00CE0760" w:rsidRDefault="00CE0760" w:rsidP="00CE0760">
            <w:r w:rsidRPr="00CE0760">
              <w:t>Use environment configuration validation and automated deployment scripts</w:t>
            </w:r>
          </w:p>
        </w:tc>
      </w:tr>
      <w:tr w:rsidR="00CE0760" w:rsidRPr="00CE0760" w14:paraId="7AB74139" w14:textId="77777777" w:rsidTr="00FA6465">
        <w:trPr>
          <w:tblCellSpacing w:w="15" w:type="dxa"/>
        </w:trPr>
        <w:tc>
          <w:tcPr>
            <w:tcW w:w="0" w:type="auto"/>
            <w:tcBorders>
              <w:bottom w:val="single" w:sz="4" w:space="0" w:color="auto"/>
            </w:tcBorders>
            <w:vAlign w:val="center"/>
            <w:hideMark/>
          </w:tcPr>
          <w:p w14:paraId="2EFFC9F2" w14:textId="77777777" w:rsidR="00CE0760" w:rsidRPr="00CE0760" w:rsidRDefault="00CE0760" w:rsidP="00CE0760">
            <w:r w:rsidRPr="00CE0760">
              <w:t>Database schema changes</w:t>
            </w:r>
          </w:p>
        </w:tc>
        <w:tc>
          <w:tcPr>
            <w:tcW w:w="0" w:type="auto"/>
            <w:tcBorders>
              <w:bottom w:val="single" w:sz="4" w:space="0" w:color="auto"/>
            </w:tcBorders>
            <w:vAlign w:val="center"/>
            <w:hideMark/>
          </w:tcPr>
          <w:p w14:paraId="25F31D49" w14:textId="77777777" w:rsidR="00CE0760" w:rsidRPr="00CE0760" w:rsidRDefault="00CE0760" w:rsidP="00CE0760">
            <w:r w:rsidRPr="00CE0760">
              <w:t>Use staged database migrations and test migrations in staging before production</w:t>
            </w:r>
          </w:p>
        </w:tc>
      </w:tr>
      <w:tr w:rsidR="00CE0760" w:rsidRPr="00CE0760" w14:paraId="5B91EB54" w14:textId="77777777" w:rsidTr="00FA6465">
        <w:trPr>
          <w:tblCellSpacing w:w="15" w:type="dxa"/>
        </w:trPr>
        <w:tc>
          <w:tcPr>
            <w:tcW w:w="0" w:type="auto"/>
            <w:tcBorders>
              <w:bottom w:val="single" w:sz="4" w:space="0" w:color="auto"/>
            </w:tcBorders>
            <w:vAlign w:val="center"/>
            <w:hideMark/>
          </w:tcPr>
          <w:p w14:paraId="634E2164" w14:textId="77777777" w:rsidR="00CE0760" w:rsidRPr="00CE0760" w:rsidRDefault="00CE0760" w:rsidP="00CE0760">
            <w:r w:rsidRPr="00CE0760">
              <w:t>Dependency mismatches</w:t>
            </w:r>
          </w:p>
        </w:tc>
        <w:tc>
          <w:tcPr>
            <w:tcW w:w="0" w:type="auto"/>
            <w:tcBorders>
              <w:bottom w:val="single" w:sz="4" w:space="0" w:color="auto"/>
            </w:tcBorders>
            <w:vAlign w:val="center"/>
            <w:hideMark/>
          </w:tcPr>
          <w:p w14:paraId="4763D291" w14:textId="77777777" w:rsidR="00CE0760" w:rsidRPr="00CE0760" w:rsidRDefault="00CE0760" w:rsidP="00CE0760">
            <w:r w:rsidRPr="00CE0760">
              <w:t>Use locked dependency versions and automated CI builds</w:t>
            </w:r>
          </w:p>
        </w:tc>
      </w:tr>
      <w:tr w:rsidR="00CE0760" w:rsidRPr="00CE0760" w14:paraId="60A346DA" w14:textId="77777777" w:rsidTr="00FA6465">
        <w:trPr>
          <w:tblCellSpacing w:w="15" w:type="dxa"/>
        </w:trPr>
        <w:tc>
          <w:tcPr>
            <w:tcW w:w="0" w:type="auto"/>
            <w:tcBorders>
              <w:bottom w:val="single" w:sz="4" w:space="0" w:color="auto"/>
            </w:tcBorders>
            <w:vAlign w:val="center"/>
            <w:hideMark/>
          </w:tcPr>
          <w:p w14:paraId="07FDC984" w14:textId="77777777" w:rsidR="00CE0760" w:rsidRPr="00CE0760" w:rsidRDefault="00CE0760" w:rsidP="00CE0760">
            <w:r w:rsidRPr="00CE0760">
              <w:t>Infrastructure failure</w:t>
            </w:r>
          </w:p>
        </w:tc>
        <w:tc>
          <w:tcPr>
            <w:tcW w:w="0" w:type="auto"/>
            <w:tcBorders>
              <w:bottom w:val="single" w:sz="4" w:space="0" w:color="auto"/>
            </w:tcBorders>
            <w:vAlign w:val="center"/>
            <w:hideMark/>
          </w:tcPr>
          <w:p w14:paraId="2E2871D2" w14:textId="77777777" w:rsidR="00CE0760" w:rsidRPr="00CE0760" w:rsidRDefault="00CE0760" w:rsidP="00CE0760">
            <w:r w:rsidRPr="00CE0760">
              <w:t xml:space="preserve">Use automated health checks and </w:t>
            </w:r>
            <w:proofErr w:type="gramStart"/>
            <w:r w:rsidRPr="00CE0760">
              <w:t>deploy</w:t>
            </w:r>
            <w:proofErr w:type="gramEnd"/>
            <w:r w:rsidRPr="00CE0760">
              <w:t xml:space="preserve"> to isolated blue-green environments</w:t>
            </w:r>
          </w:p>
        </w:tc>
      </w:tr>
      <w:tr w:rsidR="00CE0760" w:rsidRPr="00CE0760" w14:paraId="234D5DA0" w14:textId="77777777">
        <w:trPr>
          <w:tblCellSpacing w:w="15" w:type="dxa"/>
        </w:trPr>
        <w:tc>
          <w:tcPr>
            <w:tcW w:w="0" w:type="auto"/>
            <w:vAlign w:val="center"/>
            <w:hideMark/>
          </w:tcPr>
          <w:p w14:paraId="72E1F08F" w14:textId="77777777" w:rsidR="00CE0760" w:rsidRPr="00CE0760" w:rsidRDefault="00CE0760" w:rsidP="00CE0760">
            <w:r w:rsidRPr="00CE0760">
              <w:t>Undetected application bugs</w:t>
            </w:r>
          </w:p>
        </w:tc>
        <w:tc>
          <w:tcPr>
            <w:tcW w:w="0" w:type="auto"/>
            <w:vAlign w:val="center"/>
            <w:hideMark/>
          </w:tcPr>
          <w:p w14:paraId="60D69635" w14:textId="77777777" w:rsidR="00CE0760" w:rsidRPr="00CE0760" w:rsidRDefault="00CE0760" w:rsidP="00CE0760">
            <w:r w:rsidRPr="00CE0760">
              <w:t>Require automated testing and staging validation before release</w:t>
            </w:r>
          </w:p>
        </w:tc>
      </w:tr>
    </w:tbl>
    <w:p w14:paraId="6A0D8BF4" w14:textId="77777777" w:rsidR="00CE0760" w:rsidRPr="00CE0760" w:rsidRDefault="00CE0760" w:rsidP="00CE0760">
      <w:r w:rsidRPr="00CE0760">
        <w:t>These safeguards ensure that potential failures are detected early and prevented from reaching production.</w:t>
      </w:r>
    </w:p>
    <w:p w14:paraId="24BEFEC3" w14:textId="1CAA1751" w:rsidR="00CE0760" w:rsidRPr="00CE0760" w:rsidRDefault="00CE0760" w:rsidP="00CE0760"/>
    <w:p w14:paraId="4E4040A0" w14:textId="77777777" w:rsidR="00CE0760" w:rsidRPr="00CE0760" w:rsidRDefault="00CE0760" w:rsidP="00CE0760">
      <w:pPr>
        <w:rPr>
          <w:b/>
          <w:bCs/>
          <w:sz w:val="28"/>
          <w:szCs w:val="28"/>
        </w:rPr>
      </w:pPr>
      <w:r w:rsidRPr="00CE0760">
        <w:rPr>
          <w:b/>
          <w:bCs/>
          <w:sz w:val="28"/>
          <w:szCs w:val="28"/>
        </w:rPr>
        <w:t>Rollback Procedure</w:t>
      </w:r>
    </w:p>
    <w:p w14:paraId="539CA94E" w14:textId="5C6F603C" w:rsidR="00CE0760" w:rsidRPr="00CE0760" w:rsidRDefault="00E044BF" w:rsidP="00CE0760">
      <w:r>
        <w:t xml:space="preserve">If a critical error is detected by the system after a deployment has already been sent, then it can default to a rollback system. This system is set up by the dev team where it will automatically switch to a previous production environment using the blue-green deployment system that restores the last version which is known to be stable. The system then verifies to make sure that the software is healthy and running properly again. </w:t>
      </w:r>
      <w:r w:rsidR="00CE0760" w:rsidRPr="00CE0760">
        <w:t>This process ensures rapid recovery and minimizes user disruption.</w:t>
      </w:r>
    </w:p>
    <w:p w14:paraId="3C17F120" w14:textId="444D338D" w:rsidR="00CE0760" w:rsidRPr="00CE0760" w:rsidRDefault="00CE0760" w:rsidP="00CE0760"/>
    <w:p w14:paraId="7D8A1FA7" w14:textId="77777777" w:rsidR="00CE0760" w:rsidRPr="00CE0760" w:rsidRDefault="00CE0760" w:rsidP="00CE0760">
      <w:pPr>
        <w:rPr>
          <w:b/>
          <w:bCs/>
          <w:sz w:val="28"/>
          <w:szCs w:val="28"/>
        </w:rPr>
      </w:pPr>
      <w:r w:rsidRPr="00CE0760">
        <w:rPr>
          <w:b/>
          <w:bCs/>
          <w:sz w:val="28"/>
          <w:szCs w:val="28"/>
        </w:rPr>
        <w:t>Post-Deployment Monitoring</w:t>
      </w:r>
    </w:p>
    <w:p w14:paraId="36ED515D" w14:textId="77777777" w:rsidR="00CE0760" w:rsidRPr="00CE0760" w:rsidRDefault="00CE0760" w:rsidP="00CE0760">
      <w:r w:rsidRPr="00CE0760">
        <w:t>After deployment, the system is continuously monitored to ensure stability and performance.</w:t>
      </w:r>
    </w:p>
    <w:p w14:paraId="495734D3" w14:textId="77777777" w:rsidR="00CE0760" w:rsidRPr="00CE0760" w:rsidRDefault="00CE0760" w:rsidP="00CE0760">
      <w:r w:rsidRPr="00CE0760">
        <w:t>Monitoring includes:</w:t>
      </w:r>
    </w:p>
    <w:p w14:paraId="31926CE7" w14:textId="77777777" w:rsidR="00CE0760" w:rsidRPr="00CE0760" w:rsidRDefault="00CE0760" w:rsidP="00CE0760">
      <w:pPr>
        <w:numPr>
          <w:ilvl w:val="0"/>
          <w:numId w:val="1"/>
        </w:numPr>
      </w:pPr>
      <w:r w:rsidRPr="00CE0760">
        <w:t>Application logs to detect errors and failures</w:t>
      </w:r>
    </w:p>
    <w:p w14:paraId="5968A31F" w14:textId="77777777" w:rsidR="00CE0760" w:rsidRPr="00CE0760" w:rsidRDefault="00CE0760" w:rsidP="00CE0760">
      <w:pPr>
        <w:numPr>
          <w:ilvl w:val="0"/>
          <w:numId w:val="1"/>
        </w:numPr>
      </w:pPr>
      <w:r w:rsidRPr="00CE0760">
        <w:t>Performance metrics such as response time and system load</w:t>
      </w:r>
    </w:p>
    <w:p w14:paraId="1E46C7DC" w14:textId="77777777" w:rsidR="00CE0760" w:rsidRPr="00CE0760" w:rsidRDefault="00CE0760" w:rsidP="00CE0760">
      <w:pPr>
        <w:numPr>
          <w:ilvl w:val="0"/>
          <w:numId w:val="1"/>
        </w:numPr>
      </w:pPr>
      <w:r w:rsidRPr="00CE0760">
        <w:t>Error tracking to detect increased failure rates</w:t>
      </w:r>
    </w:p>
    <w:p w14:paraId="1C6E1678" w14:textId="77777777" w:rsidR="00CE0760" w:rsidRPr="00CE0760" w:rsidRDefault="00CE0760" w:rsidP="00CE0760">
      <w:pPr>
        <w:numPr>
          <w:ilvl w:val="0"/>
          <w:numId w:val="1"/>
        </w:numPr>
      </w:pPr>
      <w:r w:rsidRPr="00CE0760">
        <w:t>Uptime monitoring to ensure service availability</w:t>
      </w:r>
    </w:p>
    <w:p w14:paraId="4660C160" w14:textId="77777777" w:rsidR="00CE0760" w:rsidRPr="00CE0760" w:rsidRDefault="00CE0760" w:rsidP="00CE0760">
      <w:r w:rsidRPr="00CE0760">
        <w:lastRenderedPageBreak/>
        <w:t>Automated alerts notify engineers if abnormal conditions occur. The team reviews monitoring data to ensure the deployment is successful and to identify any issues early.</w:t>
      </w:r>
    </w:p>
    <w:p w14:paraId="08E75A2B" w14:textId="77777777" w:rsidR="00CE0760" w:rsidRPr="00CE0760" w:rsidRDefault="00CE0760" w:rsidP="00CE0760">
      <w:r w:rsidRPr="00CE0760">
        <w:t>This monitoring ensures rapid detection and resolution of deployment issues, improving system reliability and user experience.</w:t>
      </w:r>
    </w:p>
    <w:p w14:paraId="436FA6ED" w14:textId="77777777" w:rsidR="00B8707A" w:rsidRDefault="00B8707A"/>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A53C7"/>
    <w:multiLevelType w:val="multilevel"/>
    <w:tmpl w:val="6CD0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61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48"/>
    <w:rsid w:val="00001F7B"/>
    <w:rsid w:val="00006E59"/>
    <w:rsid w:val="00014545"/>
    <w:rsid w:val="000266B5"/>
    <w:rsid w:val="00052B3F"/>
    <w:rsid w:val="00064A20"/>
    <w:rsid w:val="00086E66"/>
    <w:rsid w:val="0009561A"/>
    <w:rsid w:val="00096CDB"/>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3654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2E2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E0760"/>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44BF"/>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A646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67319"/>
  <w15:chartTrackingRefBased/>
  <w15:docId w15:val="{556BC780-88A7-43E3-A217-5B1C85CED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6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654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654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3654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365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65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65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65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6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654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654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3654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365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65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65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65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6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5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5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6548"/>
    <w:pPr>
      <w:spacing w:before="160"/>
      <w:jc w:val="center"/>
    </w:pPr>
    <w:rPr>
      <w:i/>
      <w:iCs/>
      <w:color w:val="404040" w:themeColor="text1" w:themeTint="BF"/>
    </w:rPr>
  </w:style>
  <w:style w:type="character" w:customStyle="1" w:styleId="QuoteChar">
    <w:name w:val="Quote Char"/>
    <w:basedOn w:val="DefaultParagraphFont"/>
    <w:link w:val="Quote"/>
    <w:uiPriority w:val="29"/>
    <w:rsid w:val="00636548"/>
    <w:rPr>
      <w:i/>
      <w:iCs/>
      <w:color w:val="404040" w:themeColor="text1" w:themeTint="BF"/>
    </w:rPr>
  </w:style>
  <w:style w:type="paragraph" w:styleId="ListParagraph">
    <w:name w:val="List Paragraph"/>
    <w:basedOn w:val="Normal"/>
    <w:uiPriority w:val="34"/>
    <w:qFormat/>
    <w:rsid w:val="00636548"/>
    <w:pPr>
      <w:ind w:left="720"/>
      <w:contextualSpacing/>
    </w:pPr>
  </w:style>
  <w:style w:type="character" w:styleId="IntenseEmphasis">
    <w:name w:val="Intense Emphasis"/>
    <w:basedOn w:val="DefaultParagraphFont"/>
    <w:uiPriority w:val="21"/>
    <w:qFormat/>
    <w:rsid w:val="00636548"/>
    <w:rPr>
      <w:i/>
      <w:iCs/>
      <w:color w:val="2F5496" w:themeColor="accent1" w:themeShade="BF"/>
    </w:rPr>
  </w:style>
  <w:style w:type="paragraph" w:styleId="IntenseQuote">
    <w:name w:val="Intense Quote"/>
    <w:basedOn w:val="Normal"/>
    <w:next w:val="Normal"/>
    <w:link w:val="IntenseQuoteChar"/>
    <w:uiPriority w:val="30"/>
    <w:qFormat/>
    <w:rsid w:val="00636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6548"/>
    <w:rPr>
      <w:i/>
      <w:iCs/>
      <w:color w:val="2F5496" w:themeColor="accent1" w:themeShade="BF"/>
    </w:rPr>
  </w:style>
  <w:style w:type="character" w:styleId="IntenseReference">
    <w:name w:val="Intense Reference"/>
    <w:basedOn w:val="DefaultParagraphFont"/>
    <w:uiPriority w:val="32"/>
    <w:qFormat/>
    <w:rsid w:val="006365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2026-02-22T21:18:00Z</dcterms:created>
  <dcterms:modified xsi:type="dcterms:W3CDTF">2026-02-22T21:53:00Z</dcterms:modified>
</cp:coreProperties>
</file>