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default-v4, version 4</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386 tests discovered. All 382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Lumina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The default-v4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existing WAV rules and may change with the scoring update in progress.</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&amp;amp;lt;file&amp;amp;gt;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SHA-256 binding, technical claims, parser status.</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Source and target time validity, order and bounds, plus input/output sample rate or bit depth.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policies/scoring_profile.json supplies explicit configuration; weights are not learned or changed automatically from the submitted audio. The default-v4 profile uses weight 1.0 for each eligible layer. File and declaration values are their passed Boolean checks divided by assessed Boolean checks.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14:paraId="0F4DFB1C" w14:textId="77777777" w:rsidR="00EB02BD" w:rsidRDefault="00000000">
      <w:r>
        <w:t>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Effect under default-v4</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When an assessed failure matches severe_contradiction_rules, the default-v4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The examples below apply default-v4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the BytePlus Lumina (Seed Audio) signing certificate, valid until 16 March 2028, as a base64 SHA-256 fingerprint</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Lumina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1A4945AA" w14:textId="77777777" w:rsidR="002F5844" w:rsidRDefault="00000000">
      <w:pPr>
        <w:spacing w:line="276" w:lineRule="auto"/>
      </w:pPr>
      <w:r>
        <w:t>tests/test_c2pa_integrity.py has 24 offline cases covering pinned-list hash checks, trust status, asymmetric trust, known AI signer matching, the C2PA chunk precondition and every final state. Its fixtures are signed at runtime with throwaway certificates, so they test failure handling, not a production signer.</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Conservative cross-evidence fact aggregation and audit groups; shared symmetric endpoint validation with one-sample EOF tolerance.</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default-v4: equal layer weights, fact aggregation, qualifying-support gate,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 xml:space="preserve">132 core tests, including explicit legacy-profile compatibility cases; the shipped default profile is version 4.</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24 tests: required SDK; runtime-signed valid, post-signing edit, corrupted certificate and supporting-manifest cases; pinned-list hashes; trust status; asymmetric trust; known AI signer; the C2PA chunk precondition; and every final state.</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32 FLAC and MP3 tests: detection, ID3v2, FLAC blocks and MD5, MP3 length, sync loss and tags, evaluator results,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Input isolation, audio regressions and scoring-policy regression cases.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 With the bandwidth provider (24 October 2026) it ran 382 non-GUI tests in one process (all passed in 32 seconds, no skips) and the four GUI cases separately (all passed).</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386 cases: 132 core; 41 audio diagnostics; 24 C2PA; 22 remediation; 19 non-GUI builder; 16 builder-result; 14 scoring-remediation; 12 local-file-reference; 27 production-document; 9 audio calibration; 11 case-interval; 32 audio-format; 9 bandwidth;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is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00E79635" w14:textId="77777777" w:rsidR="002F5844" w:rsidRDefault="00000000">
      <w:pPr>
        <w:pStyle w:val="ListParagraph"/>
        <w:numPr>
          <w:ilvl w:val="0"/>
          <w:numId w:val="2"/>
        </w:numPr>
        <w:spacing w:after="60" w:line="276" w:lineRule="auto"/>
      </w:pPr>
      <w:r>
        <w:t>The known AI signer list has one entry, BytePlus Lumina (Seed Audio). Its fingerprint was extracted from Lumina output and has not yet been confirmed by BytePlus; the certificate expires on 16 March 2028. Other AI generators are not listed, so an invalid manifest from them is not recognised as an AI signer's label.</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Layer weights, permitted support tiers and severe rules in default-v4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SHA-256 binding shows that submitted bytes match the declared digest, not who created them or when. Recorder metadata (BWF bext and iXML) can be rewritten and is not authenticated.</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fingerprint agreement and bandwidth are uncalibrated. A bandwidth flag says where a file's audio stops, not who made it: all 25 Lumina benchmark WAVs stop at 17.4-19.9 kHz and are flagged like a lossy encode.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 Structural checks cannot see a fake format: a FLAC made from an MP3 has a valid MD5 and a re-encoded 320 kbps MP3 has valid frames; only the report-only bandwidth diagnostic points to them.</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Review default-v4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