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40" w:after="240"/>
        <w:jc w:val="left"/>
      </w:pPr>
      <w:r>
        <w:rPr>
          <w:rFonts w:ascii="Arial" w:hAnsi="Arial" w:eastAsia="Arial"/>
          <w:b/>
          <w:color w:val="000000"/>
          <w:sz w:val="56"/>
        </w:rPr>
        <w:t>COMP3888 Music Evidence Evaluation Program Technical Manual</w:t>
      </w:r>
    </w:p>
    <w:p>
      <w:pPr>
        <w:spacing w:after="520"/>
      </w:pPr>
      <w:r>
        <w:rPr>
          <w:rFonts w:ascii="Arial" w:hAnsi="Arial" w:eastAsia="Arial"/>
          <w:color w:val="5A626C"/>
          <w:sz w:val="28"/>
        </w:rPr>
        <w:t>V3 program architecture and current implementation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5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Document field</w:t>
            </w:r>
          </w:p>
        </w:tc>
        <w:tc>
          <w:tcPr>
            <w:tcW w:type="dxa" w:w="77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value</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Program version</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0.5.0</w:t>
            </w:r>
          </w:p>
        </w:tc>
      </w:tr>
      <w:tr>
        <w:trPr>
          <w:cantSplit/>
        </w:trPr>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Document revision</w:t>
            </w:r>
          </w:p>
        </w:tc>
        <w:tc>
          <w:tcPr>
            <w:tcW w:type="dxa" w:w="77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10 October 2026</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Applicable directory</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program/</w:t>
            </w:r>
          </w:p>
        </w:tc>
      </w:tr>
      <w:tr>
        <w:trPr>
          <w:cantSplit/>
        </w:trPr>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Primary audience</w:t>
            </w:r>
          </w:p>
        </w:tc>
        <w:tc>
          <w:tcPr>
            <w:tcW w:type="dxa" w:w="77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COMP3888 developers, assessors, and technical collaborators</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Current verification</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65 tests passed, 0 failures, 0 errors</w:t>
            </w:r>
          </w:p>
        </w:tc>
      </w:tr>
    </w:tbl>
    <w:p>
      <w:pPr>
        <w:spacing w:after="40"/>
      </w:pPr>
    </w:p>
    <w:p>
      <w:pPr>
        <w:keepLines w:val="0"/>
        <w:spacing w:after="120" w:line="274" w:lineRule="auto"/>
      </w:pPr>
      <w:r>
        <w:rPr>
          <w:rFonts w:ascii="Arial" w:hAnsi="Arial" w:eastAsia="Arial"/>
          <w:color w:val="000000"/>
          <w:sz w:val="21"/>
        </w:rPr>
        <w:t>This manual describes how the V3 program validates a submitted music evidence graph, binds declared objects to files, runs parsing and assessment passes, and reports four separate assessment axes. Version 0.5.0 also runs eight bounded physical-audio diagnostics for alignment, source contribution, CompSheet selections, processed content, mix residuals, mastering continuity, excerpts, and possible decoy sources. WavMetadataPass now produces reusable technical checks, and RelationshipIntegrityPass runs as a libevchain EvidencePass. The program continues evaluating valid evidence when an unknown non-final artefact type or an unknown relationship can be isolated. It never infers or silently corrects the submitter's semantic declarations.</w:t>
      </w:r>
    </w:p>
    <w:p>
      <w:pPr>
        <w:keepLines w:val="0"/>
        <w:spacing w:after="120" w:line="274" w:lineRule="auto"/>
      </w:pPr>
      <w:r>
        <w:rPr>
          <w:rFonts w:ascii="Arial" w:hAnsi="Arial" w:eastAsia="Arial"/>
          <w:color w:val="000000"/>
          <w:sz w:val="21"/>
        </w:rPr>
        <w:t>The program does not produce an overall score, an authorship decision, an accepted or rejected outcome, or a human-versus-AI classification. Its output describes evidence coverage, internal consistency, available attestation, and disclosure coverage.</w:t>
      </w:r>
    </w:p>
    <w:p>
      <w:r>
        <w:br w:type="page"/>
      </w:r>
    </w:p>
    <w:p>
      <w:pPr>
        <w:pStyle w:val="Heading1"/>
        <w:keepNext/>
        <w:pageBreakBefore w:val="0"/>
        <w:spacing w:before="240" w:after="120"/>
      </w:pPr>
      <w:r>
        <w:rPr>
          <w:rFonts w:ascii="Arial" w:hAnsi="Arial" w:eastAsia="Arial"/>
          <w:b/>
          <w:color w:val="000000"/>
          <w:sz w:val="34"/>
        </w:rPr>
        <w:t>Contents</w:t>
      </w:r>
    </w:p>
    <w:p>
      <w:pPr>
        <w:spacing w:after="160"/>
        <w:ind w:left="216"/>
      </w:pPr>
      <w:r>
        <w:rPr>
          <w:rFonts w:ascii="Arial" w:hAnsi="Arial" w:eastAsia="Arial"/>
          <w:b/>
          <w:color w:val="000000"/>
          <w:sz w:val="23"/>
        </w:rPr>
        <w:t>1  Program Purpose and Workflow</w:t>
      </w:r>
    </w:p>
    <w:p>
      <w:pPr>
        <w:spacing w:after="160"/>
        <w:ind w:left="216"/>
      </w:pPr>
      <w:r>
        <w:rPr>
          <w:rFonts w:ascii="Arial" w:hAnsi="Arial" w:eastAsia="Arial"/>
          <w:b w:val="0"/>
          <w:color w:val="000000"/>
          <w:sz w:val="23"/>
        </w:rPr>
        <w:t>2  Supported Artefact Types</w:t>
      </w:r>
    </w:p>
    <w:p>
      <w:pPr>
        <w:spacing w:after="160"/>
        <w:ind w:left="216"/>
      </w:pPr>
      <w:r>
        <w:rPr>
          <w:rFonts w:ascii="Arial" w:hAnsi="Arial" w:eastAsia="Arial"/>
          <w:b w:val="0"/>
          <w:color w:val="000000"/>
          <w:sz w:val="23"/>
        </w:rPr>
        <w:t>3  Supported Relationship Types</w:t>
      </w:r>
    </w:p>
    <w:p>
      <w:pPr>
        <w:spacing w:after="160"/>
        <w:ind w:left="216"/>
      </w:pPr>
      <w:r>
        <w:rPr>
          <w:rFonts w:ascii="Arial" w:hAnsi="Arial" w:eastAsia="Arial"/>
          <w:b w:val="0"/>
          <w:color w:val="000000"/>
          <w:sz w:val="23"/>
        </w:rPr>
        <w:t>4  Supported Physical File Types</w:t>
      </w:r>
    </w:p>
    <w:p>
      <w:pPr>
        <w:spacing w:after="160"/>
        <w:ind w:left="216"/>
      </w:pPr>
      <w:r>
        <w:rPr>
          <w:rFonts w:ascii="Arial" w:hAnsi="Arial" w:eastAsia="Arial"/>
          <w:b w:val="0"/>
          <w:color w:val="000000"/>
          <w:sz w:val="23"/>
        </w:rPr>
        <w:t>5  Passes and Checks</w:t>
      </w:r>
    </w:p>
    <w:p>
      <w:pPr>
        <w:spacing w:after="160"/>
        <w:ind w:left="216"/>
      </w:pPr>
      <w:r>
        <w:rPr>
          <w:rFonts w:ascii="Arial" w:hAnsi="Arial" w:eastAsia="Arial"/>
          <w:b w:val="0"/>
          <w:color w:val="000000"/>
          <w:sz w:val="23"/>
        </w:rPr>
        <w:t>6  Four Output Axes</w:t>
      </w:r>
    </w:p>
    <w:p>
      <w:pPr>
        <w:spacing w:after="160"/>
        <w:ind w:left="216"/>
      </w:pPr>
      <w:r>
        <w:rPr>
          <w:rFonts w:ascii="Arial" w:hAnsi="Arial" w:eastAsia="Arial"/>
          <w:b w:val="0"/>
          <w:color w:val="000000"/>
          <w:sz w:val="23"/>
        </w:rPr>
        <w:t>7  Program File Responsibilities</w:t>
      </w:r>
    </w:p>
    <w:p>
      <w:pPr>
        <w:spacing w:after="160"/>
        <w:ind w:left="216"/>
      </w:pPr>
      <w:r>
        <w:rPr>
          <w:rFonts w:ascii="Arial" w:hAnsi="Arial" w:eastAsia="Arial"/>
          <w:b w:val="0"/>
          <w:color w:val="000000"/>
          <w:sz w:val="23"/>
        </w:rPr>
        <w:t>8  Outstanding Work</w:t>
      </w:r>
    </w:p>
    <w:p>
      <w:pPr>
        <w:keepLines w:val="0"/>
        <w:spacing w:after="120" w:line="274" w:lineRule="auto"/>
      </w:pPr>
      <w:r>
        <w:rPr>
          <w:rFonts w:ascii="Arial" w:hAnsi="Arial" w:eastAsia="Arial"/>
          <w:color w:val="000000"/>
          <w:sz w:val="21"/>
        </w:rPr>
        <w:t>Terminology follows the codebase: an artefact is a declared evidence node, a relationship is a directed edge from a source node to a target node, and a pass is a bounded check that returns observations, detailed checks, findings, or an axis assessment.</w:t>
      </w:r>
    </w:p>
    <w:p>
      <w:pPr>
        <w:pStyle w:val="Heading1"/>
        <w:keepNext/>
        <w:pageBreakBefore/>
        <w:spacing w:before="240" w:after="120"/>
      </w:pPr>
      <w:r>
        <w:rPr>
          <w:rFonts w:ascii="Arial" w:hAnsi="Arial" w:eastAsia="Arial"/>
          <w:b/>
          <w:color w:val="000000"/>
          <w:sz w:val="34"/>
        </w:rPr>
        <w:t>1 Program Purpose and Workflow</w:t>
      </w:r>
    </w:p>
    <w:p>
      <w:pPr>
        <w:keepLines w:val="0"/>
        <w:spacing w:after="120" w:line="274" w:lineRule="auto"/>
      </w:pPr>
      <w:r>
        <w:rPr>
          <w:rFonts w:ascii="Arial" w:hAnsi="Arial" w:eastAsia="Arial"/>
          <w:color w:val="000000"/>
          <w:sz w:val="21"/>
        </w:rPr>
        <w:t>The program receives a submitter-declared evidence graph through the Native format or a CSEC request or public bundle. It validates the request structure, normalises supported exchange values, binds files by SHA-256, executes type-specific analysis, evaluates workflow expectations, and validates the response against the scoring response schema.</w:t>
      </w:r>
    </w:p>
    <w:p>
      <w:pPr>
        <w:pStyle w:val="Heading2"/>
        <w:keepNext/>
        <w:pageBreakBefore w:val="0"/>
        <w:spacing w:before="160" w:after="80"/>
      </w:pPr>
      <w:r>
        <w:rPr>
          <w:rFonts w:ascii="Arial" w:hAnsi="Arial" w:eastAsia="Arial"/>
          <w:b/>
          <w:color w:val="000000"/>
          <w:sz w:val="26"/>
        </w:rPr>
        <w:t>1 1 End to End Workflow</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691"/>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Stage</w:t>
            </w:r>
          </w:p>
        </w:tc>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Operation</w:t>
            </w:r>
          </w:p>
        </w:tc>
        <w:tc>
          <w:tcPr>
            <w:tcW w:type="dxa" w:w="741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Result</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1</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 request</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Limit JSON to 2 MiB and reject duplicate object keys or non-finite numbers.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2</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Validate structure</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Apply the Native or CSEC JSON schema before semantic processing.</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3</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Adapt input</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Use the Native chain directly or map agreed CSEC WAV and draft-of.audio values.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4</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 graph</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Quarantine isolatable unknown values; retain supported artefacts and relationships.</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5</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Check graph safety</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Enforce node limits, unique hashes, a declared final node, valid references, and structural connectivity.</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6</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Bind objects</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Resolve bundle paths, block path escape, recalculate SHA-256, and enforce size limits.</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7</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pipeline</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Execute artefact and relationship passes with per-object result caching.</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8</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Parse declared types</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WAV, MIDI, RIN, ERN, C2PA, CompSheet, or CueSheet logic only for the declared type.</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9</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Assess graph and physical audio</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Calculate file, relationship, cross-evidence, declared derivation, physical-audio diagnostic, attestation, disclosure, and workflow results.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10</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Build response</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Return axes, checks, validation, findings, coverage, unknown inputs, timing, and resource data.</w:t>
            </w:r>
          </w:p>
        </w:tc>
      </w:tr>
    </w:tbl>
    <w:p>
      <w:pPr>
        <w:spacing w:after="40"/>
      </w:pPr>
    </w:p>
    <w:p>
      <w:pPr>
        <w:pStyle w:val="Heading2"/>
        <w:keepNext/>
        <w:pageBreakBefore w:val="0"/>
        <w:spacing w:before="160" w:after="80"/>
      </w:pPr>
      <w:r>
        <w:rPr>
          <w:rFonts w:ascii="Arial" w:hAnsi="Arial" w:eastAsia="Arial"/>
          <w:b/>
          <w:color w:val="000000"/>
          <w:sz w:val="26"/>
        </w:rPr>
        <w:t>1 2 Unknown and Invalid Input Handling</w:t>
      </w:r>
    </w:p>
    <w:p>
      <w:pPr>
        <w:keepLines w:val="0"/>
        <w:spacing w:after="120" w:line="274" w:lineRule="auto"/>
      </w:pPr>
      <w:r>
        <w:rPr>
          <w:rFonts w:ascii="Arial" w:hAnsi="Arial" w:eastAsia="Arial"/>
          <w:color w:val="000000"/>
          <w:sz w:val="21"/>
        </w:rPr>
        <w:t>The normalisation boundary separates local semantic problems from request-wide structural problems. A local problem is removed from the evaluation graph and reported. A structural problem stops the request because the program cannot interpret the graph reliably.</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Input condition</w:t>
            </w:r>
          </w:p>
        </w:tc>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action</w:t>
            </w:r>
          </w:p>
        </w:tc>
        <w:tc>
          <w:tcPr>
            <w:tcW w:type="dxa" w:w="44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Reported state</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non-final artefact type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Quarantine the artefact and relationships that depend on it; continue checking retained files.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succeeded, coverage complete false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relationship type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Skip only that relationship; do not select a similar registered relationship.</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unknown_inputs; finding code:</w:t>
              <w:br/>
              <w:t>UNKNOWN_RELATIONSHIP_</w:t>
              <w:br/>
              <w:t>TYPE_SKIPPED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Known relationship with incompatible endpoint roles</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Skip only that edge and continue with the remaining graph.</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RELATIONSHIP_ENDPOINTS_SKIPPED</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final artefact type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Stop because no supported evaluation root can be formed.</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unsupported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Dangling hash, duplicate node, malformed schema, or unrelated supported node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Stop because the graph structure is unsafe or ambiguous.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error</w:t>
            </w:r>
          </w:p>
        </w:tc>
      </w:tr>
    </w:tbl>
    <w:p>
      <w:pPr>
        <w:spacing w:after="40"/>
      </w:pPr>
    </w:p>
    <w:p>
      <w:pPr>
        <w:keepLines w:val="0"/>
        <w:spacing w:after="120" w:line="274" w:lineRule="auto"/>
      </w:pPr>
      <w:r>
        <w:rPr>
          <w:rFonts w:ascii="Arial" w:hAnsi="Arial" w:eastAsia="Arial"/>
          <w:color w:val="000000"/>
          <w:sz w:val="21"/>
        </w:rPr>
        <w:t>When any artefact or relationship is skipped, every otherwise available axis is downgraded to partial. The value remains the result for the retained evidence only. The coverage object states the submitted, evaluated, and skipped counts, so omitted evidence cannot appear to be a complete assessment.</w:t>
      </w:r>
    </w:p>
    <w:p>
      <w:pPr>
        <w:pStyle w:val="Heading2"/>
        <w:keepNext/>
        <w:pageBreakBefore w:val="0"/>
        <w:spacing w:before="160" w:after="80"/>
      </w:pPr>
      <w:r>
        <w:rPr>
          <w:rFonts w:ascii="Arial" w:hAnsi="Arial" w:eastAsia="Arial"/>
          <w:b/>
          <w:color w:val="000000"/>
          <w:sz w:val="26"/>
        </w:rPr>
        <w:t>1 3 System Boundaries</w:t>
      </w:r>
    </w:p>
    <w:p>
      <w:pPr>
        <w:pStyle w:val="ListBullet"/>
        <w:spacing w:after="60" w:line="264" w:lineRule="auto"/>
      </w:pPr>
      <w:r>
        <w:rPr>
          <w:rFonts w:ascii="Arial" w:hAnsi="Arial" w:eastAsia="Arial"/>
          <w:color w:val="000000"/>
          <w:sz w:val="20"/>
        </w:rPr>
        <w:t>The program does not select an artefact type from a filename, extension, parser result, or media content.</w:t>
      </w:r>
    </w:p>
    <w:p>
      <w:pPr>
        <w:pStyle w:val="ListBullet"/>
        <w:spacing w:after="60" w:line="264" w:lineRule="auto"/>
      </w:pPr>
      <w:r>
        <w:rPr>
          <w:rFonts w:ascii="Arial" w:hAnsi="Arial" w:eastAsia="Arial"/>
          <w:color w:val="000000"/>
          <w:sz w:val="20"/>
        </w:rPr>
        <w:t>The program does not create a relationship from audio similarity, C2PA ingredients, DDEX content, or graph position.</w:t>
      </w:r>
    </w:p>
    <w:p>
      <w:pPr>
        <w:pStyle w:val="ListBullet"/>
        <w:spacing w:after="60" w:line="264" w:lineRule="auto"/>
      </w:pPr>
      <w:r>
        <w:rPr>
          <w:rFonts w:ascii="Arial" w:hAnsi="Arial" w:eastAsia="Arial"/>
          <w:color w:val="000000"/>
          <w:sz w:val="20"/>
        </w:rPr>
        <w:t>A parser observation may verify or contradict a declaration, but it cannot replace the declaration.</w:t>
      </w:r>
    </w:p>
    <w:p>
      <w:pPr>
        <w:pStyle w:val="ListBullet"/>
        <w:spacing w:after="60" w:line="264" w:lineRule="auto"/>
      </w:pPr>
      <w:r>
        <w:rPr>
          <w:rFonts w:ascii="Arial" w:hAnsi="Arial" w:eastAsia="Arial"/>
          <w:color w:val="000000"/>
          <w:sz w:val="20"/>
        </w:rPr>
        <w:t>Completeness measures expected evidence coverage. It does not prove that a production event occurred.</w:t>
      </w:r>
    </w:p>
    <w:p>
      <w:pPr>
        <w:pStyle w:val="ListBullet"/>
        <w:spacing w:after="60" w:line="264" w:lineRule="auto"/>
      </w:pPr>
      <w:r>
        <w:rPr>
          <w:rFonts w:ascii="Arial" w:hAnsi="Arial" w:eastAsia="Arial"/>
          <w:color w:val="000000"/>
          <w:sz w:val="20"/>
        </w:rPr>
        <w:t>The program does not calculate an overall score or make an acceptance, rejection, or authorship decision.</w:t>
      </w:r>
    </w:p>
    <w:p>
      <w:pPr>
        <w:pStyle w:val="Heading2"/>
        <w:keepNext/>
      </w:pPr>
      <w:r>
        <w:t>1 4 Design Principles</w:t>
      </w:r>
    </w:p>
    <w:p>
      <w:pPr>
        <w:keepNext/>
      </w:pPr>
      <w:r>
        <w:t>These principles govern how the evaluator interprets declarations, runs signal analysis, and communicates uncertainty. They apply to every parser, Pass, assessment layer, and future extension of the program.</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Principle</w:t>
            </w:r>
          </w:p>
        </w:tc>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Implementation</w:t>
            </w:r>
          </w:p>
        </w:tc>
        <w:tc>
          <w:tcPr>
            <w:tcW w:type="dxa" w:w="44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Boundary</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semantics are authoritative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submission defines artefact types, relationship direction, workflow, derivation scope, ranges, gains, and other transformation parameters.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Filenames, parser output, graph position, and signal similarity do not create or correct claims. Fitted parameters stay diagnostic and are never written back.</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 layers stay separate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Completeness, integrity, attestation strength, and AI disclosure are calculated independently; exact reconstruction and corroboration remain distinct.</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There is no overall score or decision. Content consistency alone cannot prove provenance, identity, ownership, authorship, or event order.</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Conservative status semantics</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Results distinguish matched, corroborated, contradicted, not_applicable, and unavailable evidence states.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Missing evidence is not a contradiction, ambiguity is not a match, and corroboration is never presented as exact proof.</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Bounded and secure execution</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File and request limits, bounded decoding, downsampling, search and source-count caps, and constrained DTW keep analysis predictable; every parser treats input as untrusted.</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No evidence item may trigger unbounded DSP work, path escape, entity expansion, silent hash substitution, or unsafe parser fallback.</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Partial evaluation remains transparent</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 isolatable unknown non-final item is quarantined. Checks expose their rule, Pass, status, hashes, parameter source, metrics, reasons, and findings.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 and unknown_inputs expose omissions. Unsafe graphs stop, unavailable evidence is visible, and a competing alignment never replaces the submitted one.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Reproducible and modular implementation</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Deterministic fixtures, pinned offline schemas, bounded Pass interfaces, explicit dependency states, and cached observations support repeatable evaluation.</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same input and dependencies should produce the same result; unavailable optional SDKs are reported rather than emulated.</w:t>
            </w:r>
          </w:p>
        </w:tc>
      </w:tr>
    </w:tbl>
    <w:p>
      <w:pPr>
        <w:pStyle w:val="Heading1"/>
        <w:keepNext/>
        <w:pageBreakBefore/>
        <w:spacing w:before="240" w:after="120"/>
      </w:pPr>
      <w:r>
        <w:rPr>
          <w:rFonts w:ascii="Arial" w:hAnsi="Arial" w:eastAsia="Arial"/>
          <w:b/>
          <w:color w:val="000000"/>
          <w:sz w:val="34"/>
        </w:rPr>
        <w:t>2 Supported Artefact Types</w:t>
      </w:r>
    </w:p>
    <w:p>
      <w:pPr>
        <w:keepLines w:val="0"/>
        <w:spacing w:after="120" w:line="274" w:lineRule="auto"/>
      </w:pPr>
      <w:r>
        <w:rPr>
          <w:rFonts w:ascii="Arial" w:hAnsi="Arial" w:eastAsia="Arial"/>
          <w:color w:val="000000"/>
          <w:sz w:val="21"/>
        </w:rPr>
        <w:t>An artefact type is a semantic role chosen by the submitter. It is distinct from the physical file format and from observations extracted by a parser. The type controls which attributes, relationships, parsers, and workflow rules may apply.</w:t>
      </w:r>
    </w:p>
    <w:p>
      <w:pPr>
        <w:pStyle w:val="Heading2"/>
        <w:keepNext/>
        <w:pageBreakBefore w:val="0"/>
        <w:spacing w:before="160" w:after="80"/>
      </w:pPr>
      <w:r>
        <w:rPr>
          <w:rFonts w:ascii="Arial" w:hAnsi="Arial" w:eastAsia="Arial"/>
          <w:b/>
          <w:color w:val="000000"/>
          <w:sz w:val="26"/>
        </w:rPr>
        <w:t>2 1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Type identifier</w:t>
            </w:r>
          </w:p>
        </w:tc>
        <w:tc>
          <w:tcPr>
            <w:tcW w:type="dxa" w:w="23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c>
          <w:tcPr>
            <w:tcW w:type="dxa" w:w="561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use</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Generic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Used by the CSEC WAV adapter without inventing a production role.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audio/raw-take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Raw performance take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original recorded or rendered take before comping.</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audio/raw-track</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Raw source track</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source track before stem, mix, or master production.</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audio/edited-take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Edited or comped take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take created by declared editing or comping.</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audio/stem</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Grouped stem</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export grouped by instrument, voice, or production function.</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audio/mix</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Mix</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result formed from multiple declared audio sources.</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audio/master</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Master</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mastered or final-delivery audio result.</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audio/sample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Sample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excerpted, looped, or reused audio segment.</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audio/reference</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Reference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supplied for comparison or production guidance.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audio/ai-source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Declared AI source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that the submitter explicitly identifies as AI-generated.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audio/unclassified</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Unclassified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whose submitter does not assign a more specific role.</w:t>
            </w:r>
          </w:p>
        </w:tc>
      </w:tr>
    </w:tbl>
    <w:p>
      <w:pPr>
        <w:spacing w:after="40"/>
      </w:pPr>
    </w:p>
    <w:p>
      <w:pPr>
        <w:pStyle w:val="Heading2"/>
        <w:keepNext/>
        <w:pageBreakBefore w:val="0"/>
        <w:spacing w:before="160" w:after="80"/>
      </w:pPr>
      <w:r>
        <w:rPr>
          <w:rFonts w:ascii="Arial" w:hAnsi="Arial" w:eastAsia="Arial"/>
          <w:b/>
          <w:color w:val="000000"/>
          <w:sz w:val="26"/>
        </w:rPr>
        <w:t>2 2 Non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6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Type identifier</w:t>
            </w:r>
          </w:p>
        </w:tc>
        <w:tc>
          <w:tcPr>
            <w:tcW w:type="dxa" w:w="158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Category</w:t>
            </w:r>
          </w:p>
        </w:tc>
        <w:tc>
          <w:tcPr>
            <w:tcW w:type="dxa" w:w="59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handling</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project/midi</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Bounded Standard MIDI File parser.</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project/daw-session</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May be declared; no generic proprietary session parser.</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project/automation</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May be declared and checked through relationships and attributes.</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metadata/ddex-rin</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Metadata</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parsing and offline XSD validation.</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metadata/ddex-ern</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Metadata</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parsing and offline XSD validation.</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provenance/c2pa</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Provenance</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c2pa-python reading and validation.</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text/cue-sheet</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 CSV, delimited text, and text-extractable PDF.</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text/comp-sheet</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 CSV, delimited text, and text-extractable PDF.</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text/session-log</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Presence evidence; no dedicated semantic parser.</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text/license-clearance</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Presence evidence for licence and clearance records.</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text/generation-record</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Evidence for declared AI or generation processes.</w:t>
            </w:r>
          </w:p>
        </w:tc>
      </w:tr>
    </w:tbl>
    <w:p>
      <w:pPr>
        <w:spacing w:after="40"/>
      </w:pPr>
    </w:p>
    <w:p>
      <w:pPr>
        <w:pStyle w:val="Heading1"/>
        <w:keepNext/>
        <w:pageBreakBefore w:val="0"/>
        <w:spacing w:before="240" w:after="120"/>
      </w:pPr>
      <w:r>
        <w:rPr>
          <w:rFonts w:ascii="Arial" w:hAnsi="Arial" w:eastAsia="Arial"/>
          <w:b/>
          <w:color w:val="000000"/>
          <w:sz w:val="34"/>
        </w:rPr>
        <w:t>3 Supported Relationship Types</w:t>
      </w:r>
    </w:p>
    <w:p>
      <w:pPr>
        <w:keepLines w:val="0"/>
        <w:spacing w:after="120" w:line="274" w:lineRule="auto"/>
      </w:pPr>
      <w:r>
        <w:rPr>
          <w:rFonts w:ascii="Arial" w:hAnsi="Arial" w:eastAsia="Arial"/>
          <w:color w:val="000000"/>
          <w:sz w:val="21"/>
        </w:rPr>
        <w:t>Relationships are directed from a source artefact to a target artefact. In JSON, the edge is stored in the target artefact's evidence array, and hash identifies the source. A relationship is a submitter declaration. Registration and endpoint validation do not prove that the stated transformation occurred.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18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Relationship</w:t>
            </w:r>
          </w:p>
        </w:tc>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source</w:t>
            </w:r>
          </w:p>
        </w:tc>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target</w:t>
            </w:r>
          </w:p>
        </w:tc>
        <w:tc>
          <w:tcPr>
            <w:tcW w:type="dxa" w:w="33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derived_from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General declared derivation.</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edited_from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raw-take, raw-track, edited-take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edited-take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Editing produced the target take.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excerpted_from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sample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sample was excerpted from the source.</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comped_from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raw-take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edited-take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combines selected takes.</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stemmed_from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raw-track, edited-take, sample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is a grouped stem.</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mixed_from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 raw-track, edited-take, sample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mix</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mix uses the declared sources.</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mastered_from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mix</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master derives from the mix.</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rendered_from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MIDI, DAW session, automation</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Specific audio role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audio was rendered from a project source.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input_to</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source was an input to the target process.</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draft-of.audio</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Generic CSEC-compatible audio draft relationship.</w:t>
            </w:r>
          </w:p>
        </w:tc>
      </w:tr>
    </w:tbl>
    <w:p>
      <w:pPr>
        <w:spacing w:after="40"/>
      </w:pPr>
    </w:p>
    <w:p>
      <w:pPr>
        <w:pStyle w:val="Heading2"/>
        <w:keepNext/>
        <w:pageBreakBefore w:val="0"/>
        <w:spacing w:before="160" w:after="80"/>
      </w:pPr>
      <w:r>
        <w:rPr>
          <w:rFonts w:ascii="Arial" w:hAnsi="Arial" w:eastAsia="Arial"/>
          <w:b/>
          <w:color w:val="000000"/>
          <w:sz w:val="26"/>
        </w:rPr>
        <w:t>3 1 Relationship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19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Attribute group</w:t>
            </w:r>
          </w:p>
        </w:tc>
        <w:tc>
          <w:tcPr>
            <w:tcW w:type="dxa" w:w="40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Fields</w:t>
            </w:r>
          </w:p>
        </w:tc>
        <w:tc>
          <w:tcPr>
            <w:tcW w:type="dxa" w:w="424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Purpose</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Declaration source</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assertion_origin; confirmed_by_submitter</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Records where the claim originated and whether the submitter confirmed it.</w:t>
            </w:r>
          </w:p>
        </w:tc>
      </w:tr>
      <w:tr>
        <w:trPr>
          <w:cantSplit/>
        </w:trPr>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Explanation</w:t>
            </w:r>
          </w:p>
        </w:tc>
        <w:tc>
          <w:tcPr>
            <w:tcW w:type="dxa" w:w="40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reference_pointer; claim_rationale; transformation_description</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Stores a reference, rationale, or description without treating it as proof.</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Analysis scope</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derivation_scope: linear_edit, linear_stem, linear_mix, or master_similarity</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Activates the corresponding exact declared Edit, Stem, Mix, or conservative Master check; Comp uses parsed CompSheet selections.</w:t>
            </w:r>
          </w:p>
        </w:tc>
      </w:tr>
      <w:tr>
        <w:trPr>
          <w:cantSplit/>
        </w:trPr>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Time range</w:t>
            </w:r>
          </w:p>
        </w:tc>
        <w:tc>
          <w:tcPr>
            <w:tcW w:type="dxa" w:w="40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source_start_seconds; source_end_seconds; target_start_seconds; target_end_seconds</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Checks ordering, duration bounds, and declared offset.</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Technical parameters</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gain; fade_in_seconds; fade_out_seconds; input and output sample rate, bit depth, and format</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Evaluates declared linear parameters and compares technical claims with measured file observations when both exist.</w:t>
            </w:r>
          </w:p>
        </w:tc>
      </w:tr>
    </w:tbl>
    <w:p>
      <w:pPr>
        <w:spacing w:after="40"/>
      </w:pPr>
    </w:p>
    <w:p>
      <w:pPr>
        <w:pStyle w:val="Heading1"/>
        <w:keepNext/>
        <w:pageBreakBefore w:val="0"/>
        <w:spacing w:before="240" w:after="120"/>
      </w:pPr>
      <w:r>
        <w:rPr>
          <w:rFonts w:ascii="Arial" w:hAnsi="Arial" w:eastAsia="Arial"/>
          <w:b/>
          <w:color w:val="000000"/>
          <w:sz w:val="34"/>
        </w:rPr>
        <w:t>4 Supported Physical File Types</w:t>
      </w:r>
    </w:p>
    <w:p>
      <w:pPr>
        <w:keepLines w:val="0"/>
        <w:spacing w:after="120" w:line="274" w:lineRule="auto"/>
      </w:pPr>
      <w:r>
        <w:rPr>
          <w:rFonts w:ascii="Arial" w:hAnsi="Arial" w:eastAsia="Arial"/>
          <w:color w:val="000000"/>
          <w:sz w:val="21"/>
        </w:rPr>
        <w:t>The objects map binds a declared SHA-256 digest to a bundle-relative path. A permitted suffix does not determine the artefact type. The evaluator resolves the path inside the supplied root, checks file size, recalculates the digest, and then dispatches a parser from the submitter's type.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15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Format</w:t>
            </w:r>
          </w:p>
        </w:tc>
        <w:tc>
          <w:tcPr>
            <w:tcW w:type="dxa" w:w="165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Suffix</w:t>
            </w:r>
          </w:p>
        </w:tc>
        <w:tc>
          <w:tcPr>
            <w:tcW w:type="dxa" w:w="23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Status</w:t>
            </w:r>
          </w:p>
        </w:tc>
        <w:tc>
          <w:tcPr>
            <w:tcW w:type="dxa" w:w="47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Checks and limits</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WAV</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.wav</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RIFF bounds, integer PCM framing, channels, rate, bit depth, data length, and declared technical fields.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MIDI</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.mid .midi</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Tracks, notes, tempo, time signature, controllers, and calculable duration.</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DDEX XML</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.xml</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and ERN 4.3; offline XSD; DTD and entity declarations rejected.</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JSON</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Strict or normalised CompSheet and CueSheet input.</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CSV</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.csv</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Field aliases and tabular records.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text</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.txt</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Delimited text and bounded normalisation.</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PDF</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.pdf</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Text extraction only; no OCR for scanned documents.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C2PA</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embedded or .c2pa</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Requires c2pa-python; distinguishes SDK, reader, manifest, and validation states.</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DAW archive</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.zip .als .logicx .ptx</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Packaging only</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Schema permits packaging, but proprietary session content is not parsed.</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PNG and MP4</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.png .mp4</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CSEC audio target unsupported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final unsupported media type returns unsupported; a non-final item may be quarantined.</w:t>
            </w:r>
          </w:p>
        </w:tc>
      </w:tr>
    </w:tbl>
    <w:p>
      <w:pPr>
        <w:spacing w:after="40"/>
      </w:pPr>
    </w:p>
    <w:p>
      <w:pPr>
        <w:keepLines w:val="0"/>
        <w:spacing w:after="120" w:line="274" w:lineRule="auto"/>
      </w:pPr>
      <w:r>
        <w:rPr>
          <w:rFonts w:ascii="Arial" w:hAnsi="Arial" w:eastAsia="Arial"/>
          <w:color w:val="000000"/>
          <w:sz w:val="21"/>
        </w:rPr>
        <w:t>Resource limits are 32 MiB per file and 128 MiB in total for one evaluation. The final artefact must have a present, hash-matched file. Missing non-final mappings are reported as findings, while traversal outside the bundle root and SHA-256 mismatches are errors.</w:t>
      </w:r>
    </w:p>
    <w:p>
      <w:pPr>
        <w:pStyle w:val="Heading1"/>
        <w:keepNext/>
        <w:pageBreakBefore w:val="0"/>
        <w:spacing w:before="240" w:after="120"/>
      </w:pPr>
      <w:r>
        <w:rPr>
          <w:rFonts w:ascii="Arial" w:hAnsi="Arial" w:eastAsia="Arial"/>
          <w:b/>
          <w:color w:val="000000"/>
          <w:sz w:val="34"/>
        </w:rPr>
        <w:t>5 Passes and Checks</w:t>
      </w:r>
    </w:p>
    <w:p>
      <w:pPr>
        <w:keepLines w:val="0"/>
        <w:spacing w:after="120" w:line="274" w:lineRule="auto"/>
      </w:pPr>
      <w:r>
        <w:rPr>
          <w:rFonts w:ascii="Arial" w:hAnsi="Arial" w:eastAsia="Arial"/>
          <w:color w:val="000000"/>
          <w:sz w:val="21"/>
        </w:rPr>
        <w:t>The current program combines registered libevchain passes with graph-level assessment classes. The Pipeline executes WavMetadataPass once for each audio artefact and RelationshipIntegrityPass once for each retained relationship. BoundFileIntegrityPass and the integrity-axis assembler consume those cached checks instead of repeating the technical or edge comparisons. The engine then runs parsers, exact declared derivation checks, and eight bounded physical-audio diagnostics to produce axis values, checks, findings, and reasoning. Signal-estimated offsets, gains, and channel matrices remain diagnostic only and do not rewrite graph claims, create relationships, or become exact provenance proof.</w:t>
      </w:r>
    </w:p>
    <w:p>
      <w:pPr>
        <w:pStyle w:val="Heading2"/>
        <w:keepNext/>
        <w:pageBreakBefore w:val="0"/>
        <w:spacing w:before="160" w:after="80"/>
      </w:pPr>
      <w:r>
        <w:rPr>
          <w:rFonts w:ascii="Arial" w:hAnsi="Arial" w:eastAsia="Arial"/>
          <w:b/>
          <w:color w:val="000000"/>
          <w:sz w:val="26"/>
        </w:rPr>
        <w:t>5 1 Active Passes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Pass</w:t>
            </w:r>
          </w:p>
        </w:tc>
        <w:tc>
          <w:tcPr>
            <w:tcW w:type="dxa" w:w="15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Scope</w:t>
            </w:r>
          </w:p>
        </w:tc>
        <w:tc>
          <w:tcPr>
            <w:tcW w:type="dxa" w:w="396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Checks</w:t>
            </w:r>
          </w:p>
        </w:tc>
        <w:tc>
          <w:tcPr>
            <w:tcW w:type="dxa" w:w="26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Output and cache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WavMetadataPass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 artefact</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Strict PCM structure, WAV metadata, and standardised technical checks.</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Observation, checks, and reasoning; cached per artefact.</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RelationshipIntegrityPass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 EvidencePass</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time ranges, duration bounds, sample rate, and bit depth compared with cached endpoint observations.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Observation, checks, and reasoning; cached per edge.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BoundFileIntegrityPass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aggregation</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Object binding, parser failures, and cached WavMetadataPass checks.</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and findings; WAV comparisons are not repeated.</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ExpandedCrossEvidencePass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RIN, ERN, MIDI, sheets, C2PA ingredients, contributor, identifier, and AI claim consistency.</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findings; graph-level cache pending.</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Edit, Comp, Stem, Audio, and Master DerivationPass classes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target</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Exact declared crop, placement, CompSheet, gain, fade, stem, and mix models; conservative declared-range Master continuity.</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matched, contradicted, corroborated, not_applicable, or unavailable; exact and weaker evidence remain distinct.</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C2PAAttestationPass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Manifest, signature, validation state, and credential trust.</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Attestation axis and validation fields.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AIDisclosurePass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 of explicit creation_method declarations on audio artefacts.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AI disclosure axis and findings.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WorkflowCompletenessPass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policy</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Required, conditional, and optional expectations for the selected workflow.</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Completeness axis, assessment, and findings.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AudioAlignmentPass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audio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Bounded short-time energy and shape landmarks plus waveform correlation estimate source and target offsets.</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audio_alignment; estimated offsets are signal_estimated_diagnostic and never rewrite an edge.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SourceContributionPass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stemmed_from or mixed_from target</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Ridge-stabilised linear fit, leave-one-out residual change, fitted gain, and gain stability for each declared source.</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source_contribution; corroborated, not_supported,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CompVerificationPass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Parsed CompSheet selection</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source and target segments are compared with waveform correlation, landmarks, and banded DTW.</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comp_verification; matched, corroborated, contradicted,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ProcessedAudioMatchPass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audio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Gain-tolerant time-frequency landmarks, waveform evidence, and DTW test continuity after light or described processing.</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processed_audio_match; robust similarity is corroborative and not proof of provenance.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StemMixResidualPass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stemmed_from or mixed_from target</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 bounded fitted source-channel matrix, correlation, and normalised residual test how much target content the declared sources explain.</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stem_mix_residual; fitted matrix parameters are diagnostic only.</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MasteringDerivationPass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mastered_from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Public pass name for conservative declared-range mix-to-master waveform, loudness, dynamics, and spectral continuity.</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mastering_derivation and master_derivation; corroborated results are not exact matches.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ExcerptedFromPass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excerpted_from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Bounded landmark search, waveform correlation, ambiguity comparison, and DTW locate a submitted sample in its declared source.</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excerpted_from; matched, corroborated, contradicted,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DecoySourcePass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stem or mix source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Interprets leave-one-out contribution evidence to flag sources removable without a material residual penalty.</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decoy_source; suspected_decoy, clear, or not_applicable plus a finding when suspected.</w:t>
            </w:r>
          </w:p>
        </w:tc>
      </w:tr>
    </w:tbl>
    <w:p>
      <w:pPr>
        <w:spacing w:after="40"/>
      </w:pPr>
    </w:p>
    <w:p>
      <w:pPr>
        <w:pStyle w:val="Heading2"/>
        <w:keepNext/>
        <w:pageBreakBefore w:val="0"/>
        <w:spacing w:before="160" w:after="80"/>
      </w:pPr>
      <w:r>
        <w:rPr>
          <w:rFonts w:ascii="Arial" w:hAnsi="Arial" w:eastAsia="Arial"/>
          <w:b/>
          <w:color w:val="000000"/>
          <w:sz w:val="26"/>
        </w:rPr>
        <w:t>5 2 Type Specific Parsing</w:t>
      </w:r>
    </w:p>
    <w:p>
      <w:pPr>
        <w:keepLines w:val="0"/>
        <w:spacing w:after="120" w:line="274" w:lineRule="auto"/>
      </w:pPr>
      <w:r>
        <w:rPr>
          <w:rFonts w:ascii="Arial" w:hAnsi="Arial" w:eastAsia="Arial"/>
          <w:color w:val="000000"/>
          <w:sz w:val="21"/>
        </w:rPr>
        <w:t>parse_bound_artefacts is currently an orchestration function rather than a registered Pass. It selects a parser from the declared artefact type, records parser status and data, and passes failures to later assessments. It does not infer a type from the file.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Declared type</w:t>
            </w:r>
          </w:p>
        </w:tc>
        <w:tc>
          <w:tcPr>
            <w:tcW w:type="dxa" w:w="73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Parser action</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 types</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Reuse WavMetadataPass observations and attempt embedded C2PA reading.</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project/midi</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bounded MIDI parser.</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text/comp-sheet</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CompSheet parser.</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text/cue-sheet</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CueSheet parser.</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metadata/ddex-rin</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RIN parser and record XSD status.</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metadata/ddex-ern</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ERN parser and record XSD status.</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provenance/c2pa</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standalone C2PA parser.</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other registered types</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Record not_assessed; do not select another parser.</w:t>
            </w:r>
          </w:p>
        </w:tc>
      </w:tr>
    </w:tbl>
    <w:p>
      <w:pPr>
        <w:spacing w:after="40"/>
      </w:pPr>
    </w:p>
    <w:p>
      <w:pPr>
        <w:pStyle w:val="Heading2"/>
        <w:keepNext/>
        <w:pageBreakBefore w:val="0"/>
        <w:spacing w:before="160" w:after="80"/>
      </w:pPr>
      <w:r>
        <w:rPr>
          <w:rFonts w:ascii="Arial" w:hAnsi="Arial" w:eastAsia="Arial"/>
          <w:b/>
          <w:color w:val="000000"/>
          <w:sz w:val="26"/>
        </w:rPr>
        <w:t>5 3 Pass Result Reuse and Dependency Cycles</w:t>
      </w:r>
    </w:p>
    <w:p>
      <w:pPr>
        <w:keepLines w:val="0"/>
        <w:spacing w:after="120" w:line="274" w:lineRule="auto"/>
      </w:pPr>
      <w:r>
        <w:rPr>
          <w:rFonts w:ascii="Arial" w:hAnsi="Arial" w:eastAsia="Arial"/>
          <w:color w:val="000000"/>
          <w:sz w:val="21"/>
        </w:rPr>
        <w:t>Artefact and Evidence objects cache results by Pass class. WavMetadataPass emits measured WAV data and standardised technical checks once per audio artefact. RelationshipIntegrityPass requests those cached results for its source and target, so it does not parse either WAV again. BoundFileIntegrityPass later reuses the same technical checks when it assembles the file-integrity layer. Each Artefact or Evidence object also maintains a Pass call stack. If a Pass requests itself directly or through another Pass, the library raises CircularEvaluationException.</w:t>
      </w:r>
    </w:p>
    <w:p>
      <w:pPr>
        <w:keepLines w:val="0"/>
        <w:spacing w:after="120" w:line="274" w:lineRule="auto"/>
      </w:pPr>
      <w:r>
        <w:rPr>
          <w:rFonts w:ascii="Arial" w:hAnsi="Arial" w:eastAsia="Arial"/>
          <w:color w:val="000000"/>
          <w:sz w:val="21"/>
        </w:rPr>
        <w:t>This protection applies to registered artefact and relationship passes. Type-specific parser outputs, graph indexes, decoded PCM, and the remaining graph-level assessments still need a shared evaluation context with request-scoped caching and cycle detection.</w:t>
      </w:r>
    </w:p>
    <w:p>
      <w:pPr>
        <w:pStyle w:val="Heading2"/>
        <w:keepNext/>
        <w:pageBreakBefore w:val="0"/>
        <w:spacing w:before="160" w:after="80"/>
      </w:pPr>
      <w:r>
        <w:rPr>
          <w:rFonts w:ascii="Arial" w:hAnsi="Arial" w:eastAsia="Arial"/>
          <w:b/>
          <w:color w:val="000000"/>
          <w:sz w:val="26"/>
        </w:rPr>
        <w:t>5 4 Checks Outside the Main Execution Path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02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Component</w:t>
            </w:r>
          </w:p>
        </w:tc>
        <w:tc>
          <w:tcPr>
            <w:tcW w:type="dxa" w:w="72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status</w:t>
            </w:r>
          </w:p>
        </w:tc>
      </w:tr>
      <w:tr>
        <w:trPr>
          <w:cantSplit/>
        </w:trPr>
        <w:tc>
          <w:tcPr>
            <w:tcW w:type="dxa" w:w="302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CrossEvidencePass</w:t>
            </w:r>
          </w:p>
        </w:tc>
        <w:tc>
          <w:tcPr>
            <w:tcW w:type="dxa" w:w="72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Earlier implementation retained for reference; assess_axes uses ExpandedCrossEvidencePass.</w:t>
            </w:r>
          </w:p>
        </w:tc>
      </w:tr>
      <w:tr>
        <w:trPr>
          <w:cantSplit/>
        </w:trPr>
        <w:tc>
          <w:tcPr>
            <w:tcW w:type="dxa" w:w="302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vendor builtin C2PAPass</w:t>
            </w:r>
          </w:p>
        </w:tc>
        <w:tc>
          <w:tcPr>
            <w:tcW w:type="dxa" w:w="72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Upstream draft; the target uses the legacy parser plus C2PAAttestationPass.</w:t>
            </w:r>
          </w:p>
        </w:tc>
      </w:tr>
      <w:tr>
        <w:trPr>
          <w:cantSplit/>
        </w:trPr>
        <w:tc>
          <w:tcPr>
            <w:tcW w:type="dxa" w:w="302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ArtefactPass and EvidencePass</w:t>
            </w:r>
          </w:p>
        </w:tc>
        <w:tc>
          <w:tcPr>
            <w:tcW w:type="dxa" w:w="72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Abstract interfaces; they do not produce results on their own.</w:t>
            </w:r>
          </w:p>
        </w:tc>
      </w:tr>
    </w:tbl>
    <w:p>
      <w:pPr>
        <w:spacing w:after="40"/>
      </w:pPr>
    </w:p>
    <w:p>
      <w:pPr>
        <w:pStyle w:val="Heading1"/>
        <w:keepNext/>
        <w:pageBreakBefore w:val="0"/>
        <w:spacing w:before="240" w:after="120"/>
      </w:pPr>
      <w:r>
        <w:rPr>
          <w:rFonts w:ascii="Arial" w:hAnsi="Arial" w:eastAsia="Arial"/>
          <w:b/>
          <w:color w:val="000000"/>
          <w:sz w:val="34"/>
        </w:rPr>
        <w:t>6 Four Output Axes</w:t>
      </w:r>
    </w:p>
    <w:p>
      <w:pPr>
        <w:keepLines w:val="0"/>
        <w:spacing w:after="120" w:line="274" w:lineRule="auto"/>
      </w:pPr>
      <w:r>
        <w:rPr>
          <w:rFonts w:ascii="Arial" w:hAnsi="Arial" w:eastAsia="Arial"/>
          <w:color w:val="000000"/>
          <w:sz w:val="21"/>
        </w:rPr>
        <w:t>The four axes are independent. A value lies between 0 and 1, but zero and one have a different meaning for each axis. The values must not be added or interpreted as a probability that the submitter is the creator.</w:t>
      </w:r>
    </w:p>
    <w:p>
      <w:pPr>
        <w:pStyle w:val="Heading2"/>
        <w:keepNext/>
        <w:pageBreakBefore w:val="0"/>
        <w:spacing w:before="160" w:after="80"/>
      </w:pPr>
      <w:r>
        <w:rPr>
          <w:rFonts w:ascii="Arial" w:hAnsi="Arial" w:eastAsia="Arial"/>
          <w:b/>
          <w:color w:val="000000"/>
          <w:sz w:val="26"/>
        </w:rPr>
        <w:t>6 1 Common Axis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18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Attribute</w:t>
            </w:r>
          </w:p>
        </w:tc>
        <w:tc>
          <w:tcPr>
            <w:tcW w:type="dxa" w:w="25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value</w:t>
            </w:r>
          </w:p>
        </w:tc>
        <w:tc>
          <w:tcPr>
            <w:tcW w:type="dxa" w:w="59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availability</w:t>
            </w:r>
          </w:p>
        </w:tc>
        <w:tc>
          <w:tcPr>
            <w:tcW w:type="dxa" w:w="25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available, partial, unavailable</w:t>
            </w:r>
          </w:p>
        </w:tc>
        <w:tc>
          <w:tcPr>
            <w:tcW w:type="dxa" w:w="59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Whether the axis can be interpreted from the evidence examined.</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value</w:t>
            </w:r>
          </w:p>
        </w:tc>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0 to 1 or null</w:t>
            </w:r>
          </w:p>
        </w:tc>
        <w:tc>
          <w:tcPr>
            <w:tcW w:type="dxa" w:w="59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The axis result. null means that no safe numeric result is available.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confidence</w:t>
            </w:r>
          </w:p>
        </w:tc>
        <w:tc>
          <w:tcPr>
            <w:tcW w:type="dxa" w:w="25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0 to 1 or null</w:t>
            </w:r>
          </w:p>
        </w:tc>
        <w:tc>
          <w:tcPr>
            <w:tcW w:type="dxa" w:w="59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Coverage or evidence availability, not a probability error bound.</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reasoning</w:t>
            </w:r>
          </w:p>
        </w:tc>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string or null</w:t>
            </w:r>
          </w:p>
        </w:tc>
        <w:tc>
          <w:tcPr>
            <w:tcW w:type="dxa" w:w="59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Checks included, scope limits, and reasons for missing assessment.</w:t>
            </w:r>
          </w:p>
        </w:tc>
      </w:tr>
    </w:tbl>
    <w:p>
      <w:pPr>
        <w:spacing w:after="40"/>
      </w:pPr>
    </w:p>
    <w:p>
      <w:pPr>
        <w:pStyle w:val="Heading2"/>
        <w:keepNext/>
        <w:pageBreakBefore w:val="0"/>
        <w:spacing w:before="160" w:after="80"/>
      </w:pPr>
      <w:r>
        <w:rPr>
          <w:rFonts w:ascii="Arial" w:hAnsi="Arial" w:eastAsia="Arial"/>
          <w:b/>
          <w:color w:val="000000"/>
          <w:sz w:val="26"/>
        </w:rPr>
        <w:t>6 2 Completeness</w:t>
      </w:r>
    </w:p>
    <w:p>
      <w:pPr>
        <w:keepLines w:val="0"/>
        <w:spacing w:after="120" w:line="274" w:lineRule="auto"/>
      </w:pPr>
      <w:r>
        <w:rPr>
          <w:rFonts w:ascii="Arial" w:hAnsi="Arial" w:eastAsia="Arial"/>
          <w:b/>
          <w:color w:val="000000"/>
          <w:sz w:val="21"/>
        </w:rPr>
        <w:t>Completeness</w:t>
      </w:r>
      <w:r>
        <w:rPr>
          <w:rFonts w:ascii="Arial" w:hAnsi="Arial" w:eastAsia="Arial"/>
          <w:color w:val="000000"/>
          <w:sz w:val="21"/>
        </w:rPr>
        <w:t xml:space="preserve"> measures how much of the evidence expected by the submitter-selected workflow is present and assessable. It does not prove that the submitted claims are true.</w:t>
      </w:r>
    </w:p>
    <w:p>
      <w:pPr>
        <w:keepLines w:val="0"/>
        <w:spacing w:after="120" w:line="274" w:lineRule="auto"/>
      </w:pPr>
      <w:r>
        <w:rPr>
          <w:rFonts w:ascii="Arial" w:hAnsi="Arial" w:eastAsia="Arial"/>
          <w:color w:val="000000"/>
          <w:sz w:val="21"/>
        </w:rPr>
        <w:t>The evaluator applies common rules, workflow required rules, and conditional rules whose triggers are true. Optional rules are reported but excluded from the denominator. The value is the weight of satisfied assessed rules divided by the weight of all assessed required and conditional rules. Confidence is the number of assessed applicable rules divided by all applicable rules.</w:t>
      </w:r>
    </w:p>
    <w:p>
      <w:pPr>
        <w:keepLines w:val="0"/>
        <w:spacing w:after="120" w:line="274" w:lineRule="auto"/>
      </w:pPr>
      <w:r>
        <w:rPr>
          <w:rFonts w:ascii="Arial" w:hAnsi="Arial" w:eastAsia="Arial"/>
          <w:color w:val="000000"/>
          <w:sz w:val="21"/>
        </w:rPr>
        <w:t>If the final artefact type is not allowed by the workflow, an existing value is set to zero. If no workflow is supplied through a compatibility path, the legacy value is the number of bound retained objects divided by the number of retained nodes and availability is partial.</w:t>
      </w:r>
    </w:p>
    <w:p>
      <w:pPr>
        <w:pStyle w:val="Heading2"/>
        <w:keepNext/>
        <w:pageBreakBefore w:val="0"/>
        <w:spacing w:before="160" w:after="80"/>
      </w:pPr>
      <w:r>
        <w:rPr>
          <w:rFonts w:ascii="Arial" w:hAnsi="Arial" w:eastAsia="Arial"/>
          <w:b/>
          <w:color w:val="000000"/>
          <w:sz w:val="26"/>
        </w:rPr>
        <w:t>6 3 Integrity</w:t>
      </w:r>
    </w:p>
    <w:p>
      <w:pPr>
        <w:keepLines w:val="0"/>
        <w:spacing w:after="120" w:line="274" w:lineRule="auto"/>
      </w:pPr>
      <w:r>
        <w:rPr>
          <w:rFonts w:ascii="Arial" w:hAnsi="Arial" w:eastAsia="Arial"/>
          <w:color w:val="000000"/>
          <w:sz w:val="21"/>
        </w:rPr>
        <w:t>Integrity measures consistency among bound files, technical declarations, relationship parameters, cross-evidence records, and explicitly scoped declared derivations. The new physical-audio diagnostics may corroborate, contradict, or flag a claim for review, but their estimated parameters do not add exact integrity credit. Integrity does not authenticate the creator.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Component</w:t>
            </w:r>
          </w:p>
        </w:tc>
        <w:tc>
          <w:tcPr>
            <w:tcW w:type="dxa" w:w="29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Internal calculation</w:t>
            </w:r>
          </w:p>
        </w:tc>
        <w:tc>
          <w:tcPr>
            <w:tcW w:type="dxa" w:w="504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Evidence examined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File integrity</w:t>
            </w:r>
          </w:p>
        </w:tc>
        <w:tc>
          <w:tcPr>
            <w:tcW w:type="dxa" w:w="29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Passed checks divided by all assessed checks</w:t>
            </w:r>
          </w:p>
        </w:tc>
        <w:tc>
          <w:tcPr>
            <w:tcW w:type="dxa" w:w="504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SHA-256 binding, technical claims, and parser status.</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Structural validity</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Reported but not scored</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Graph references, cycles, connectivity, final node, and endpoint roles.</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Declaration consistency</w:t>
            </w:r>
          </w:p>
        </w:tc>
        <w:tc>
          <w:tcPr>
            <w:tcW w:type="dxa" w:w="29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Passed checks divided by all assessed checks</w:t>
            </w:r>
          </w:p>
        </w:tc>
        <w:tc>
          <w:tcPr>
            <w:tcW w:type="dxa" w:w="504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Submitted relationship ranges, duration, sample rate, bit depth, and other declared parameters.</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Content reconstruction</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Exact matched divided by matched plus contradicted</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Declared Edit, Comp, Stem, and Mix models. Master corroboration and signal-estimated physical diagnostics remain unscored as exact proof.</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Cross-evidence support</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Corroborated checks divided by all assessed checks</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ERN, MIDI, sheets, C2PA ingredients, and declared graph data.</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 attestation</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Separate attestation axis; not scored in integrity</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C2PA manifest, signature, validation state, and credential trust.</w:t>
            </w:r>
          </w:p>
        </w:tc>
      </w:tr>
    </w:tbl>
    <w:p>
      <w:pPr>
        <w:spacing w:after="40"/>
      </w:pPr>
    </w:p>
    <w:p>
      <w:pPr>
        <w:keepLines w:val="0"/>
        <w:spacing w:after="120" w:line="274" w:lineRule="auto"/>
      </w:pPr>
      <w:r>
        <w:rPr>
          <w:rFonts w:ascii="Arial" w:hAnsi="Arial" w:eastAsia="Arial"/>
          <w:color w:val="000000"/>
          <w:sz w:val="21"/>
        </w:rPr>
        <w:t>The integrity value is the arithmetic mean of available score-eligible layers: file integrity, declaration consistency, content reconstruction, and cross-evidence support. A numeric value is withheld unless substantive content or independent cross-evidence is available, except when an assessed contradiction must remain visible. Structural validity and C2PA attestation are reported but do not raise integrity. Confidence is 0.8 multiplied by the fraction of the four score-eligible layers that produced numeric results. These thresholds and weights still require calibration against licensed real evidence packages.</w:t>
      </w:r>
    </w:p>
    <w:p>
      <w:pPr>
        <w:pStyle w:val="Heading2"/>
        <w:keepNext/>
        <w:pageBreakBefore w:val="0"/>
        <w:spacing w:before="160" w:after="80"/>
      </w:pPr>
      <w:r>
        <w:rPr>
          <w:rFonts w:ascii="Arial" w:hAnsi="Arial" w:eastAsia="Arial"/>
          <w:b/>
          <w:color w:val="000000"/>
          <w:sz w:val="26"/>
        </w:rPr>
        <w:t>6 4 Attestation Strength</w:t>
      </w:r>
    </w:p>
    <w:p>
      <w:pPr>
        <w:keepLines w:val="0"/>
        <w:spacing w:after="120" w:line="274" w:lineRule="auto"/>
      </w:pPr>
      <w:r>
        <w:rPr>
          <w:rFonts w:ascii="Arial" w:hAnsi="Arial" w:eastAsia="Arial"/>
          <w:color w:val="000000"/>
          <w:sz w:val="21"/>
        </w:rPr>
        <w:t>Attestation strength reports the available C2PA manifest, signature, SDK validation, and credential trust state. It measures cryptographic provenance strength and does not establish that every semantic claim in a manifest is true.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Observed state</w:t>
            </w:r>
          </w:p>
        </w:tc>
        <w:tc>
          <w:tcPr>
            <w:tcW w:type="dxa" w:w="30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Axis result</w:t>
            </w:r>
          </w:p>
        </w:tc>
        <w:tc>
          <w:tcPr>
            <w:tcW w:type="dxa" w:w="424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Interpretation</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SDK unavailable or no record</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unavailable, null</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 attestation was not assessed.</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Reader failure</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 null, confidence 0.3</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Failure remains distinct from manifest absence.</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 active manifest</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0.0, confidence 0.9</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The reader confirmed no usable active manifest.</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Invalid</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0.0, confidence 0.9</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The SDK reported invalid validation state.</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Valid</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0.8, confidence 0.9</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Cryptographically valid; trust was not reported.</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Trusted</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1.0, confidence 0.9</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Cryptographically valid and credential trusted.</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Readable but unclear</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 0.5 or 0.25, confidence 0.6</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0.5 with a signature and 0.25 without one.</w:t>
            </w:r>
          </w:p>
        </w:tc>
      </w:tr>
    </w:tbl>
    <w:p>
      <w:pPr>
        <w:spacing w:after="40"/>
      </w:pPr>
    </w:p>
    <w:p>
      <w:pPr>
        <w:pStyle w:val="Heading2"/>
        <w:keepNext/>
        <w:pageBreakBefore w:val="0"/>
        <w:spacing w:before="160" w:after="80"/>
      </w:pPr>
      <w:r>
        <w:rPr>
          <w:rFonts w:ascii="Arial" w:hAnsi="Arial" w:eastAsia="Arial"/>
          <w:b/>
          <w:color w:val="000000"/>
          <w:sz w:val="26"/>
        </w:rPr>
        <w:t>6 5 AI Disclosure</w:t>
      </w:r>
    </w:p>
    <w:p>
      <w:pPr>
        <w:keepLines w:val="0"/>
        <w:spacing w:after="120" w:line="274" w:lineRule="auto"/>
      </w:pPr>
      <w:r>
        <w:rPr>
          <w:rFonts w:ascii="Arial" w:hAnsi="Arial" w:eastAsia="Arial"/>
          <w:color w:val="000000"/>
          <w:sz w:val="21"/>
        </w:rPr>
        <w:t>AI disclosure measures explicit creation_method coverage across retained audio artefacts. The value is the number of audio nodes with a non-empty declaration divided by all retained audio nodes. If at least one declaration exists, confidence is 0.8. If none exists, the axis is unavailable.</w:t>
      </w:r>
    </w:p>
    <w:p>
      <w:pPr>
        <w:keepLines w:val="0"/>
        <w:spacing w:after="120" w:line="274" w:lineRule="auto"/>
      </w:pPr>
      <w:r>
        <w:rPr>
          <w:rFonts w:ascii="Arial" w:hAnsi="Arial" w:eastAsia="Arial"/>
          <w:color w:val="000000"/>
          <w:sz w:val="21"/>
        </w:rPr>
        <w:t>A value of 1.0 means that every retained audio node has a declaration. It does not mean that the work contains no AI-generated material. A zero or null value does not prove AI generation.</w:t>
      </w:r>
    </w:p>
    <w:p>
      <w:pPr>
        <w:pStyle w:val="Heading2"/>
        <w:keepNext/>
        <w:pageBreakBefore w:val="0"/>
        <w:spacing w:before="160" w:after="80"/>
      </w:pPr>
      <w:r>
        <w:rPr>
          <w:rFonts w:ascii="Arial" w:hAnsi="Arial" w:eastAsia="Arial"/>
          <w:b/>
          <w:color w:val="000000"/>
          <w:sz w:val="26"/>
        </w:rPr>
        <w:t>6 6 Supporting Response Fields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Field</w:t>
            </w:r>
          </w:p>
        </w:tc>
        <w:tc>
          <w:tcPr>
            <w:tcW w:type="dxa" w:w="396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Content</w:t>
            </w:r>
          </w:p>
        </w:tc>
        <w:tc>
          <w:tcPr>
            <w:tcW w:type="dxa" w:w="41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Purpose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succeeded, unsupported, error, timeout</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Separates protocol execution from assessment results.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Submitted, evaluated, and skipped artefact and relationship counts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Prevents a partial graph from appearing fully assessed.</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unknown_inputs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Original unknown value, kind, hashes, and skipped action</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Reports unknown declarations without inference or correction.</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validation</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C2PA state, signature, trust, codes, and reasons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Preserves cryptographic validation details.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assessment_checks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Checks grouped by assessment component, including audio_alignment, source_contribution, comp_verification, processed_audio_match, stem_mix_residual, mastering_derivation, excerpted_from, and decoy_source</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Exposes individual rules, statuses, hashes, declared versus estimated parameter sources, residuals, similarity, ambiguity, and diagnostics.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workflow_assessment</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Policy, workflow, modifiers, summary, and rule results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Explains the completeness result rule by rule.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findings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Code, severity, message, and evidence data</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Reports observations, contradictions, missing data, and skipped inputs.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resource_usage</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cpu_ms and peak_rss_kib</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Records available resource information; peak RSS may be null.</w:t>
            </w:r>
          </w:p>
        </w:tc>
      </w:tr>
    </w:tbl>
    <w:p>
      <w:pPr>
        <w:spacing w:after="40"/>
      </w:pPr>
    </w:p>
    <w:p>
      <w:pPr>
        <w:pStyle w:val="Heading1"/>
        <w:keepNext/>
        <w:pageBreakBefore/>
        <w:spacing w:before="240" w:after="120"/>
      </w:pPr>
      <w:r>
        <w:rPr>
          <w:rFonts w:ascii="Arial" w:hAnsi="Arial" w:eastAsia="Arial"/>
          <w:b/>
          <w:color w:val="000000"/>
          <w:sz w:val="34"/>
        </w:rPr>
        <w:t>7 Program File Responsibilities</w:t>
      </w:r>
    </w:p>
    <w:p>
      <w:pPr>
        <w:keepLines w:val="0"/>
        <w:spacing w:after="120" w:line="274" w:lineRule="auto"/>
      </w:pPr>
      <w:r>
        <w:rPr>
          <w:rFonts w:ascii="Arial" w:hAnsi="Arial" w:eastAsia="Arial"/>
          <w:color w:val="000000"/>
          <w:sz w:val="21"/>
        </w:rPr>
        <w:t>The following inventory covers runtime code, schemas, policy, tests, examples, reports, and documentation. Content-addressed binaries and repeated public result files are grouped by directory. Cache files such as __pycache__, pyc, DS_Store, and Rhistory are not program logic.</w:t>
      </w:r>
    </w:p>
    <w:p>
      <w:pPr>
        <w:pStyle w:val="Heading2"/>
        <w:keepNext/>
        <w:pageBreakBefore w:val="0"/>
        <w:spacing w:before="160" w:after="80"/>
      </w:pPr>
      <w:r>
        <w:rPr>
          <w:rFonts w:ascii="Arial" w:hAnsi="Arial" w:eastAsia="Arial"/>
          <w:b/>
          <w:color w:val="000000"/>
          <w:sz w:val="26"/>
        </w:rPr>
        <w:t>7 1 Root Files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9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72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run.py</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Main entry point, isolated worker, response assembly, partial-axis downgrade, and output.</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check_public.py</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Runs a public corpus and writes per-case results plus public-summary.</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make_examples.py</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Generates deterministic WAV examples, hash failures, and unsupported media fixtures.</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requirements.txt</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Required packages including jsonschema, pypdf, and xmlschema.</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requirements-c2pa.txt</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c2pa-python dependency in addition to required packages.</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README.md</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Installation, execution, supported scope, quarantine behaviour, and current boundaries.</w:t>
            </w:r>
          </w:p>
        </w:tc>
      </w:tr>
    </w:tbl>
    <w:p>
      <w:pPr>
        <w:spacing w:after="40"/>
      </w:pPr>
    </w:p>
    <w:p>
      <w:pPr>
        <w:pStyle w:val="Heading2"/>
        <w:keepNext/>
        <w:pageBreakBefore w:val="0"/>
        <w:spacing w:before="160" w:after="80"/>
      </w:pPr>
      <w:r>
        <w:rPr>
          <w:rFonts w:ascii="Arial" w:hAnsi="Arial" w:eastAsia="Arial"/>
          <w:b/>
          <w:color w:val="000000"/>
          <w:sz w:val="26"/>
        </w:rPr>
        <w:t>7 2 music_target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24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698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music_target/__init__.py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Declares version 0.5.0 and the absence of an authorship classification policy.</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music_target/contract.py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Reads and validates requests, adapts CSEC input, quarantines local semantic errors, records coverage and unknown inputs, and builds response identity.</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music_target/domain.py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Registers artefact and relationship types, endpoint contracts, and relationship attributes.</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music_target/engine.py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Binds files, validates WAV structure, runs WavMetadataPass and the relationship EvidencePass, retains standalone checks after quarantine, and orchestrates assessments.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music_target/assessment_passes.py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Aggregates cached file and relationship checks and runs CrossEvidence, C2PA attestation, AI disclosure, and integrity combination logic.</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music_target/audio_derivation.py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Exact declared Edit, Comp, Stem, and Mix reconstruction plus conservative declared-range Master continuity.</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music_target/physical_audio_passes.py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Eight bounded alignment, contribution, CompSheet selection, processed-content, residual, mastering, excerpt, and decoy diagnostics.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music_target/workflow_policy.py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Loads policy safely, evaluates triggers, and reports workflow completeness.</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music_target/wav_parser.py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Extracts WAV chunks and metadata used by WavMetadataPass.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music_target/midi_parser.py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Size- and structure-bounded MIDI parser.</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music_target/sheet_parsers.py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CompSheet and CueSheet JSON, CSV, text, and PDF parsing.</w:t>
            </w:r>
          </w:p>
        </w:tc>
      </w:tr>
    </w:tbl>
    <w:p>
      <w:pPr>
        <w:spacing w:after="40"/>
      </w:pPr>
    </w:p>
    <w:p>
      <w:pPr>
        <w:pStyle w:val="Heading2"/>
        <w:keepNext/>
        <w:pageBreakBefore w:val="0"/>
        <w:spacing w:before="160" w:after="80"/>
      </w:pPr>
      <w:r>
        <w:rPr>
          <w:rFonts w:ascii="Arial" w:hAnsi="Arial" w:eastAsia="Arial"/>
          <w:b/>
          <w:color w:val="000000"/>
          <w:sz w:val="26"/>
        </w:rPr>
        <w:t>7 3 legacy_parsers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6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65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legacy_parsers/c2pa_parser.py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SDK reader that distinguishes SDK, reader, manifest, and validation states.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legacy_parsers/rin_parser.py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contributors, sessions, components, and audio hash bindings.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legacy_parsers/ern_parser.py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releases, resources, parties, ISRC, and delivery audio bindings.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legacy_parsers/common/xml_utils.py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XML size bounds, DTD and entity rejection, and namespace helpers.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legacy_parsers/common/ddex_validation.py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and ERN version registry and pinned local XSD validation.</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legacy_parsers/common/__init__.py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Shared XML helper package marker.</w:t>
            </w:r>
          </w:p>
        </w:tc>
      </w:tr>
    </w:tbl>
    <w:p>
      <w:pPr>
        <w:spacing w:after="40"/>
      </w:pPr>
    </w:p>
    <w:p>
      <w:pPr>
        <w:pStyle w:val="Heading2"/>
        <w:keepNext/>
        <w:pageBreakBefore w:val="0"/>
        <w:spacing w:before="160" w:after="80"/>
      </w:pPr>
      <w:r>
        <w:rPr>
          <w:rFonts w:ascii="Arial" w:hAnsi="Arial" w:eastAsia="Arial"/>
          <w:b/>
          <w:color w:val="000000"/>
          <w:sz w:val="26"/>
        </w:rPr>
        <w:t>7 4 Policies and Schemas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6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Path</w:t>
            </w:r>
          </w:p>
        </w:tc>
        <w:tc>
          <w:tcPr>
            <w:tcW w:type="dxa" w:w="65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policies/workflow_evidence_policy.json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Required, conditional, and optional expectations for 16 workflows.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schemas/native-request.schema.json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Native workflow, graph, object, and option contract.</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schemas/scoring-request.schema.json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CSEC candidate request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schemas/scoring-response.schema.json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Axes, coverage, unknown_inputs, validation, findings, checks, and execution status.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schemas/public-bundle.schema.json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Public CSEC bundle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schemas/comp-sheet.schema.json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Normalised CompSheet JSON contract.</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schemas/cue-sheet.schema.json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Normalised CueSheet JSON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schemas/ddex/README.md</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Pinned DDEX versions, offline use, and limitations.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schemas/ddex/SOURCES.json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DDEX source, version, and hash records.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schemas/ddex/rin-2.1</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main, allowed-value, and XML signature schemas.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schemas/ddex/ern-4.3</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release-notification and allowed-value schemas.</w:t>
            </w:r>
          </w:p>
        </w:tc>
      </w:tr>
    </w:tbl>
    <w:p>
      <w:pPr>
        <w:spacing w:after="40"/>
      </w:pPr>
    </w:p>
    <w:p>
      <w:pPr>
        <w:pStyle w:val="Heading2"/>
        <w:keepNext/>
        <w:pageBreakBefore w:val="0"/>
        <w:spacing w:before="160" w:after="80"/>
      </w:pPr>
      <w:r>
        <w:rPr>
          <w:rFonts w:ascii="Arial" w:hAnsi="Arial" w:eastAsia="Arial"/>
          <w:b/>
          <w:color w:val="000000"/>
          <w:sz w:val="26"/>
        </w:rPr>
        <w:t>7 5 vendor libevchain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 or directory</w:t>
            </w:r>
          </w:p>
        </w:tc>
        <w:tc>
          <w:tcPr>
            <w:tcW w:type="dxa" w:w="66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artefact.py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 nodes, attributes, file binding, Pass cache, and dependency call stack.</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evidence.py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 edges, relationship attributes, edge Pass cache, and cycle detection.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evidence_chain.py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construction, reference completion, graph-cycle detection, and hash binding.</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hash_methods.py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Hash method registry and SHA-256 implementation.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exceptions.py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Malformed JSON, attribute, Pass, and circular evaluation exceptions.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score.py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Upstream four-field Score container; the target uses axisAssessment instead.</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pipeline/artefact_pass.py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ArtefactPass interface.</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pipeline/evidence_pass.py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EvidencePass interface.</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pipeline/pipeline.py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Pass registration, node and edge execution, and score merger invocation.</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types/artefact_types.py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 registration, inherited attributes, and Pass binding.</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types/relationship_types.py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 registration, generic specialisation, and Pass binding.</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types/attribute.py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Boolean, String, Number, List, Dictionary, Either, Literal, and Record validation.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types/artefact_audio_type.py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Base audio and speech types.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types/artefact_text_type.py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Base text type and text-reading helpers.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types/relationship_draft_of_type.py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Generic draft-of relationship registration.</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types/__init__.py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Loads and exports built-in type and registration interfaces.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builtin_passes/c2pa_pass.py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Upstream C2PA draft; not used by the main target path.</w:t>
            </w:r>
          </w:p>
        </w:tc>
      </w:tr>
    </w:tbl>
    <w:p>
      <w:pPr>
        <w:spacing w:after="40"/>
      </w:pPr>
    </w:p>
    <w:p>
      <w:pPr>
        <w:pStyle w:val="Heading2"/>
        <w:keepNext/>
        <w:pageBreakBefore w:val="0"/>
        <w:spacing w:before="160" w:after="80"/>
      </w:pPr>
      <w:r>
        <w:rPr>
          <w:rFonts w:ascii="Arial" w:hAnsi="Arial" w:eastAsia="Arial"/>
          <w:b/>
          <w:color w:val="000000"/>
          <w:sz w:val="26"/>
        </w:rPr>
        <w:t>7 6 Tests Examples Reports and Documentation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Path</w:t>
            </w:r>
          </w:p>
        </w:tc>
        <w:tc>
          <w:tcPr>
            <w:tcW w:type="dxa" w:w="66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tests/test_target.py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65 unit and end-to-end tests, including quarantine, partial coverage, graph safety, WAV, workflows, MIDI, sheets, DDEX, C2PA, AI, declared derivation, physical-audio diagnostics, integrity layers, and status semantics.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examples/valid-generated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Deterministic raw-track to stem to mix to master teaching example.</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examples/invalid-hash</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Fixture whose bytes no longer match the declared SHA-256.</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examples/unsupported-png</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CSEC case with an unsupported final PNG.</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examples/csec-wav</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Single-WAV CSEC candidate request and response.</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reports/verification.md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Executed checks for version 0.5.0, including 65 passing tests and remaining calibration gaps.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reports/release.json</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Version 0.5.0, source revision, runtime, dependency, and saved test statistics.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reports/source_inventory.json</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Initial source inventory and SHA-256 values.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reports/test-results.txt</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Saved test output.</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reports/public-summary.json</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Execution-status summary for public cases.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reports/public-results</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Per-case public request and response files.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docs/01_*.md Chinese source file</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Early source review and team responsibility boundaries.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docs/02_*.md Chinese source file</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Implementation history.</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docs/03_CSEC_HANDOFF.md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CSEC execution, exchange format, quarantine, and support boundaries.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docs/NEXT_TASKS.md</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Prioritised calibration, real-fixture, false-positive, caching, CLI, CI, and broader media work after version 0.5.0.</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docs/PROGRAM_STRUCTURE.md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Program directory and responsibility summary.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docs/SHEET_FORMATS.md</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CompSheet and CueSheet fields and supported formats.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docs/ben-local-fixes.patch</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Local vendor fixes for upstream review.</w:t>
            </w:r>
          </w:p>
        </w:tc>
      </w:tr>
    </w:tbl>
    <w:p>
      <w:pPr>
        <w:spacing w:after="40"/>
      </w:pPr>
    </w:p>
    <w:p>
      <w:pPr>
        <w:pStyle w:val="Heading1"/>
        <w:keepNext/>
        <w:pageBreakBefore w:val="0"/>
        <w:spacing w:before="240" w:after="120"/>
      </w:pPr>
      <w:r>
        <w:rPr>
          <w:rFonts w:ascii="Arial" w:hAnsi="Arial" w:eastAsia="Arial"/>
          <w:b/>
          <w:color w:val="000000"/>
          <w:sz w:val="34"/>
        </w:rPr>
        <w:t>8 Outstanding Work</w:t>
      </w:r>
    </w:p>
    <w:p>
      <w:pPr>
        <w:keepLines w:val="0"/>
        <w:spacing w:after="120" w:line="274" w:lineRule="auto"/>
      </w:pPr>
      <w:r>
        <w:rPr>
          <w:rFonts w:ascii="Arial" w:hAnsi="Arial" w:eastAsia="Arial"/>
          <w:color w:val="000000"/>
          <w:sz w:val="21"/>
        </w:rPr>
        <w:t>The remaining work is ordered by release risk and dependency. Version 0.5.0 implements the eight physical-audio diagnostics, so the main P0 need is now calibration with licensed real production material, adversarial fixtures, and independently reviewed expected results. Completion criteria require reproducible evidence, explicit boundaries, and measured false-positive and false-negative behaviour rather than code volume.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79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Priority</w:t>
            </w:r>
          </w:p>
        </w:tc>
        <w:tc>
          <w:tcPr>
            <w:tcW w:type="dxa" w:w="19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Task</w:t>
            </w:r>
          </w:p>
        </w:tc>
        <w:tc>
          <w:tcPr>
            <w:tcW w:type="dxa" w:w="43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Required work</w:t>
            </w:r>
          </w:p>
        </w:tc>
        <w:tc>
          <w:tcPr>
            <w:tcW w:type="dxa" w:w="316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Completion criterion</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Real physical fixture calibration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Obtain licensed raw takes, edited takes, CompSheets, stems, mixes, masters, MIDI, RIN, ERN, and C2PA evidence. Exercise all eight physical-audio diagnostics across honest, missing, damaged, contradictory, tampered, repeated-loop, and decoy-source cases.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fixture is reproducible, has an independently reviewed expected result, and contributes to measured false-positive and false-negative reports.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Physical-audio threshold calibration</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Calibrate alignment similarity and ambiguity, leave-one-out contribution, CompSheet segment matching, processed-audio DTW, channel-matrix residuals, excerpt search, and Master continuity for stereo, 24-bit PCM, silence, clipping, phase, gain, offset, light processing, and complex processing.</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 labelled calibration dataset, threshold and sensitivity report, and false-contradiction analysis justify every production threshold and bounded resource limit.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Weight and confidence calibration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Review equal weighting of the four score-eligible integrity layers, workflow weights, diagnostic thresholds, and the current confidence ceiling of 0.8 multiplied by available-layer coverage.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Weights, confidence, and thresholds have empirical or customer-policy support plus sensitivity analysis.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Graph-level Pass reuse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a request-scoped evaluation context for parsers, graph indexes, PCM decoding, and graph assessments.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same Pass and scope execute once per request and never leak between requests.</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Graph dependency cycles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NOT_STARTED, RUNNING, and COMPLETED states with full dependency paths.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Tests cover self-cycle, two-Pass cycle, diamond dependency, and exception cleanup.</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Submission CLI</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Build guided and non-interactive creation, validation, preview, and evaluation commands.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submitter explicitly selects workflow, types, creation methods, relationship types, and direction.</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C2PA fixtures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valid signature, tampered asset, untrusted credential, no manifest, and reader failure.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Each state verifies axis, validation, and finding output.</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DDEX fixtures and licence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real XSD-valid RIN and ERN plus invalid version and hash mismatch cases; confirm redistribution terms.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Positive and negative regressions pass in an offline clean environment.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Workflow coverage</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Create complete, missing, not_assessed, and relationship-conflict cases for all 16 workflows.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required and conditional rule is exercised.</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CI and clean environment</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clean install, locked dependencies, security, performance, large-file, and malicious-input tests; keep the physical-audio suite reproducible.</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current 65 tests and all new tests reproduce from a clean environment.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Additional audio formats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Prioritise FLAC, AIFF, BWF, and RF64 from real customer data.</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Each format has bounded parsing, hash binding, and declaration checks.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Expanded CrossEvidence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contributor, ISRC, resource, release identifier, and secure URI checks.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rule emits an independent check and never creates a relationship.</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CSEC contract extension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Agree how public requests carry workflow and non-WAV evidence.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extended contract is verified in the partner runner.</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P3</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Non-technical UI</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Build submission and report interfaces after the CLI stabilises.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UI uses the same contract and keeps declarations explicit.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P3</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DAW project support</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Prefer official exports or interchange formats before proprietary binary parsing.</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No file extension automatically assigns a project role or relationship.</w:t>
            </w:r>
          </w:p>
        </w:tc>
      </w:tr>
    </w:tbl>
    <w:p>
      <w:pPr>
        <w:spacing w:after="40"/>
      </w:pPr>
    </w:p>
    <w:p>
      <w:pPr>
        <w:pStyle w:val="Heading2"/>
        <w:keepNext/>
        <w:pageBreakBefore w:val="0"/>
        <w:spacing w:before="160" w:after="80"/>
      </w:pPr>
      <w:r>
        <w:rPr>
          <w:rFonts w:ascii="Arial" w:hAnsi="Arial" w:eastAsia="Arial"/>
          <w:b/>
          <w:color w:val="000000"/>
          <w:sz w:val="26"/>
        </w:rPr>
        <w:t>8 1 Recommended Pass Reuse Dependencies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0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Cached producer</w:t>
            </w:r>
          </w:p>
        </w:tc>
        <w:tc>
          <w:tcPr>
            <w:tcW w:type="dxa" w:w="71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Downstream consumers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WavMetadataPass</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RelationshipIntegrityPass, BoundFileIntegrityPass, and ExpandedCrossEvidencePass.</w:t>
            </w:r>
          </w:p>
        </w:tc>
      </w:tr>
      <w:tr>
        <w:trPr>
          <w:cantSplit/>
        </w:trPr>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DeclaredTypeParserPass proposed</w:t>
            </w:r>
          </w:p>
        </w:tc>
        <w:tc>
          <w:tcPr>
            <w:tcW w:type="dxa" w:w="71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BoundFileIntegrityPass, ExpandedCrossEvidencePass, C2PAAttestationPass, and WorkflowCompletenessPass.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GraphIndexPass proposed</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RelationshipIntegrityPass, ExpandedCrossEvidencePass, and WorkflowCompletenessPass.</w:t>
            </w:r>
          </w:p>
        </w:tc>
      </w:tr>
      <w:tr>
        <w:trPr>
          <w:cantSplit/>
        </w:trPr>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PCMAnalysisContext proposed</w:t>
            </w:r>
          </w:p>
        </w:tc>
        <w:tc>
          <w:tcPr>
            <w:tcW w:type="dxa" w:w="71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Edit, Comp, Stem, Mix, and Master derivation classes plus all eight physical-audio diagnostics.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Four score-eligible integrity layers</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proposed IntegrityAxisPass that combines checks, findings, value, and reasoning.</w:t>
            </w:r>
          </w:p>
        </w:tc>
      </w:tr>
    </w:tbl>
    <w:p>
      <w:pPr>
        <w:spacing w:after="40"/>
      </w:pPr>
    </w:p>
    <w:p>
      <w:pPr>
        <w:keepLines w:val="0"/>
        <w:spacing w:after="120" w:line="274" w:lineRule="auto"/>
      </w:pPr>
      <w:r>
        <w:rPr>
          <w:rFonts w:ascii="Arial" w:hAnsi="Arial" w:eastAsia="Arial"/>
          <w:color w:val="000000"/>
          <w:sz w:val="21"/>
        </w:rPr>
        <w:t>Reuse must preserve the declaration boundary. Parser output may verify a declared type; C2PA ingredients and DDEX bindings may cross-check the submitted graph; exact Edit, Comp, Stem, Mix, and Master checks may run only under their documented submitter-declared scopes. Automatic alignment, fitted gains, contribution estimates, channel matrices, landmark similarity, and DTW results remain labelled signal-estimated diagnostics and must never be written back into the submitted relationship.</w:t>
      </w:r>
    </w:p>
    <w:sectPr w:rsidR="00FC693F" w:rsidRPr="0006063C" w:rsidSect="00034616">
      <w:headerReference w:type="default" r:id="rId9"/>
      <w:footerReference w:type="default" r:id="rId10"/>
      <w:pgSz w:w="12240" w:h="15840"/>
      <w:pgMar w:top="936" w:right="936" w:bottom="893"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A626C"/>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A626C"/>
        <w:sz w:val="17"/>
      </w:rPr>
      <w:t>COMP3888  Technical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COMP3888 Music Evidence Evaluation Program Technical Manual</dc:title>
  <dc:subject>V3 program workflow, evidence types, passes, output axes, source files, and outstanding work</dc:subject>
  <dc:creator>COMP3888 Project Team</dc:creator>
  <cp:keywords>COMP3888, music evidence, evidence chain, technical manual, V3</cp:keywords>
  <dc:description>generated by python-docx</dc:description>
  <cp:lastModifiedBy/>
  <cp:revision>1</cp:revision>
  <dcterms:created xsi:type="dcterms:W3CDTF">2013-12-23T23:15:00Z</dcterms:created>
  <dcterms:modified xsi:type="dcterms:W3CDTF">2013-12-23T23:15:00Z</dcterms:modified>
  <cp:category/>
</cp:coreProperties>
</file>