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default-v4, version 4</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342 tests discovered. All 338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The default-v4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The desktop summary displays the audio_fingerprint, audio_fingerprint_agreement, audio_structure and audio_semantics rows grouped by file pair, each with its calibration status, together with any C2PA problem state of the final artefact. The importer reads WAV technical fields with wav_probe.py, which accepts the same integer PCM, IEEE float and WAVE_FORMAT_EXTENSIBLE encodings as the core decoder.</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The CSEC adapter maps audio/wav to generic audio and retains the agreed draft-of.audio relationship. It does not invent stems, creation methods or a music workflow. Without a workflow, completeness is the legacy bound-object fraction, reported as partial with confidence null and WORKFLOW_POLICY_NOT_APPLIED.</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Integer PCM 8/16/24/32-bit and IEEE float 32/64-bit, including supported extensible subformats; 1–32 channels and 1–384000 Hz. Header and chunk inspection is streaming. Complete audio followed by damaged metadata may be retained with a warning. RF64/BW64 and compressed codecs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14:paraId="6CE19D6A"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structure, technical claims vs measured values, embedded metadata and recorder BWF/iXML fields; non-final failures become </w:t>
            </w:r>
            <w:r>
              <w:rPr>
                <w:rFonts w:eastAsia="Consolas" w:cs="Consolas"/>
                <w:color w:val="000000"/>
                <w:sz w:val="17"/>
                <w:szCs w:val="16"/>
              </w:rPr>
              <w:t>parser_failed</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SHA-256 binding, technical claims, parser status.</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Source and target time validity, order and bounds, plus input/output sample rate or bit depth.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policies/scoring_profile.json supplies explicit configuration; weights are not learned or changed automatically from the submitted audio. The default-v4 profile uses weight 1.0 for each eligible layer. File and declaration values are their passed Boolean checks divided by assessed Boolean checks.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14:paraId="0F4DFB1C" w14:textId="77777777" w:rsidR="00EB02BD" w:rsidRDefault="00000000">
      <w:r>
        <w:t>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Effect under default-v4</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When an assessed failure matches severe_contradiction_rules, the default-v4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The examples below apply default-v4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Pinned core packages including jsonschema, numpy, pypdf, xmlschema, pyaaf2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Tk desktop builder, background imports and exports, verified full-assessment staging, Native local references and human-readable result summaries. Results show audio summaries grouped by pair, calibration status and C2PA problem states. wav_probe.py reads WAV header fields for import and accepts the same encodings as the core decoder.</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Conservative cross-evidence fact aggregation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default-v4: equal layer weights, fact aggregation, qualifying-support gate,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131 core tests, including explicit legacy-profile compatibility cases; the shipped default profile is version 4.</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Input isolation, audio regressions and scoring-policy regression cases.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342 cases: 131 core; 41 audio diagnostics; 24 C2PA; 22 remediation; 19 non-GUI builder; 15 builder-result; 14 scoring-remediation; 12 local-file-reference; 27 production-document; 9 audio calibration; 10 case-interval;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Layer weights, permitted support tiers and severe rules in default-v4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SHA-256 binding shows that submitted bytes match the declared digest, not who created them or when. Recorder metadata (BWF bext and iXML) can be rewritten and is not authenticated.</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and fingerprint agreement are uncalibrated.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Audio is limited to WAV: integer PCM, IEEE float and WAVE_FORMAT_EXTENSIBLE. FLAC, AIFF and RF64/BW64 are not supported. Objects are limited to 512 MiB each and 1 GiB per request.</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Review default-v4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Semantics, fingerprint-agreement and calibration summaries, the C2PA problem-state display and UI WAV import through wav_probe.py (matching the core decoder's encodings)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Saved JSON and UI expose all provider outcomes and uncertainty; core-supported WAVs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