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5F395D" w14:paraId="05FEBEA8" w14:textId="77777777" w:rsidTr="005F395D">
        <w:tc>
          <w:tcPr>
            <w:tcW w:w="3116" w:type="dxa"/>
          </w:tcPr>
          <w:p w14:paraId="04649BAB" w14:textId="6BA6BBE8" w:rsidR="005F395D" w:rsidRDefault="005F395D">
            <w:r>
              <w:t>Standard/Proficiency</w:t>
            </w:r>
          </w:p>
        </w:tc>
        <w:tc>
          <w:tcPr>
            <w:tcW w:w="3117" w:type="dxa"/>
          </w:tcPr>
          <w:p w14:paraId="22B4988F" w14:textId="28423016" w:rsidR="005F395D" w:rsidRDefault="005F395D">
            <w:r>
              <w:t>Prior</w:t>
            </w:r>
          </w:p>
        </w:tc>
        <w:tc>
          <w:tcPr>
            <w:tcW w:w="3117" w:type="dxa"/>
          </w:tcPr>
          <w:p w14:paraId="054D6A96" w14:textId="2DB6C2D4" w:rsidR="005F395D" w:rsidRDefault="005F395D">
            <w:r>
              <w:t>Adjusted</w:t>
            </w:r>
          </w:p>
        </w:tc>
      </w:tr>
      <w:tr w:rsidR="005F395D" w14:paraId="4C33A47D" w14:textId="77777777" w:rsidTr="005F395D">
        <w:tc>
          <w:tcPr>
            <w:tcW w:w="3116" w:type="dxa"/>
          </w:tcPr>
          <w:p w14:paraId="18E4F56C" w14:textId="7A1A426E" w:rsidR="005F395D" w:rsidRDefault="005F395D">
            <w:r>
              <w:t>Data Reshaping Exceeds</w:t>
            </w:r>
          </w:p>
        </w:tc>
        <w:tc>
          <w:tcPr>
            <w:tcW w:w="3117" w:type="dxa"/>
          </w:tcPr>
          <w:p w14:paraId="22A7E12A" w14:textId="3AECCB0A" w:rsidR="005F395D" w:rsidRDefault="005F395D">
            <w:r>
              <w:t>Can transition data between data frames and lists, and explain the applications of data in a list format.</w:t>
            </w:r>
          </w:p>
        </w:tc>
        <w:tc>
          <w:tcPr>
            <w:tcW w:w="3117" w:type="dxa"/>
          </w:tcPr>
          <w:p w14:paraId="1D75D330" w14:textId="2AEE7772" w:rsidR="005F395D" w:rsidRDefault="00732B9A">
            <w:r>
              <w:t>Can use lists as stores of arbitrary data structures, and subset/combine the data hel</w:t>
            </w:r>
            <w:r w:rsidR="00146DB1">
              <w:t>d</w:t>
            </w:r>
            <w:r>
              <w:t xml:space="preserve"> within them. For example, </w:t>
            </w:r>
            <w:r w:rsidR="00146DB1">
              <w:t xml:space="preserve">can use a list to store iteration output, then later </w:t>
            </w:r>
            <w:r>
              <w:t>combine them</w:t>
            </w:r>
            <w:r w:rsidR="00146DB1">
              <w:t>.</w:t>
            </w:r>
          </w:p>
        </w:tc>
      </w:tr>
      <w:tr w:rsidR="005F395D" w14:paraId="740B7FB6" w14:textId="77777777" w:rsidTr="005F395D">
        <w:tc>
          <w:tcPr>
            <w:tcW w:w="3116" w:type="dxa"/>
          </w:tcPr>
          <w:p w14:paraId="743A3742" w14:textId="505C5F66" w:rsidR="005F395D" w:rsidRDefault="00A42A74">
            <w:r>
              <w:t>Data Aggregation &amp; Subsetting</w:t>
            </w:r>
            <w:r w:rsidR="00F30CC9">
              <w:t xml:space="preserve"> Exceeds</w:t>
            </w:r>
          </w:p>
        </w:tc>
        <w:tc>
          <w:tcPr>
            <w:tcW w:w="3117" w:type="dxa"/>
          </w:tcPr>
          <w:p w14:paraId="7866D5BC" w14:textId="30A47C09" w:rsidR="005F395D" w:rsidRDefault="00D23BB9">
            <w:r>
              <w:t>Can split or merge data sets using either SQL-like calls or approximate matching.</w:t>
            </w:r>
          </w:p>
        </w:tc>
        <w:tc>
          <w:tcPr>
            <w:tcW w:w="3117" w:type="dxa"/>
          </w:tcPr>
          <w:p w14:paraId="1C2289C1" w14:textId="786EE4C9" w:rsidR="005F395D" w:rsidRDefault="00D23BB9">
            <w:r>
              <w:t>Can split or merge data sets using either SQL-like calls</w:t>
            </w:r>
            <w:r>
              <w:t xml:space="preserve"> (such as the </w:t>
            </w:r>
            <w:r w:rsidR="00A42A74">
              <w:t>x_</w:t>
            </w:r>
            <w:r>
              <w:t>join() series of functions)</w:t>
            </w:r>
            <w:r>
              <w:t xml:space="preserve"> or approximate </w:t>
            </w:r>
            <w:r w:rsidR="00A42A74">
              <w:t xml:space="preserve">string </w:t>
            </w:r>
            <w:r>
              <w:t>matching.</w:t>
            </w:r>
          </w:p>
        </w:tc>
      </w:tr>
      <w:tr w:rsidR="00A42A74" w14:paraId="640488E1" w14:textId="77777777" w:rsidTr="005F395D">
        <w:tc>
          <w:tcPr>
            <w:tcW w:w="3116" w:type="dxa"/>
          </w:tcPr>
          <w:p w14:paraId="46464968" w14:textId="152285BD" w:rsidR="00A42A74" w:rsidRDefault="00A42A74">
            <w:r>
              <w:t>Functions</w:t>
            </w:r>
            <w:r w:rsidR="00F30CC9">
              <w:t xml:space="preserve"> Exceeds</w:t>
            </w:r>
          </w:p>
        </w:tc>
        <w:tc>
          <w:tcPr>
            <w:tcW w:w="3117" w:type="dxa"/>
          </w:tcPr>
          <w:p w14:paraId="117AEDA8" w14:textId="0D79776E" w:rsidR="00A42A74" w:rsidRDefault="00A42A74">
            <w:r>
              <w:t>Creates complex functions that can handle arbitrary input. Includes built in error checking and warnings.</w:t>
            </w:r>
          </w:p>
        </w:tc>
        <w:tc>
          <w:tcPr>
            <w:tcW w:w="3117" w:type="dxa"/>
          </w:tcPr>
          <w:p w14:paraId="33FBF576" w14:textId="0A446D9E" w:rsidR="00A42A74" w:rsidRDefault="00CA787F">
            <w:r>
              <w:t>Created f</w:t>
            </w:r>
            <w:r w:rsidR="00A42A74">
              <w:t xml:space="preserve">unctions include conditionals and error checking to test for faulty data and describe the issue. Functions can intake </w:t>
            </w:r>
            <w:r w:rsidR="00BF769B">
              <w:t xml:space="preserve">multiple forms of data and handle both appropriately. For an example, see the “Make it Flex” section of Lab 5. </w:t>
            </w:r>
          </w:p>
        </w:tc>
      </w:tr>
      <w:tr w:rsidR="00BF769B" w14:paraId="43F8513C" w14:textId="77777777" w:rsidTr="005F395D">
        <w:tc>
          <w:tcPr>
            <w:tcW w:w="3116" w:type="dxa"/>
          </w:tcPr>
          <w:p w14:paraId="6CF9791E" w14:textId="0CA2C3C1" w:rsidR="00BF769B" w:rsidRDefault="00BF769B">
            <w:r>
              <w:t>Visualization Structure</w:t>
            </w:r>
            <w:r w:rsidR="00F30CC9">
              <w:t xml:space="preserve"> Exceeds</w:t>
            </w:r>
          </w:p>
        </w:tc>
        <w:tc>
          <w:tcPr>
            <w:tcW w:w="3117" w:type="dxa"/>
          </w:tcPr>
          <w:p w14:paraId="39A863B1" w14:textId="76AE99D7" w:rsidR="00BF769B" w:rsidRDefault="00BF769B">
            <w:r>
              <w:t>Effectively mixes visualization formats or isolates individual elements to clearly communicate a message.</w:t>
            </w:r>
          </w:p>
        </w:tc>
        <w:tc>
          <w:tcPr>
            <w:tcW w:w="3117" w:type="dxa"/>
          </w:tcPr>
          <w:p w14:paraId="0C055771" w14:textId="36ED3F54" w:rsidR="00BF769B" w:rsidRDefault="00BF769B">
            <w:r>
              <w:t>Effectively mixes visualization formats or isolates individual elements to clearly communicate a message.</w:t>
            </w:r>
            <w:r>
              <w:t xml:space="preserve"> For example, including a miniature table of the most important values within a bar plot.</w:t>
            </w:r>
          </w:p>
        </w:tc>
      </w:tr>
      <w:tr w:rsidR="00BF769B" w14:paraId="48C29071" w14:textId="77777777" w:rsidTr="005F395D">
        <w:tc>
          <w:tcPr>
            <w:tcW w:w="3116" w:type="dxa"/>
          </w:tcPr>
          <w:p w14:paraId="1097D999" w14:textId="78802B10" w:rsidR="00BF769B" w:rsidRDefault="00BF769B">
            <w:r>
              <w:t>Data Ethics</w:t>
            </w:r>
            <w:r w:rsidR="00F30CC9">
              <w:t xml:space="preserve"> Meets</w:t>
            </w:r>
          </w:p>
        </w:tc>
        <w:tc>
          <w:tcPr>
            <w:tcW w:w="3117" w:type="dxa"/>
          </w:tcPr>
          <w:p w14:paraId="2C838498" w14:textId="56B146CB" w:rsidR="00BF769B" w:rsidRDefault="00BF769B">
            <w:r>
              <w:t>Reads data documentation to understand data collection/generation and measurements. Can highlight potential concerns specific to the data or project.</w:t>
            </w:r>
          </w:p>
        </w:tc>
        <w:tc>
          <w:tcPr>
            <w:tcW w:w="3117" w:type="dxa"/>
          </w:tcPr>
          <w:p w14:paraId="4C829608" w14:textId="28AE79BA" w:rsidR="00BF769B" w:rsidRDefault="00BF769B">
            <w:r>
              <w:t>Reads data documentation to understand data collection/generation and measurements. Can highlight</w:t>
            </w:r>
            <w:r w:rsidR="004E6F7D">
              <w:t xml:space="preserve"> and explain</w:t>
            </w:r>
            <w:r>
              <w:t xml:space="preserve"> </w:t>
            </w:r>
            <w:r>
              <w:t xml:space="preserve">to readers the </w:t>
            </w:r>
            <w:r>
              <w:t>potential concerns specific to the data or project.</w:t>
            </w:r>
          </w:p>
        </w:tc>
      </w:tr>
      <w:tr w:rsidR="00F30CC9" w14:paraId="751B527B" w14:textId="77777777" w:rsidTr="005F395D">
        <w:tc>
          <w:tcPr>
            <w:tcW w:w="3116" w:type="dxa"/>
          </w:tcPr>
          <w:p w14:paraId="685A3799" w14:textId="15CC2375" w:rsidR="00F30CC9" w:rsidRDefault="00F30CC9">
            <w:r>
              <w:t>Code Style Meets</w:t>
            </w:r>
          </w:p>
        </w:tc>
        <w:tc>
          <w:tcPr>
            <w:tcW w:w="3117" w:type="dxa"/>
          </w:tcPr>
          <w:p w14:paraId="6813E004" w14:textId="3EDBE61A" w:rsidR="00F30CC9" w:rsidRDefault="00F30CC9">
            <w:r>
              <w:t>Consistently comments all code with clearly organized sections. Expected inputs and outputs are clearly explained. Uses error messages or print statements within their code to locate the causes of errors and resolve them.</w:t>
            </w:r>
          </w:p>
        </w:tc>
        <w:tc>
          <w:tcPr>
            <w:tcW w:w="3117" w:type="dxa"/>
          </w:tcPr>
          <w:p w14:paraId="5D85E7D2" w14:textId="7CCFA6C2" w:rsidR="00F30CC9" w:rsidRDefault="00F30CC9">
            <w:r>
              <w:t>Makes use of the built-in section headings in R Studio. For user created functions, the inputs and outputs are clearly explained, and examples are provided</w:t>
            </w:r>
            <w:r w:rsidR="006065FF">
              <w:t>.</w:t>
            </w:r>
          </w:p>
        </w:tc>
      </w:tr>
      <w:tr w:rsidR="006065FF" w14:paraId="78F170F7" w14:textId="77777777" w:rsidTr="005F395D">
        <w:tc>
          <w:tcPr>
            <w:tcW w:w="3116" w:type="dxa"/>
          </w:tcPr>
          <w:p w14:paraId="33D3DBD6" w14:textId="77777777" w:rsidR="006065FF" w:rsidRDefault="006065FF"/>
        </w:tc>
        <w:tc>
          <w:tcPr>
            <w:tcW w:w="3117" w:type="dxa"/>
          </w:tcPr>
          <w:p w14:paraId="61A570EA" w14:textId="01A01021" w:rsidR="006065FF" w:rsidRPr="00AF3B38" w:rsidRDefault="006065FF">
            <w:pPr>
              <w:rPr>
                <w:rFonts w:ascii="Calibri" w:hAnsi="Calibri" w:cs="Calibri"/>
                <w:color w:val="000000"/>
              </w:rPr>
            </w:pPr>
            <w:r>
              <w:rPr>
                <w:rFonts w:ascii="Calibri" w:hAnsi="Calibri" w:cs="Calibri"/>
                <w:color w:val="000000"/>
              </w:rPr>
              <w:t xml:space="preserve">Code is clearly commented, with standardized formatting and indentation. Code contains </w:t>
            </w:r>
            <w:r>
              <w:rPr>
                <w:rFonts w:ascii="Calibri" w:hAnsi="Calibri" w:cs="Calibri"/>
                <w:color w:val="000000"/>
              </w:rPr>
              <w:lastRenderedPageBreak/>
              <w:t>tests which will check for errors, and report those errors if they arise.</w:t>
            </w:r>
          </w:p>
        </w:tc>
        <w:tc>
          <w:tcPr>
            <w:tcW w:w="3117" w:type="dxa"/>
          </w:tcPr>
          <w:p w14:paraId="22E9A87C" w14:textId="26B83185" w:rsidR="006065FF" w:rsidRDefault="006065FF">
            <w:r w:rsidRPr="006065FF">
              <w:lastRenderedPageBreak/>
              <w:t>Includes “sanity checks” for data validity in code.</w:t>
            </w:r>
            <w:r w:rsidR="00AF3B38">
              <w:t xml:space="preserve"> For longer scripts or iterations includes </w:t>
            </w:r>
            <w:r w:rsidR="00AF3B38">
              <w:lastRenderedPageBreak/>
              <w:t>print statements to track execution progress.</w:t>
            </w:r>
          </w:p>
        </w:tc>
      </w:tr>
    </w:tbl>
    <w:p w14:paraId="372DAFF0" w14:textId="77777777" w:rsidR="00CF74CC" w:rsidRDefault="00CF74CC"/>
    <w:sectPr w:rsidR="00CF7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FA"/>
    <w:rsid w:val="00081FFA"/>
    <w:rsid w:val="00146DB1"/>
    <w:rsid w:val="004E6F7D"/>
    <w:rsid w:val="005F395D"/>
    <w:rsid w:val="006065FF"/>
    <w:rsid w:val="00732B9A"/>
    <w:rsid w:val="009A1551"/>
    <w:rsid w:val="00A42A74"/>
    <w:rsid w:val="00AF3B38"/>
    <w:rsid w:val="00BF769B"/>
    <w:rsid w:val="00CA787F"/>
    <w:rsid w:val="00CF74CC"/>
    <w:rsid w:val="00D23BB9"/>
    <w:rsid w:val="00E131BA"/>
    <w:rsid w:val="00F30CC9"/>
    <w:rsid w:val="00FF6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63AA"/>
  <w15:chartTrackingRefBased/>
  <w15:docId w15:val="{53056A4B-C0FA-42DD-9BFB-831F4BBA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5610">
      <w:bodyDiv w:val="1"/>
      <w:marLeft w:val="0"/>
      <w:marRight w:val="0"/>
      <w:marTop w:val="0"/>
      <w:marBottom w:val="0"/>
      <w:divBdr>
        <w:top w:val="none" w:sz="0" w:space="0" w:color="auto"/>
        <w:left w:val="none" w:sz="0" w:space="0" w:color="auto"/>
        <w:bottom w:val="none" w:sz="0" w:space="0" w:color="auto"/>
        <w:right w:val="none" w:sz="0" w:space="0" w:color="auto"/>
      </w:divBdr>
    </w:div>
    <w:div w:id="6978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Joseph</dc:creator>
  <cp:keywords/>
  <dc:description/>
  <cp:lastModifiedBy>Jared Joseph</cp:lastModifiedBy>
  <cp:revision>12</cp:revision>
  <dcterms:created xsi:type="dcterms:W3CDTF">2022-11-17T22:57:00Z</dcterms:created>
  <dcterms:modified xsi:type="dcterms:W3CDTF">2022-11-18T15:59:00Z</dcterms:modified>
</cp:coreProperties>
</file>