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rPr>
          <w:rFonts w:ascii="Arial" w:cs="Arial" w:eastAsia="Arial" w:hAnsi="Arial"/>
          <w:b/>
          <w:bCs/>
          <w:color w:val="1F3864"/>
          <w:sz w:val="56"/>
          <w:szCs w:val="56"/>
        </w:rPr>
        <w:t xml:space="preserve">SOC Threat Intelligence &amp;</w:t>
      </w:r>
    </w:p>
    <w:p>
      <w:pPr>
        <w:spacing w:after="400"/>
        <w:jc w:val="center"/>
      </w:pPr>
      <w:r>
        <w:rPr>
          <w:rFonts w:ascii="Arial" w:cs="Arial" w:eastAsia="Arial" w:hAnsi="Arial"/>
          <w:b/>
          <w:bCs/>
          <w:color w:val="1F3864"/>
          <w:sz w:val="56"/>
          <w:szCs w:val="56"/>
        </w:rPr>
        <w:t xml:space="preserve">Metrics Reporting System</w:t>
      </w:r>
    </w:p>
    <w:p>
      <w:pPr>
        <w:spacing w:after="120"/>
        <w:jc w:val="center"/>
      </w:pPr>
      <w:r>
        <w:rPr>
          <w:rFonts w:ascii="Arial" w:cs="Arial" w:eastAsia="Arial" w:hAnsi="Arial"/>
          <w:color w:val="2E75B6"/>
          <w:sz w:val="28"/>
          <w:szCs w:val="28"/>
        </w:rPr>
        <w:t xml:space="preserve">Catnip Games International</w:t>
      </w:r>
    </w:p>
    <w:p>
      <w:pPr>
        <w:spacing w:after="1440"/>
        <w:jc w:val="center"/>
      </w:pPr>
      <w:r>
        <w:rPr>
          <w:rFonts w:ascii="Arial" w:cs="Arial" w:eastAsia="Arial" w:hAnsi="Arial"/>
          <w:color w:val="555555"/>
          <w:sz w:val="26"/>
          <w:szCs w:val="26"/>
        </w:rPr>
        <w:t xml:space="preserve">Security Operations Centre (SOC) – Project Report</w:t>
      </w:r>
    </w:p>
    <w:p>
      <w:r>
        <w:br w:type="page"/>
      </w:r>
    </w:p>
    <w:p>
      <w:pPr>
        <w:pStyle w:val="Heading1"/>
        <w:shd w:fill="1F3864" w:val="clear"/>
        <w:spacing w:after="160" w:before="320"/>
        <w:ind w:left="200"/>
      </w:pPr>
      <w:r>
        <w:rPr>
          <w:b/>
          <w:bCs/>
          <w:color w:val="FFFFFF"/>
          <w:sz w:val="32"/>
          <w:szCs w:val="32"/>
        </w:rPr>
        <w:t xml:space="preserve">1.  Project Overview</w:t>
      </w:r>
    </w:p>
    <w:p>
      <w:pPr>
        <w:spacing w:after="100"/>
      </w:pPr>
      <w:r>
        <w:rPr>
          <w:sz w:val="22"/>
          <w:szCs w:val="22"/>
        </w:rPr>
        <w:t xml:space="preserve">This project demonstrates the design and implementation of a Security Operations Centre (SOC) prototype. The system integrates five key platforms to deliver end-to-end threat detection, investigation, and performance monitoring.</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Tool</w:t>
            </w:r>
          </w:p>
        </w:tc>
        <w:tc>
          <w:tcPr>
            <w:tcW w:type="dxa" w:w="7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2"/>
                <w:szCs w:val="22"/>
              </w:rPr>
              <w:t xml:space="preserve">Function</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00000"/>
                <w:sz w:val="22"/>
                <w:szCs w:val="22"/>
              </w:rPr>
              <w:t xml:space="preserve">MISP</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Threat intelligence platform – stores and shares IOCs and threat events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00000"/>
                <w:sz w:val="22"/>
                <w:szCs w:val="22"/>
              </w:rPr>
              <w:t xml:space="preserve">TheHive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Incident response and case management system</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00000"/>
                <w:sz w:val="22"/>
                <w:szCs w:val="22"/>
              </w:rPr>
              <w:t xml:space="preserve">Cortex</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Automated enrichment engine – runs analysers on observables</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00000"/>
                <w:sz w:val="22"/>
                <w:szCs w:val="22"/>
              </w:rPr>
              <w:t xml:space="preserve">Elasticsearch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Centralised log and alert storage backend</w:t>
            </w:r>
          </w:p>
        </w:tc>
      </w:tr>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000000"/>
                <w:sz w:val="22"/>
                <w:szCs w:val="22"/>
              </w:rPr>
              <w:t xml:space="preserve">Kibana</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Metrics visualisation and SOC performance dashboards</w:t>
            </w:r>
          </w:p>
        </w:tc>
      </w:tr>
    </w:tbl>
    <w:p>
      <w:pPr>
        <w:spacing w:after="120"/>
      </w:pPr>
      <w:r>
        <w:t xml:space="preserve"/>
      </w:r>
    </w:p>
    <w:p>
      <w:pPr>
        <w:pStyle w:val="Heading1"/>
        <w:shd w:fill="1F3864" w:val="clear"/>
        <w:spacing w:after="160" w:before="320"/>
        <w:ind w:left="200"/>
      </w:pPr>
      <w:r>
        <w:rPr>
          <w:b/>
          <w:bCs/>
          <w:color w:val="FFFFFF"/>
          <w:sz w:val="32"/>
          <w:szCs w:val="32"/>
        </w:rPr>
        <w:t xml:space="preserve">2.  My Role</w:t>
      </w:r>
    </w:p>
    <w:p>
      <w:pPr>
        <w:pStyle w:val="Heading2"/>
        <w:pBdr>
          <w:bottom w:val="single" w:color="2E75B6" w:sz="6" w:space="2"/>
        </w:pBdr>
        <w:spacing w:after="120" w:before="280"/>
      </w:pPr>
      <w:r>
        <w:rPr>
          <w:b/>
          <w:bCs/>
          <w:color w:val="2E75B6"/>
          <w:sz w:val="26"/>
          <w:szCs w:val="26"/>
        </w:rPr>
        <w:t xml:space="preserve">2.1  Threat Intelligence (MISP)</w:t>
      </w:r>
    </w:p>
    <w:p>
      <w:pPr>
        <w:pStyle w:val="ListParagraph"/>
        <w:numPr>
          <w:ilvl w:val="0"/>
          <w:numId w:val="2"/>
        </w:numPr>
        <w:spacing w:after="80"/>
      </w:pPr>
      <w:r>
        <w:rPr>
          <w:sz w:val="22"/>
          <w:szCs w:val="22"/>
        </w:rPr>
        <w:t xml:space="preserve">Created structured threat events within MISP</w:t>
      </w:r>
    </w:p>
    <w:p>
      <w:pPr>
        <w:pStyle w:val="ListParagraph"/>
        <w:numPr>
          <w:ilvl w:val="0"/>
          <w:numId w:val="2"/>
        </w:numPr>
        <w:spacing w:after="80"/>
      </w:pPr>
      <w:r>
        <w:rPr>
          <w:sz w:val="22"/>
          <w:szCs w:val="22"/>
        </w:rPr>
        <w:t xml:space="preserve">Managed Indicators of Compromise (IOCs): IP addresses, domains, and file hashes</w:t>
      </w:r>
    </w:p>
    <w:p>
      <w:pPr>
        <w:pStyle w:val="ListParagraph"/>
        <w:numPr>
          <w:ilvl w:val="0"/>
          <w:numId w:val="2"/>
        </w:numPr>
        <w:spacing w:after="80"/>
      </w:pPr>
      <w:r>
        <w:rPr>
          <w:sz w:val="22"/>
          <w:szCs w:val="22"/>
        </w:rPr>
        <w:t xml:space="preserve">Ensured accurate integration of threat intelligence into the wider SOC workflow</w:t>
      </w:r>
    </w:p>
    <w:p>
      <w:pPr>
        <w:pStyle w:val="Heading2"/>
        <w:pBdr>
          <w:bottom w:val="single" w:color="2E75B6" w:sz="6" w:space="2"/>
        </w:pBdr>
        <w:spacing w:after="120" w:before="280"/>
      </w:pPr>
      <w:r>
        <w:rPr>
          <w:b/>
          <w:bCs/>
          <w:color w:val="2E75B6"/>
          <w:sz w:val="26"/>
          <w:szCs w:val="26"/>
        </w:rPr>
        <w:t xml:space="preserve">2.2  Metrics &amp; Reporting</w:t>
      </w:r>
    </w:p>
    <w:p>
      <w:pPr>
        <w:pStyle w:val="ListParagraph"/>
        <w:numPr>
          <w:ilvl w:val="0"/>
          <w:numId w:val="2"/>
        </w:numPr>
        <w:spacing w:after="80"/>
      </w:pPr>
      <w:r>
        <w:rPr>
          <w:sz w:val="22"/>
          <w:szCs w:val="22"/>
        </w:rPr>
        <w:t xml:space="preserve">Defined and implemented key SOC KPIs (see Section 5)</w:t>
      </w:r>
    </w:p>
    <w:p>
      <w:pPr>
        <w:pStyle w:val="ListParagraph"/>
        <w:numPr>
          <w:ilvl w:val="0"/>
          <w:numId w:val="2"/>
        </w:numPr>
        <w:spacing w:after="80"/>
      </w:pPr>
      <w:r>
        <w:rPr>
          <w:sz w:val="22"/>
          <w:szCs w:val="22"/>
        </w:rPr>
        <w:t xml:space="preserve">Collected and analysed performance data from all SOC tools</w:t>
      </w:r>
    </w:p>
    <w:p>
      <w:pPr>
        <w:pStyle w:val="ListParagraph"/>
        <w:numPr>
          <w:ilvl w:val="0"/>
          <w:numId w:val="2"/>
        </w:numPr>
        <w:spacing w:after="80"/>
      </w:pPr>
      <w:r>
        <w:rPr>
          <w:sz w:val="22"/>
          <w:szCs w:val="22"/>
        </w:rPr>
        <w:t xml:space="preserve">Built dashboards to measure SOC effectiveness in near real-time</w:t>
      </w:r>
    </w:p>
    <w:p>
      <w:pPr>
        <w:spacing w:after="120"/>
      </w:pPr>
      <w:r>
        <w:t xml:space="preserve"/>
      </w:r>
    </w:p>
    <w:p>
      <w:pPr>
        <w:pStyle w:val="Heading1"/>
        <w:shd w:fill="1F3864" w:val="clear"/>
        <w:spacing w:after="160" w:before="320"/>
        <w:ind w:left="200"/>
      </w:pPr>
      <w:r>
        <w:rPr>
          <w:b/>
          <w:bCs/>
          <w:color w:val="FFFFFF"/>
          <w:sz w:val="32"/>
          <w:szCs w:val="32"/>
        </w:rPr>
        <w:t xml:space="preserve">3.  MISP – TheHive Integration</w:t>
      </w:r>
    </w:p>
    <w:p>
      <w:pPr>
        <w:spacing w:after="100"/>
      </w:pPr>
      <w:r>
        <w:rPr>
          <w:sz w:val="22"/>
          <w:szCs w:val="22"/>
        </w:rPr>
        <w:t xml:space="preserve">Establishing reliable communication between the threat intelligence layer (MISP) and the case management platform (TheHive) was a central goal of this project.</w:t>
      </w:r>
    </w:p>
    <w:p>
      <w:pPr>
        <w:pStyle w:val="Heading2"/>
        <w:pBdr>
          <w:bottom w:val="single" w:color="2E75B6" w:sz="6" w:space="2"/>
        </w:pBdr>
        <w:spacing w:after="120" w:before="280"/>
      </w:pPr>
      <w:r>
        <w:rPr>
          <w:b/>
          <w:bCs/>
          <w:color w:val="2E75B6"/>
          <w:sz w:val="26"/>
          <w:szCs w:val="26"/>
        </w:rPr>
        <w:t xml:space="preserve">3.1  Validation Steps</w:t>
      </w:r>
    </w:p>
    <w:p>
      <w:pPr>
        <w:pStyle w:val="ListParagraph"/>
        <w:numPr>
          <w:ilvl w:val="0"/>
          <w:numId w:val="2"/>
        </w:numPr>
        <w:spacing w:after="80"/>
      </w:pPr>
      <w:r>
        <w:rPr>
          <w:sz w:val="22"/>
          <w:szCs w:val="22"/>
        </w:rPr>
        <w:t xml:space="preserve">Verified API connectivity between MISP and TheHive</w:t>
      </w:r>
    </w:p>
    <w:p>
      <w:pPr>
        <w:pStyle w:val="ListParagraph"/>
        <w:numPr>
          <w:ilvl w:val="0"/>
          <w:numId w:val="2"/>
        </w:numPr>
        <w:spacing w:after="80"/>
      </w:pPr>
      <w:r>
        <w:rPr>
          <w:sz w:val="22"/>
          <w:szCs w:val="22"/>
        </w:rPr>
        <w:t xml:space="preserve">Identified a critical operational requirement during testing:</w:t>
      </w:r>
    </w:p>
    <w:p>
      <w:pPr>
        <w:pBdr>
          <w:left w:val="single" w:color="2E75B6" w:sz="12" w:space="4"/>
        </w:pBdr>
        <w:shd w:fill="D5E8F0" w:val="clear"/>
        <w:spacing w:after="160" w:before="80"/>
        <w:ind w:left="360" w:right="360"/>
      </w:pPr>
      <w:r>
        <w:rPr>
          <w:b/>
          <w:bCs/>
          <w:color w:val="1F3864"/>
          <w:sz w:val="22"/>
          <w:szCs w:val="22"/>
        </w:rPr>
        <w:t xml:space="preserve">MISP events must be published before they can be ingested into TheHive. Unpublished events are invisible to the integration.</w:t>
      </w:r>
    </w:p>
    <w:p>
      <w:pPr>
        <w:pStyle w:val="Heading2"/>
        <w:pBdr>
          <w:bottom w:val="single" w:color="2E75B6" w:sz="6" w:space="2"/>
        </w:pBdr>
        <w:spacing w:after="120" w:before="280"/>
      </w:pPr>
      <w:r>
        <w:rPr>
          <w:b/>
          <w:bCs/>
          <w:color w:val="2E75B6"/>
          <w:sz w:val="26"/>
          <w:szCs w:val="26"/>
        </w:rPr>
        <w:t xml:space="preserve">3.2  Outcome</w:t>
      </w:r>
    </w:p>
    <w:p>
      <w:pPr>
        <w:pStyle w:val="ListParagraph"/>
        <w:numPr>
          <w:ilvl w:val="0"/>
          <w:numId w:val="2"/>
        </w:numPr>
        <w:spacing w:after="80"/>
      </w:pPr>
      <w:r>
        <w:rPr>
          <w:sz w:val="22"/>
          <w:szCs w:val="22"/>
        </w:rPr>
        <w:t xml:space="preserve">MISP events successfully ingested as actionable alerts in TheHive</w:t>
      </w:r>
    </w:p>
    <w:p>
      <w:pPr>
        <w:pStyle w:val="ListParagraph"/>
        <w:numPr>
          <w:ilvl w:val="0"/>
          <w:numId w:val="2"/>
        </w:numPr>
        <w:spacing w:after="80"/>
      </w:pPr>
      <w:r>
        <w:rPr>
          <w:sz w:val="22"/>
          <w:szCs w:val="22"/>
        </w:rPr>
        <w:t xml:space="preserve">All metadata preserved on transfer: TLP classification, severity level, and tags</w:t>
      </w:r>
    </w:p>
    <w:p>
      <w:pPr>
        <w:spacing w:after="120"/>
      </w:pPr>
      <w:r>
        <w:t xml:space="preserve"/>
      </w:r>
    </w:p>
    <w:p>
      <w:pPr>
        <w:pStyle w:val="Heading1"/>
        <w:shd w:fill="1F3864" w:val="clear"/>
        <w:spacing w:after="160" w:before="320"/>
        <w:ind w:left="200"/>
      </w:pPr>
      <w:r>
        <w:rPr>
          <w:b/>
          <w:bCs/>
          <w:color w:val="FFFFFF"/>
          <w:sz w:val="32"/>
          <w:szCs w:val="32"/>
        </w:rPr>
        <w:t xml:space="preserve">4.  Incident Handling Workflow</w:t>
      </w:r>
    </w:p>
    <w:p>
      <w:pPr>
        <w:spacing w:after="100"/>
      </w:pPr>
      <w:r>
        <w:rPr>
          <w:sz w:val="22"/>
          <w:szCs w:val="22"/>
        </w:rPr>
        <w:t xml:space="preserve">The following end-to-end workflow was validated during the project:</w:t>
      </w:r>
    </w:p>
    <w:p>
      <w:pPr>
        <w:spacing w:after="60"/>
      </w:pPr>
      <w:r>
        <w:t xml:space="preserve"/>
      </w:r>
    </w:p>
    <w:p>
      <w:pPr>
        <w:pStyle w:val="ListParagraph"/>
        <w:numPr>
          <w:ilvl w:val="0"/>
          <w:numId w:val="3"/>
        </w:numPr>
        <w:spacing w:after="100"/>
      </w:pPr>
      <w:r>
        <w:rPr>
          <w:sz w:val="22"/>
          <w:szCs w:val="22"/>
        </w:rPr>
        <w:t xml:space="preserve">Threat intelligence is created and structured inside MISP.</w:t>
      </w:r>
    </w:p>
    <w:p>
      <w:pPr>
        <w:pStyle w:val="ListParagraph"/>
        <w:numPr>
          <w:ilvl w:val="0"/>
          <w:numId w:val="3"/>
        </w:numPr>
        <w:spacing w:after="100"/>
      </w:pPr>
      <w:r>
        <w:rPr>
          <w:sz w:val="22"/>
          <w:szCs w:val="22"/>
        </w:rPr>
        <w:t xml:space="preserve">The event is published, making it visible to the integration layer.</w:t>
      </w:r>
    </w:p>
    <w:p>
      <w:pPr>
        <w:pStyle w:val="ListParagraph"/>
        <w:numPr>
          <w:ilvl w:val="0"/>
          <w:numId w:val="3"/>
        </w:numPr>
        <w:spacing w:after="100"/>
      </w:pPr>
      <w:r>
        <w:rPr>
          <w:sz w:val="22"/>
          <w:szCs w:val="22"/>
        </w:rPr>
        <w:t xml:space="preserve">The alert is automatically ingested into TheHive.</w:t>
      </w:r>
    </w:p>
    <w:p>
      <w:pPr>
        <w:pStyle w:val="ListParagraph"/>
        <w:numPr>
          <w:ilvl w:val="0"/>
          <w:numId w:val="3"/>
        </w:numPr>
        <w:spacing w:after="100"/>
      </w:pPr>
      <w:r>
        <w:rPr>
          <w:sz w:val="22"/>
          <w:szCs w:val="22"/>
        </w:rPr>
        <w:t xml:space="preserve">The alert is promoted and converted into a formal incident case.</w:t>
      </w:r>
    </w:p>
    <w:p>
      <w:pPr>
        <w:pStyle w:val="ListParagraph"/>
        <w:numPr>
          <w:ilvl w:val="0"/>
          <w:numId w:val="3"/>
        </w:numPr>
        <w:spacing w:after="100"/>
      </w:pPr>
      <w:r>
        <w:rPr>
          <w:sz w:val="22"/>
          <w:szCs w:val="22"/>
        </w:rPr>
        <w:t xml:space="preserve">Observables (IP addresses, domains) are extracted from the case.</w:t>
      </w:r>
    </w:p>
    <w:p>
      <w:pPr>
        <w:pStyle w:val="ListParagraph"/>
        <w:numPr>
          <w:ilvl w:val="0"/>
          <w:numId w:val="3"/>
        </w:numPr>
        <w:spacing w:after="100"/>
      </w:pPr>
      <w:r>
        <w:rPr>
          <w:sz w:val="22"/>
          <w:szCs w:val="22"/>
        </w:rPr>
        <w:t xml:space="preserve">Cortex analysers are triggered to enrich each observable automatically.</w:t>
      </w:r>
    </w:p>
    <w:p>
      <w:pPr>
        <w:pStyle w:val="ListParagraph"/>
        <w:numPr>
          <w:ilvl w:val="0"/>
          <w:numId w:val="3"/>
        </w:numPr>
        <w:spacing w:after="100"/>
      </w:pPr>
      <w:r>
        <w:rPr>
          <w:sz w:val="22"/>
          <w:szCs w:val="22"/>
        </w:rPr>
        <w:t xml:space="preserve">The analyst reviews enrichment results, determines risk, and resolves the case.</w:t>
      </w:r>
    </w:p>
    <w:p>
      <w:pPr>
        <w:spacing w:after="120"/>
      </w:pPr>
      <w:r>
        <w:t xml:space="preserve"/>
      </w:r>
    </w:p>
    <w:p>
      <w:pPr>
        <w:pStyle w:val="Heading1"/>
        <w:shd w:fill="1F3864" w:val="clear"/>
        <w:spacing w:after="160" w:before="320"/>
        <w:ind w:left="200"/>
      </w:pPr>
      <w:r>
        <w:rPr>
          <w:b/>
          <w:bCs/>
          <w:color w:val="FFFFFF"/>
          <w:sz w:val="32"/>
          <w:szCs w:val="32"/>
        </w:rPr>
        <w:t xml:space="preserve">5.  Investigation &amp; Enrichment</w:t>
      </w:r>
    </w:p>
    <w:p>
      <w:pPr>
        <w:spacing w:after="100"/>
      </w:pPr>
      <w:r>
        <w:rPr>
          <w:sz w:val="22"/>
          <w:szCs w:val="22"/>
        </w:rPr>
        <w:t xml:space="preserve">Observable enrichment was performed using Cortex, which interfaces with external threat-intelligence services.</w:t>
      </w:r>
    </w:p>
    <w:p>
      <w:pPr>
        <w:pStyle w:val="Heading2"/>
        <w:pBdr>
          <w:bottom w:val="single" w:color="2E75B6" w:sz="6" w:space="2"/>
        </w:pBdr>
        <w:spacing w:after="120" w:before="280"/>
      </w:pPr>
      <w:r>
        <w:rPr>
          <w:b/>
          <w:bCs/>
          <w:color w:val="2E75B6"/>
          <w:sz w:val="26"/>
          <w:szCs w:val="26"/>
        </w:rPr>
        <w:t xml:space="preserve">5.1  Analysers Executed</w:t>
      </w:r>
    </w:p>
    <w:p>
      <w:pPr>
        <w:pStyle w:val="ListParagraph"/>
        <w:numPr>
          <w:ilvl w:val="0"/>
          <w:numId w:val="2"/>
        </w:numPr>
        <w:spacing w:after="80"/>
      </w:pPr>
      <w:r>
        <w:rPr>
          <w:sz w:val="22"/>
          <w:szCs w:val="22"/>
        </w:rPr>
        <w:t xml:space="preserve">VirusTotal – file hash and URL reputation lookup</w:t>
      </w:r>
    </w:p>
    <w:p>
      <w:pPr>
        <w:pStyle w:val="ListParagraph"/>
        <w:numPr>
          <w:ilvl w:val="0"/>
          <w:numId w:val="2"/>
        </w:numPr>
        <w:spacing w:after="80"/>
      </w:pPr>
      <w:r>
        <w:rPr>
          <w:sz w:val="22"/>
          <w:szCs w:val="22"/>
        </w:rPr>
        <w:t xml:space="preserve">AbuseIPDB – IP address abuse and geolocation data</w:t>
      </w:r>
    </w:p>
    <w:p>
      <w:pPr>
        <w:pStyle w:val="Heading2"/>
        <w:pBdr>
          <w:bottom w:val="single" w:color="2E75B6" w:sz="6" w:space="2"/>
        </w:pBdr>
        <w:spacing w:after="120" w:before="280"/>
      </w:pPr>
      <w:r>
        <w:rPr>
          <w:b/>
          <w:bCs/>
          <w:color w:val="2E75B6"/>
          <w:sz w:val="26"/>
          <w:szCs w:val="26"/>
        </w:rPr>
        <w:t xml:space="preserve">5.2  Analysis Outputs</w:t>
      </w:r>
    </w:p>
    <w:p>
      <w:pPr>
        <w:pStyle w:val="ListParagraph"/>
        <w:numPr>
          <w:ilvl w:val="0"/>
          <w:numId w:val="2"/>
        </w:numPr>
        <w:spacing w:after="80"/>
      </w:pPr>
      <w:r>
        <w:rPr>
          <w:sz w:val="22"/>
          <w:szCs w:val="22"/>
        </w:rPr>
        <w:t xml:space="preserve">Risk level assigned to each observable</w:t>
      </w:r>
    </w:p>
    <w:p>
      <w:pPr>
        <w:pStyle w:val="ListParagraph"/>
        <w:numPr>
          <w:ilvl w:val="0"/>
          <w:numId w:val="2"/>
        </w:numPr>
        <w:spacing w:after="80"/>
      </w:pPr>
      <w:r>
        <w:rPr>
          <w:sz w:val="22"/>
          <w:szCs w:val="22"/>
        </w:rPr>
        <w:t xml:space="preserve">Threat classification applied (e.g., malware C2, phishing, scanning)</w:t>
      </w:r>
    </w:p>
    <w:p>
      <w:pPr>
        <w:pStyle w:val="ListParagraph"/>
        <w:numPr>
          <w:ilvl w:val="0"/>
          <w:numId w:val="2"/>
        </w:numPr>
        <w:spacing w:after="80"/>
      </w:pPr>
      <w:r>
        <w:rPr>
          <w:sz w:val="22"/>
          <w:szCs w:val="22"/>
        </w:rPr>
        <w:t xml:space="preserve">Findings used to inform case closure decisions</w:t>
      </w:r>
    </w:p>
    <w:p>
      <w:pPr>
        <w:spacing w:after="120"/>
      </w:pPr>
      <w:r>
        <w:t xml:space="preserve"/>
      </w:r>
    </w:p>
    <w:p>
      <w:pPr>
        <w:pStyle w:val="Heading1"/>
        <w:shd w:fill="1F3864" w:val="clear"/>
        <w:spacing w:after="160" w:before="320"/>
        <w:ind w:left="200"/>
      </w:pPr>
      <w:r>
        <w:rPr>
          <w:b/>
          <w:bCs/>
          <w:color w:val="FFFFFF"/>
          <w:sz w:val="32"/>
          <w:szCs w:val="32"/>
        </w:rPr>
        <w:t xml:space="preserve">6.  Metrics &amp; Reporting</w:t>
      </w:r>
    </w:p>
    <w:p>
      <w:pPr>
        <w:pStyle w:val="Heading2"/>
        <w:pBdr>
          <w:bottom w:val="single" w:color="2E75B6" w:sz="6" w:space="2"/>
        </w:pBdr>
        <w:spacing w:after="120" w:before="280"/>
      </w:pPr>
      <w:r>
        <w:rPr>
          <w:b/>
          <w:bCs/>
          <w:color w:val="2E75B6"/>
          <w:sz w:val="26"/>
          <w:szCs w:val="26"/>
        </w:rPr>
        <w:t xml:space="preserve">6.1  Key Performance Indicators</w:t>
      </w:r>
    </w:p>
    <w:p>
      <w:pPr>
        <w:spacing w:after="100"/>
      </w:pPr>
      <w:r>
        <w:rPr>
          <w:sz w:val="22"/>
          <w:szCs w:val="22"/>
        </w:rPr>
        <w:t xml:space="preserve">The following KPIs were implemented to measure SOC performance: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2"/>
                <w:szCs w:val="22"/>
              </w:rPr>
              <w:t xml:space="preserve">KPI</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r>
              <w:rPr>
                <w:b/>
                <w:bCs/>
                <w:color w:val="FFFFFF"/>
                <w:sz w:val="22"/>
                <w:szCs w:val="22"/>
              </w:rPr>
              <w:t xml:space="preserve">Description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MTTD – Mean Time To Detect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How quickly threats are identified after occurrence</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000000"/>
                <w:sz w:val="22"/>
                <w:szCs w:val="22"/>
              </w:rPr>
              <w:t xml:space="preserve">MTTR – Mean Time To Respond</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000000"/>
                <w:sz w:val="22"/>
                <w:szCs w:val="22"/>
              </w:rPr>
              <w:t xml:space="preserve">Time taken to fully resolve a confirmed incident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Alerts per Day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Total volume of SOC alerts; measures analyst workload</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000000"/>
                <w:sz w:val="22"/>
                <w:szCs w:val="22"/>
              </w:rPr>
              <w:t xml:space="preserve">Incidents per Day</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r>
              <w:rPr>
                <w:b w:val="false"/>
                <w:bCs w:val="false"/>
                <w:color w:val="000000"/>
                <w:sz w:val="22"/>
                <w:szCs w:val="22"/>
              </w:rPr>
              <w:t xml:space="preserve">Confirmed threats escalated to incident cases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Severity Distribution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b w:val="false"/>
                <w:bCs w:val="false"/>
                <w:color w:val="000000"/>
                <w:sz w:val="22"/>
                <w:szCs w:val="22"/>
              </w:rPr>
              <w:t xml:space="preserve">Breakdown of Low / Medium / High / Critical incidents</w:t>
            </w:r>
          </w:p>
        </w:tc>
      </w:tr>
    </w:tbl>
    <w:p>
      <w:pPr>
        <w:spacing w:after="120"/>
      </w:pPr>
      <w:r>
        <w:t xml:space="preserve"/>
      </w:r>
    </w:p>
    <w:p>
      <w:pPr>
        <w:pStyle w:val="Heading2"/>
        <w:pBdr>
          <w:bottom w:val="single" w:color="2E75B6" w:sz="6" w:space="2"/>
        </w:pBdr>
        <w:spacing w:after="120" w:before="280"/>
      </w:pPr>
      <w:r>
        <w:rPr>
          <w:b/>
          <w:bCs/>
          <w:color w:val="2E75B6"/>
          <w:sz w:val="26"/>
          <w:szCs w:val="26"/>
        </w:rPr>
        <w:t xml:space="preserve">6.2  Dashboard Capabilities</w:t>
      </w:r>
    </w:p>
    <w:p>
      <w:pPr>
        <w:pStyle w:val="ListParagraph"/>
        <w:numPr>
          <w:ilvl w:val="0"/>
          <w:numId w:val="2"/>
        </w:numPr>
        <w:spacing w:after="80"/>
      </w:pPr>
      <w:r>
        <w:rPr>
          <w:sz w:val="22"/>
          <w:szCs w:val="22"/>
        </w:rPr>
        <w:t xml:space="preserve">Real-time incident tracking across all severity levels</w:t>
      </w:r>
    </w:p>
    <w:p>
      <w:pPr>
        <w:pStyle w:val="ListParagraph"/>
        <w:numPr>
          <w:ilvl w:val="0"/>
          <w:numId w:val="2"/>
        </w:numPr>
        <w:spacing w:after="80"/>
      </w:pPr>
      <w:r>
        <w:rPr>
          <w:sz w:val="22"/>
          <w:szCs w:val="22"/>
        </w:rPr>
        <w:t xml:space="preserve">Threat timeline analysis for pattern identification</w:t>
      </w:r>
    </w:p>
    <w:p>
      <w:pPr>
        <w:pStyle w:val="ListParagraph"/>
        <w:numPr>
          <w:ilvl w:val="0"/>
          <w:numId w:val="2"/>
        </w:numPr>
        <w:spacing w:after="80"/>
      </w:pPr>
      <w:r>
        <w:rPr>
          <w:sz w:val="22"/>
          <w:szCs w:val="22"/>
        </w:rPr>
        <w:t xml:space="preserve">Analyser performance statistics (response time, success rate)</w:t>
      </w:r>
    </w:p>
    <w:p>
      <w:pPr>
        <w:pStyle w:val="ListParagraph"/>
        <w:numPr>
          <w:ilvl w:val="0"/>
          <w:numId w:val="2"/>
        </w:numPr>
        <w:spacing w:after="80"/>
      </w:pPr>
      <w:r>
        <w:rPr>
          <w:sz w:val="22"/>
          <w:szCs w:val="22"/>
        </w:rPr>
        <w:t xml:space="preserve">Severity breakdown charts for workload prioritisation</w:t>
      </w:r>
    </w:p>
    <w:p>
      <w:pPr>
        <w:spacing w:after="120"/>
      </w:pPr>
      <w:r>
        <w:t xml:space="preserve"/>
      </w:r>
    </w:p>
    <w:p>
      <w:pPr>
        <w:pStyle w:val="Heading1"/>
        <w:shd w:fill="1F3864" w:val="clear"/>
        <w:spacing w:after="160" w:before="320"/>
        <w:ind w:left="200"/>
      </w:pPr>
      <w:r>
        <w:rPr>
          <w:b/>
          <w:bCs/>
          <w:color w:val="FFFFFF"/>
          <w:sz w:val="32"/>
          <w:szCs w:val="32"/>
        </w:rPr>
        <w:t xml:space="preserve">7.  Key Achievements</w:t>
      </w:r>
    </w:p>
    <w:p>
      <w:pPr>
        <w:pStyle w:val="ListParagraph"/>
        <w:numPr>
          <w:ilvl w:val="0"/>
          <w:numId w:val="2"/>
        </w:numPr>
        <w:spacing w:after="80"/>
      </w:pPr>
      <w:r>
        <w:rPr>
          <w:sz w:val="22"/>
          <w:szCs w:val="22"/>
        </w:rPr>
        <w:t xml:space="preserve">Successfully validated an end-to-end SOC workflow from intelligence creation to case closure</w:t>
      </w:r>
    </w:p>
    <w:p>
      <w:pPr>
        <w:pStyle w:val="ListParagraph"/>
        <w:numPr>
          <w:ilvl w:val="0"/>
          <w:numId w:val="2"/>
        </w:numPr>
        <w:spacing w:after="80"/>
      </w:pPr>
      <w:r>
        <w:rPr>
          <w:sz w:val="22"/>
          <w:szCs w:val="22"/>
        </w:rPr>
        <w:t xml:space="preserve">Ensured accurate and metadata-complete threat intelligence integration across all platforms</w:t>
      </w:r>
    </w:p>
    <w:p>
      <w:pPr>
        <w:pStyle w:val="ListParagraph"/>
        <w:numPr>
          <w:ilvl w:val="0"/>
          <w:numId w:val="2"/>
        </w:numPr>
        <w:spacing w:after="80"/>
      </w:pPr>
      <w:r>
        <w:rPr>
          <w:sz w:val="22"/>
          <w:szCs w:val="22"/>
        </w:rPr>
        <w:t xml:space="preserve">Enabled data-driven incident response through live KPI dashboards</w:t>
      </w:r>
    </w:p>
    <w:p>
      <w:pPr>
        <w:pStyle w:val="ListParagraph"/>
        <w:numPr>
          <w:ilvl w:val="0"/>
          <w:numId w:val="2"/>
        </w:numPr>
        <w:spacing w:after="80"/>
      </w:pPr>
      <w:r>
        <w:rPr>
          <w:sz w:val="22"/>
          <w:szCs w:val="22"/>
        </w:rPr>
        <w:t xml:space="preserve">Demonstrated practical, real-world SOC operations at a functional prototype level</w:t>
      </w:r>
    </w:p>
    <w:p>
      <w:pPr>
        <w:spacing w:after="120"/>
      </w:pPr>
      <w:r>
        <w:t xml:space="preserve"/>
      </w:r>
    </w:p>
    <w:p>
      <w:pPr>
        <w:pStyle w:val="Heading1"/>
        <w:shd w:fill="1F3864" w:val="clear"/>
        <w:spacing w:after="160" w:before="320"/>
        <w:ind w:left="200"/>
      </w:pPr>
      <w:r>
        <w:rPr>
          <w:b/>
          <w:bCs/>
          <w:color w:val="FFFFFF"/>
          <w:sz w:val="32"/>
          <w:szCs w:val="32"/>
        </w:rPr>
        <w:t xml:space="preserve">8.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2"/>
                <w:szCs w:val="22"/>
              </w:rPr>
              <w:t xml:space="preserve">Problem</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MISP events were not appearing as alerts in TheHive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2"/>
                <w:szCs w:val="22"/>
              </w:rPr>
              <w:t xml:space="preserve">Root Cause</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Events had not been published in MISP before the integration ran</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2"/>
                <w:szCs w:val="22"/>
              </w:rPr>
              <w:t xml:space="preserve">Solution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Enforced the correct publishing workflow as a mandatory step in the operating procedure</w:t>
            </w:r>
          </w:p>
        </w:tc>
      </w:tr>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color w:val="1F3864"/>
                <w:sz w:val="22"/>
                <w:szCs w:val="22"/>
              </w:rPr>
              <w:t xml:space="preserve">Result</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2"/>
                <w:szCs w:val="22"/>
              </w:rPr>
              <w:t xml:space="preserve">Integration operated successfully; alerts ingested reliably with full metadata</w:t>
            </w:r>
          </w:p>
        </w:tc>
      </w:tr>
    </w:tbl>
    <w:p>
      <w:pPr>
        <w:spacing w:after="120"/>
      </w:pPr>
      <w:r>
        <w:t xml:space="preserve"/>
      </w:r>
    </w:p>
    <w:p>
      <w:pPr>
        <w:pStyle w:val="Heading1"/>
        <w:shd w:fill="1F3864" w:val="clear"/>
        <w:spacing w:after="160" w:before="320"/>
        <w:ind w:left="200"/>
      </w:pPr>
      <w:r>
        <w:rPr>
          <w:b/>
          <w:bCs/>
          <w:color w:val="FFFFFF"/>
          <w:sz w:val="32"/>
          <w:szCs w:val="32"/>
        </w:rPr>
        <w:t xml:space="preserve">9.  Team Collaboration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Responsibility</w:t>
            </w:r>
          </w:p>
        </w:tc>
        <w:tc>
          <w:tcPr>
            <w:tcW w:type="dxa" w:w="5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b/>
                <w:bCs/>
                <w:color w:val="FFFFFF"/>
                <w:sz w:val="22"/>
                <w:szCs w:val="22"/>
              </w:rPr>
              <w:t xml:space="preserve">Team Member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MISP deployment &amp; configuration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Team member</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2"/>
                <w:szCs w:val="22"/>
              </w:rPr>
              <w:t xml:space="preserve">Cortex analyser development</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2"/>
                <w:szCs w:val="22"/>
              </w:rPr>
              <w:t xml:space="preserve">Team member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Integration validation &amp; testing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My contribution</w:t>
            </w:r>
          </w:p>
        </w:tc>
      </w:tr>
      <w:tr>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2"/>
                <w:szCs w:val="22"/>
              </w:rPr>
              <w:t xml:space="preserve">Incident investigation</w:t>
            </w:r>
          </w:p>
        </w:tc>
        <w:tc>
          <w:tcPr>
            <w:tcW w:type="dxa" w:w="5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b w:val="false"/>
                <w:bCs w:val="false"/>
                <w:color w:val="000000"/>
                <w:sz w:val="22"/>
                <w:szCs w:val="22"/>
              </w:rPr>
              <w:t xml:space="preserve">My contribution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Metrics design &amp; reporting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color w:val="000000"/>
                <w:sz w:val="22"/>
                <w:szCs w:val="22"/>
              </w:rPr>
              <w:t xml:space="preserve">My contribution</w:t>
            </w:r>
          </w:p>
        </w:tc>
      </w:tr>
    </w:tbl>
    <w:p>
      <w:pPr>
        <w:spacing w:after="120"/>
      </w:pPr>
      <w:r>
        <w:t xml:space="preserve"/>
      </w:r>
    </w:p>
    <w:p>
      <w:pPr>
        <w:pStyle w:val="Heading1"/>
        <w:shd w:fill="1F3864" w:val="clear"/>
        <w:spacing w:after="160" w:before="320"/>
        <w:ind w:left="200"/>
      </w:pPr>
      <w:r>
        <w:rPr>
          <w:b/>
          <w:bCs/>
          <w:color w:val="FFFFFF"/>
          <w:sz w:val="32"/>
          <w:szCs w:val="32"/>
        </w:rPr>
        <w:t xml:space="preserve">10.  Technologies Used</w:t>
      </w:r>
    </w:p>
    <w:p>
      <w:pPr>
        <w:pStyle w:val="ListParagraph"/>
        <w:numPr>
          <w:ilvl w:val="0"/>
          <w:numId w:val="2"/>
        </w:numPr>
        <w:spacing w:after="80"/>
      </w:pPr>
      <w:r>
        <w:rPr>
          <w:sz w:val="22"/>
          <w:szCs w:val="22"/>
        </w:rPr>
        <w:t xml:space="preserve">MISP – Malware Information Sharing Platform</w:t>
      </w:r>
    </w:p>
    <w:p>
      <w:pPr>
        <w:pStyle w:val="ListParagraph"/>
        <w:numPr>
          <w:ilvl w:val="0"/>
          <w:numId w:val="2"/>
        </w:numPr>
        <w:spacing w:after="80"/>
      </w:pPr>
      <w:r>
        <w:rPr>
          <w:sz w:val="22"/>
          <w:szCs w:val="22"/>
        </w:rPr>
        <w:t xml:space="preserve">TheHive – Incident Response &amp; Case Management</w:t>
      </w:r>
    </w:p>
    <w:p>
      <w:pPr>
        <w:pStyle w:val="ListParagraph"/>
        <w:numPr>
          <w:ilvl w:val="0"/>
          <w:numId w:val="2"/>
        </w:numPr>
        <w:spacing w:after="80"/>
      </w:pPr>
      <w:r>
        <w:rPr>
          <w:sz w:val="22"/>
          <w:szCs w:val="22"/>
        </w:rPr>
        <w:t xml:space="preserve">Cortex – Automated Observable Enrichment</w:t>
      </w:r>
    </w:p>
    <w:p>
      <w:pPr>
        <w:pStyle w:val="ListParagraph"/>
        <w:numPr>
          <w:ilvl w:val="0"/>
          <w:numId w:val="2"/>
        </w:numPr>
        <w:spacing w:after="80"/>
      </w:pPr>
      <w:r>
        <w:rPr>
          <w:sz w:val="22"/>
          <w:szCs w:val="22"/>
        </w:rPr>
        <w:t xml:space="preserve">Elasticsearch – Log and Alert Storage</w:t>
      </w:r>
    </w:p>
    <w:p>
      <w:pPr>
        <w:pStyle w:val="ListParagraph"/>
        <w:numPr>
          <w:ilvl w:val="0"/>
          <w:numId w:val="2"/>
        </w:numPr>
        <w:spacing w:after="80"/>
      </w:pPr>
      <w:r>
        <w:rPr>
          <w:sz w:val="22"/>
          <w:szCs w:val="22"/>
        </w:rPr>
        <w:t xml:space="preserve">Kibana – Metrics Visualisation</w:t>
      </w:r>
    </w:p>
    <w:p>
      <w:pPr>
        <w:pStyle w:val="ListParagraph"/>
        <w:numPr>
          <w:ilvl w:val="0"/>
          <w:numId w:val="2"/>
        </w:numPr>
        <w:spacing w:after="80"/>
      </w:pPr>
      <w:r>
        <w:rPr>
          <w:sz w:val="22"/>
          <w:szCs w:val="22"/>
        </w:rPr>
        <w:t xml:space="preserve">REST APIs – Platform Integration Layer</w:t>
      </w:r>
    </w:p>
    <w:p>
      <w:pPr>
        <w:pStyle w:val="ListParagraph"/>
        <w:numPr>
          <w:ilvl w:val="0"/>
          <w:numId w:val="2"/>
        </w:numPr>
        <w:spacing w:after="80"/>
      </w:pPr>
      <w:r>
        <w:rPr>
          <w:sz w:val="22"/>
          <w:szCs w:val="22"/>
        </w:rPr>
        <w:t xml:space="preserve">Linux (Ubuntu / VirtualBox) – Hosting Environment</w:t>
      </w:r>
    </w:p>
    <w:p>
      <w:pPr>
        <w:spacing w:after="120"/>
      </w:pPr>
      <w:r>
        <w:t xml:space="preserve"/>
      </w:r>
    </w:p>
    <w:p>
      <w:pPr>
        <w:pStyle w:val="Heading1"/>
        <w:shd w:fill="1F3864" w:val="clear"/>
        <w:spacing w:after="160" w:before="320"/>
        <w:ind w:left="200"/>
      </w:pPr>
      <w:r>
        <w:rPr>
          <w:b/>
          <w:bCs/>
          <w:color w:val="FFFFFF"/>
          <w:sz w:val="32"/>
          <w:szCs w:val="32"/>
        </w:rPr>
        <w:t xml:space="preserve">11.  Learning Outcomes</w:t>
      </w:r>
    </w:p>
    <w:p>
      <w:pPr>
        <w:pStyle w:val="ListParagraph"/>
        <w:numPr>
          <w:ilvl w:val="0"/>
          <w:numId w:val="2"/>
        </w:numPr>
        <w:spacing w:after="80"/>
      </w:pPr>
      <w:r>
        <w:rPr>
          <w:sz w:val="22"/>
          <w:szCs w:val="22"/>
        </w:rPr>
        <w:t xml:space="preserve">Threat intelligence management and IOC lifecycle handling</w:t>
      </w:r>
    </w:p>
    <w:p>
      <w:pPr>
        <w:pStyle w:val="ListParagraph"/>
        <w:numPr>
          <w:ilvl w:val="0"/>
          <w:numId w:val="2"/>
        </w:numPr>
        <w:spacing w:after="80"/>
      </w:pPr>
      <w:r>
        <w:rPr>
          <w:sz w:val="22"/>
          <w:szCs w:val="22"/>
        </w:rPr>
        <w:t xml:space="preserve">End-to-end SOC workflow design and execution</w:t>
      </w:r>
    </w:p>
    <w:p>
      <w:pPr>
        <w:pStyle w:val="ListParagraph"/>
        <w:numPr>
          <w:ilvl w:val="0"/>
          <w:numId w:val="2"/>
        </w:numPr>
        <w:spacing w:after="80"/>
      </w:pPr>
      <w:r>
        <w:rPr>
          <w:sz w:val="22"/>
          <w:szCs w:val="22"/>
        </w:rPr>
        <w:t xml:space="preserve">Incident triage, investigation, and case management</w:t>
      </w:r>
    </w:p>
    <w:p>
      <w:pPr>
        <w:pStyle w:val="ListParagraph"/>
        <w:numPr>
          <w:ilvl w:val="0"/>
          <w:numId w:val="2"/>
        </w:numPr>
        <w:spacing w:after="80"/>
      </w:pPr>
      <w:r>
        <w:rPr>
          <w:sz w:val="22"/>
          <w:szCs w:val="22"/>
        </w:rPr>
        <w:t xml:space="preserve">Platform integration testing and validation methodology</w:t>
      </w:r>
    </w:p>
    <w:p>
      <w:pPr>
        <w:pStyle w:val="ListParagraph"/>
        <w:numPr>
          <w:ilvl w:val="0"/>
          <w:numId w:val="2"/>
        </w:numPr>
        <w:spacing w:after="80"/>
      </w:pPr>
      <w:r>
        <w:rPr>
          <w:sz w:val="22"/>
          <w:szCs w:val="22"/>
        </w:rPr>
        <w:t xml:space="preserve">SOC performance measurement and KPI definition</w:t>
      </w:r>
    </w:p>
    <w:p>
      <w:pPr>
        <w:pStyle w:val="ListParagraph"/>
        <w:numPr>
          <w:ilvl w:val="0"/>
          <w:numId w:val="2"/>
        </w:numPr>
        <w:spacing w:after="80"/>
      </w:pPr>
      <w:r>
        <w:rPr>
          <w:sz w:val="22"/>
          <w:szCs w:val="22"/>
        </w:rPr>
        <w:t xml:space="preserve">Real-time dashboard creation and reporting</w:t>
      </w:r>
    </w:p>
    <w:p>
      <w:pPr>
        <w:spacing w:after="120"/>
      </w:pPr>
      <w:r>
        <w:t xml:space="preserve"/>
      </w:r>
    </w:p>
    <w:p>
      <w:pPr>
        <w:pStyle w:val="Heading1"/>
        <w:shd w:fill="1F3864" w:val="clear"/>
        <w:spacing w:after="160" w:before="320"/>
        <w:ind w:left="200"/>
      </w:pPr>
      <w:r>
        <w:rPr>
          <w:b/>
          <w:bCs/>
          <w:color w:val="FFFFFF"/>
          <w:sz w:val="32"/>
          <w:szCs w:val="32"/>
        </w:rPr>
        <w:t xml:space="preserve">12.  Conclusion</w:t>
      </w:r>
    </w:p>
    <w:p>
      <w:pPr>
        <w:spacing w:after="100"/>
      </w:pPr>
      <w:r>
        <w:rPr>
          <w:sz w:val="22"/>
          <w:szCs w:val="22"/>
        </w:rPr>
        <w:t xml:space="preserve">This project demonstrates a fully functional SOC system capable of threat intelligence sharing, incident detection and response, automated enrichment, and performance monitoring.</w:t>
      </w:r>
    </w:p>
    <w:p>
      <w:pPr>
        <w:spacing w:after="60"/>
      </w:pPr>
      <w:r>
        <w:t xml:space="preserve"/>
      </w:r>
    </w:p>
    <w:p>
      <w:pPr>
        <w:spacing w:after="100"/>
      </w:pPr>
      <w:r>
        <w:rPr>
          <w:sz w:val="22"/>
          <w:szCs w:val="22"/>
        </w:rPr>
        <w:t xml:space="preserve">My personal contribution spanned integration validation, workflow testing, incident investigation, and the design of the metrics and reporting layer. This ensured that the system is not only operational, but also measurable, tested, and effective as a real-world SOC prototype.</w:t>
      </w:r>
    </w:p>
    <w:p>
      <w:pPr>
        <w:spacing w:after="240"/>
      </w:pPr>
      <w:r>
        <w:t xml:space="preserve"/>
      </w:r>
    </w:p>
    <w:p>
      <w:pPr>
        <w:spacing w:after="60"/>
      </w:pPr>
      <w:r>
        <w:rPr>
          <w:b/>
          <w:bCs/>
          <w:color w:val="2E75B6"/>
          <w:sz w:val="20"/>
          <w:szCs w:val="20"/>
        </w:rPr>
        <w:t xml:space="preserve">Note: </w:t>
      </w:r>
    </w:p>
    <w:p>
      <w:pPr>
        <w:shd w:fill="F2F2F2" w:val="clear"/>
        <w:spacing w:after="80" w:before="60"/>
        <w:ind w:left="360" w:right="360"/>
      </w:pPr>
      <w:r>
        <w:rPr>
          <w:i/>
          <w:iCs/>
          <w:color w:val="555555"/>
          <w:sz w:val="20"/>
          <w:szCs w:val="20"/>
        </w:rPr>
        <w:t xml:space="preserve">Screenshots (MISP event, Cortex analyser results, TheHive case management, observables, and SOC Kibana dashboard) can be inserted into the relevant sections above once available.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FFFFFF"/>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2026-04-22T09:57:33.349Z</dcterms:created>
  <dcterms:modified xsi:type="dcterms:W3CDTF">2026-04-22T09:57:33.349Z</dcterms:modified>
</cp:coreProperties>
</file>

<file path=docProps/custom.xml><?xml version="1.0" encoding="utf-8"?>
<Properties xmlns="http://schemas.openxmlformats.org/officeDocument/2006/custom-properties" xmlns:vt="http://schemas.openxmlformats.org/officeDocument/2006/docPropsVTypes"/>
</file>