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1942114822||30244(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644713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8082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2024-12-03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2024-12-03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122.0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38.25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1290.0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1196.0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7.29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40.0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119.0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31.5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1210.0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25.0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36.0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125.0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23.0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30.5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1292.0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1194.0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7.59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122.0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33.42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7.03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644713)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1942114822||30244(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  <dc:identifier/>
  <dc:language/>
</cp:coreProperties>
</file>