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Alt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Sec 1_Email Invite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drawing>
                <wp:inline distB="114300" distT="114300" distL="114300" distR="114300">
                  <wp:extent cx="1847850" cy="1257300"/>
                  <wp:effectExtent b="0" l="0" r="0" t="0"/>
                  <wp:docPr id="2"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847850" cy="1257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Email invitation to join Equalify with a "Accept Invite" button and an Unsubscribe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Sec 1_Sign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drawing>
                <wp:inline distB="114300" distT="114300" distL="114300" distR="114300">
                  <wp:extent cx="1847850" cy="14732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47850" cy="1473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Equalify sign-in page displaying the heading “Sign in to Equalify”, Sign in with SSO button, and a Create an account link for new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 1_Sign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drawing>
                <wp:inline distB="114300" distT="114300" distL="114300" distR="114300">
                  <wp:extent cx="1847850" cy="2324100"/>
                  <wp:effectExtent b="0" l="0" r="0" t="0"/>
                  <wp:docPr id="40"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1847850" cy="2324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Sign up page for Equalify with name, email address, and password fields, a Terms of Service and Privacy checkbox, a green Sign Up button, and a Log In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Sec 1_Waitlist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drawing>
                <wp:inline distB="114300" distT="114300" distL="114300" distR="114300">
                  <wp:extent cx="1847850" cy="1168400"/>
                  <wp:effectExtent b="0" l="0" r="0" t="0"/>
                  <wp:docPr id="31"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847850" cy="1168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Equalify early-access sign-up form titled “Sign Up for Equalify” with Name and Email fields and a Join the Waitlist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Sec 2_Add URLs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drawing>
                <wp:inline distB="114300" distT="114300" distL="114300" distR="114300">
                  <wp:extent cx="1847850" cy="419100"/>
                  <wp:effectExtent b="0" l="0" r="0" t="0"/>
                  <wp:docPr id="33"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1847850" cy="419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Add URLs to Scan with Import By dropdown set to URL, a URL text input with placeholder “example.com,” and an Add URL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 2_All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drawing>
                <wp:inline distB="114300" distT="114300" distL="114300" distR="114300">
                  <wp:extent cx="1847850" cy="1066800"/>
                  <wp:effectExtent b="0" l="0" r="0" t="0"/>
                  <wp:docPr id="4"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1847850"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The "Audits" page showing multiple project cards, such as Athletics, Tech Solutions, and various Colleges. Each card displays the number of accessibility blockers, the creator's name, the number of URLs scanned, and the date of the last scan. The "Filter View" is set to "All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Sec 2_Audit Builder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drawing>
                <wp:inline distB="114300" distT="114300" distL="114300" distR="114300">
                  <wp:extent cx="1847850" cy="1600200"/>
                  <wp:effectExtent b="0" l="0" r="0" t="0"/>
                  <wp:docPr id="32"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1847850" cy="1600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General Info section with Audit Name (required) text field and Scan Frequency dropdown set to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Sec 2_Audit Builder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drawing>
                <wp:inline distB="114300" distT="114300" distL="114300" distR="114300">
                  <wp:extent cx="1847850" cy="1054100"/>
                  <wp:effectExtent b="0" l="0" r="0" t="0"/>
                  <wp:docPr id="2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847850" cy="1054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General Info configuration panel displaying Audit Name (required) input field and Scan Frequency dropdown selector.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 2_Audit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drawing>
                <wp:inline distB="114300" distT="114300" distL="114300" distR="114300">
                  <wp:extent cx="1847850" cy="647700"/>
                  <wp:effectExtent b="0" l="0" r="0" t="0"/>
                  <wp:docPr id="13"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1847850" cy="647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Audits dashboard with Search field, Filter View: My Audits dropdown, and buttons Quick Scan and Add Audit, plus a message stating no accessibility audits have been created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Sec 2_Duplicate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drawing>
                <wp:inline distB="114300" distT="114300" distL="114300" distR="114300">
                  <wp:extent cx="1847850" cy="711200"/>
                  <wp:effectExtent b="0" l="0" r="0" t="0"/>
                  <wp:docPr id="38"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1847850" cy="711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CSV upload panel showing message “7 unchanged duplicate(s) skipped” under CSV upload instructions and Download Template CSV and Add URL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Sec 2_In-Progress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drawing>
                <wp:inline distB="114300" distT="114300" distL="114300" distR="114300">
                  <wp:extent cx="1847850" cy="863600"/>
                  <wp:effectExtent b="0" l="0" r="0" t="0"/>
                  <wp:docPr id="1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1847850" cy="86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Audit page titled “Athletics – Facilities – All” displaying Scanning… status and a progress bar showing 29%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Sec 2_My Audits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drawing>
                <wp:inline distB="114300" distT="114300" distL="114300" distR="114300">
                  <wp:extent cx="1847850" cy="762000"/>
                  <wp:effectExtent b="0" l="0" r="0" t="0"/>
                  <wp:docPr id="28" name="image34.png"/>
                  <a:graphic>
                    <a:graphicData uri="http://schemas.openxmlformats.org/drawingml/2006/picture">
                      <pic:pic>
                        <pic:nvPicPr>
                          <pic:cNvPr id="0" name="image34.png"/>
                          <pic:cNvPicPr preferRelativeResize="0"/>
                        </pic:nvPicPr>
                        <pic:blipFill>
                          <a:blip r:embed="rId17"/>
                          <a:srcRect b="0" l="0" r="0" t="0"/>
                          <a:stretch>
                            <a:fillRect/>
                          </a:stretch>
                        </pic:blipFill>
                        <pic:spPr>
                          <a:xfrm>
                            <a:off x="0" y="0"/>
                            <a:ext cx="1847850"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The "Audits" dashboard with the "Filter View" set to "My Audits". Only one audit card, titled "Athletics - Facilities - All," is visible, showing 144 blockers across 14 URLs.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Sec 2_Removing URLs from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drawing>
                <wp:inline distB="114300" distT="114300" distL="114300" distR="114300">
                  <wp:extent cx="1847850" cy="469900"/>
                  <wp:effectExtent b="0" l="0" r="0" t="0"/>
                  <wp:docPr id="34"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1847850" cy="469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URL list table noting 2 URLs included with a “View or Edit Audit URLs” dropdown.</w:t>
            </w:r>
          </w:p>
          <w:p w:rsidR="00000000" w:rsidDel="00000000" w:rsidP="00000000" w:rsidRDefault="00000000" w:rsidRPr="00000000" w14:paraId="0000002C">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Sec 2_Removing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drawing>
                <wp:inline distB="114300" distT="114300" distL="114300" distR="114300">
                  <wp:extent cx="1847850" cy="495300"/>
                  <wp:effectExtent b="0" l="0" r="0" t="0"/>
                  <wp:docPr id="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847850"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URL management table listing multiple URLs with Type dropdowns (HTML or PDF) and selectable checkboxes for removal. One is selected and a Remove 1 URL(s) button below the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Sec 2_Save and Run Audit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drawing>
                <wp:inline distB="114300" distT="114300" distL="114300" distR="114300">
                  <wp:extent cx="1847850" cy="431800"/>
                  <wp:effectExtent b="0" l="0" r="0" t="0"/>
                  <wp:docPr id="30"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1847850" cy="431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Audit builder showing Save Audit and Save &amp; Run Audit buttons alongside pagination and URLs per page controls.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Sec 2_Saved audit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drawing>
                <wp:inline distB="114300" distT="114300" distL="114300" distR="114300">
                  <wp:extent cx="1847850" cy="850900"/>
                  <wp:effectExtent b="0" l="0" r="0" t="0"/>
                  <wp:docPr id="25"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1847850" cy="850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Audit summary card draft displaying the message Not yet Scanned. This audit hasn’t been scanned yet. Add URLs below and run your first scan to discover accessibility blockers.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Sec 2_Successful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drawing>
                <wp:inline distB="114300" distT="114300" distL="114300" distR="114300">
                  <wp:extent cx="1847850" cy="393700"/>
                  <wp:effectExtent b="0" l="0" r="0" t="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1847850"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Confirmation notification banner stating “Successfully processed CSV: 2 URL(s)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Sec 2_WordPress CSV Export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drawing>
                <wp:inline distB="114300" distT="114300" distL="114300" distR="114300">
                  <wp:extent cx="1847850" cy="635000"/>
                  <wp:effectExtent b="0" l="0" r="0" t="0"/>
                  <wp:docPr id="26"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1847850"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CSV sample file export with scan title at the top and URL and Type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Sec 2_WordPress UIC + Equalify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drawing>
                <wp:inline distB="114300" distT="114300" distL="114300" distR="114300">
                  <wp:extent cx="1847850" cy="1066800"/>
                  <wp:effectExtent b="0" l="0" r="0" t="0"/>
                  <wp:docPr id="1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847850" cy="1066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UIC + Equalify Utilities with “Network Scan” header with button to run full network scan site scan and “Scan Results” header with a table containing Scan ID, Date, Items, and Action columns.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Sec 3_Audit Detail View Filtering and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drawing>
                <wp:inline distB="114300" distT="114300" distL="114300" distR="114300">
                  <wp:extent cx="1847850" cy="254000"/>
                  <wp:effectExtent b="0" l="0" r="0" t="0"/>
                  <wp:docPr id="7"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847850" cy="254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Audit Report Detailed View header with Active/ Ignored / All tabs, and All / HTML / PDF filter buttons, Filter by Tags, Filter by Categories, and Search by URL field.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Sec 3_Dashboard Audit Report Detailed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drawing>
                <wp:inline distB="114300" distT="114300" distL="114300" distR="114300">
                  <wp:extent cx="1847850" cy="1041400"/>
                  <wp:effectExtent b="0" l="0" r="0" t="0"/>
                  <wp:docPr id="39"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1847850" cy="1041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Detailed audit results table listing Type, URL, Issue, and Code columns with View Code buttons for each issue.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Sec 3_Dashboard Audit Report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drawing>
                <wp:inline distB="114300" distT="114300" distL="114300" distR="114300">
                  <wp:extent cx="1847850" cy="990600"/>
                  <wp:effectExtent b="0" l="0" r="0" t="0"/>
                  <wp:docPr id="36"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847850" cy="990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Audit Report Summary View displaying 138 Blockers Found, a chart showing 12 of 14 URLs (85.7%) have blockers, 1 days since last scanned, and lists of URLs with Most Blockers and Most Common Blockers.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Sec 3_Dashboard Audit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drawing>
                <wp:inline distB="114300" distT="114300" distL="114300" distR="114300">
                  <wp:extent cx="1847850" cy="127000"/>
                  <wp:effectExtent b="0" l="0" r="0" t="0"/>
                  <wp:docPr id="17"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1847850" cy="127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Audit header showing Audit – Athletics – Facilities – All with edit and delete icons and buttons Scan Now and Share.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Sec 3_Dashboard Controls and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drawing>
                <wp:inline distB="114300" distT="114300" distL="114300" distR="114300">
                  <wp:extent cx="1847850" cy="406400"/>
                  <wp:effectExtent b="0" l="0" r="0" t="0"/>
                  <wp:docPr id="41"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847850" cy="40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Audit configuration panel showing 14 URLs Included, Scan Frequency: Daily, and Email Notifications section with Add Email Notification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Sec 3_Dashboard Performance Chart with Hover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drawing>
                <wp:inline distB="114300" distT="114300" distL="114300" distR="114300">
                  <wp:extent cx="1847850" cy="609600"/>
                  <wp:effectExtent b="0" l="0" r="0" t="0"/>
                  <wp:docPr id="1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1847850"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Accessibility blockers trend chart labeled 138 Blockers – Last 7 Days with a tooltip displaying Fri, Feb 27, 2026 – Blockers: 142 – Scanned at 03:53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Sec 3_Dashboard Performance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drawing>
                <wp:inline distB="114300" distT="114300" distL="114300" distR="114300">
                  <wp:extent cx="1847850" cy="622300"/>
                  <wp:effectExtent b="0" l="0" r="0" t="0"/>
                  <wp:docPr id="35"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1847850" cy="62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Line chart showing blocker counts over time with Chart View / Table View toggle and Date Range dropdown set to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Sec 3_Email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drawing>
                <wp:inline distB="114300" distT="114300" distL="114300" distR="114300">
                  <wp:extent cx="1847850" cy="939800"/>
                  <wp:effectExtent b="0" l="0" r="0" t="0"/>
                  <wp:docPr id="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847850" cy="939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Equalify email notification with "Your daily report for Athletics - Facilities - All is ready." with a green "View Audit"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Sec 3_Ignoring Blockers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drawing>
                <wp:inline distB="114300" distT="114300" distL="114300" distR="114300">
                  <wp:extent cx="1847850" cy="5118100"/>
                  <wp:effectExtent b="0" l="0" r="0" t="0"/>
                  <wp:docPr id="2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1847850" cy="5118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Issue status controls showing Ignored labels with crossed-eye icons and a green Active button for toggling issue visibility.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Sec 3_Scan Errors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drawing>
                <wp:inline distB="114300" distT="114300" distL="114300" distR="114300">
                  <wp:extent cx="1847850" cy="1651000"/>
                  <wp:effectExtent b="0" l="0" r="0" t="0"/>
                  <wp:docPr id="23"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1847850" cy="1651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Scan Errors modal with list of failed URLs. One entry shows a "Scan Failed" badge for a UIC dentistry intranet URL with a technical error message: "Execution context was destroyed, most likely because of a navigation."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Sec 3_Scan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drawing>
                <wp:inline distB="114300" distT="114300" distL="114300" distR="114300">
                  <wp:extent cx="1847850" cy="495300"/>
                  <wp:effectExtent b="0" l="0" r="0" t="0"/>
                  <wp:docPr id="2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1847850" cy="495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A summary box for a website audit showing 1,396 URLs included. The last scan is marked as complete for February 25, 2026, and includes a red warning badge stating "80 Errors During Scan."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Sec 4_Logs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drawing>
                <wp:inline distB="114300" distT="114300" distL="114300" distR="114300">
                  <wp:extent cx="1847850" cy="304800"/>
                  <wp:effectExtent b="0" l="0" r="0" t="0"/>
                  <wp:docPr id="37"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18478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Activity log entries listing date, time, message, user email, and audit name for actions such as URL type changes and URL additions.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Sec 4_Logs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drawing>
                <wp:inline distB="114300" distT="114300" distL="114300" distR="114300">
                  <wp:extent cx="1847850" cy="622300"/>
                  <wp:effectExtent b="0" l="0" r="0" t="0"/>
                  <wp:docPr id="5"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1847850" cy="622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Logs page displaying table columns Date, Message, User, and Audit, including entries such as “Audit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Sec 5_Account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drawing>
                <wp:inline distB="114300" distT="114300" distL="114300" distR="114300">
                  <wp:extent cx="1847850" cy="1968500"/>
                  <wp:effectExtent b="0" l="0" r="0" t="0"/>
                  <wp:docPr id="1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1847850" cy="1968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Account page displaying Name: Roper, Amanda, Email: aroper3@uic.edu, Role: Member, and a Logout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Sec 5_Invite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drawing>
                <wp:inline distB="114300" distT="114300" distL="114300" distR="114300">
                  <wp:extent cx="1847850" cy="355600"/>
                  <wp:effectExtent b="0" l="0" r="0" t="0"/>
                  <wp:docPr id="12"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847850" cy="355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Confirmation notification banner stating “Invite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Sec 5_Invite Error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drawing>
                <wp:inline distB="114300" distT="114300" distL="114300" distR="114300">
                  <wp:extent cx="1847850" cy="685800"/>
                  <wp:effectExtent b="0" l="0" r="0" t="0"/>
                  <wp:docPr id="27"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1847850" cy="68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Error pop up: </w:t>
            </w:r>
            <w:hyperlink r:id="rId41">
              <w:r w:rsidDel="00000000" w:rsidR="00000000" w:rsidRPr="00000000">
                <w:rPr>
                  <w:color w:val="1155cc"/>
                  <w:u w:val="single"/>
                  <w:rtl w:val="0"/>
                </w:rPr>
                <w:t xml:space="preserve">app.equalify.uic.edu</w:t>
              </w:r>
            </w:hyperlink>
            <w:r w:rsidDel="00000000" w:rsidR="00000000" w:rsidRPr="00000000">
              <w:rPr>
                <w:rtl w:val="0"/>
              </w:rPr>
              <w:t xml:space="preserve"> says: Failed to send invite. Email domain not authorized for invitation. “Ok”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Sec 5_Invite Error Duplicate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drawing>
                <wp:inline distB="114300" distT="114300" distL="114300" distR="114300">
                  <wp:extent cx="1847850" cy="406400"/>
                  <wp:effectExtent b="0" l="0" r="0" t="0"/>
                  <wp:docPr descr="Error notification: Failed to send invite: User already exists for this email address." id="20" name="image2.png"/>
                  <a:graphic>
                    <a:graphicData uri="http://schemas.openxmlformats.org/drawingml/2006/picture">
                      <pic:pic>
                        <pic:nvPicPr>
                          <pic:cNvPr descr="Error notification: Failed to send invite: User already exists for this email address." id="0" name="image2.png"/>
                          <pic:cNvPicPr preferRelativeResize="0"/>
                        </pic:nvPicPr>
                        <pic:blipFill>
                          <a:blip r:embed="rId42"/>
                          <a:srcRect b="0" l="0" r="0" t="0"/>
                          <a:stretch>
                            <a:fillRect/>
                          </a:stretch>
                        </pic:blipFill>
                        <pic:spPr>
                          <a:xfrm>
                            <a:off x="0" y="0"/>
                            <a:ext cx="1847850" cy="406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Error notification banner stating: "Failed to send invite: User already exists for this email 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Sec 5_Invite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drawing>
                <wp:inline distB="114300" distT="114300" distL="114300" distR="114300">
                  <wp:extent cx="1847850" cy="292100"/>
                  <wp:effectExtent b="0" l="0" r="0" t="0"/>
                  <wp:docPr id="6"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1847850" cy="292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Confirmation notification banner stating “Invite sent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Sec 5_Invites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drawing>
                <wp:inline distB="114300" distT="114300" distL="114300" distR="114300">
                  <wp:extent cx="1847850" cy="609600"/>
                  <wp:effectExtent b="0" l="0" r="0" t="0"/>
                  <wp:docPr id="14"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1847850" cy="60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Invites table displaying email addresses, dates added, and options to delete each entry.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Sec 5_Users Type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drawing>
                <wp:inline distB="114300" distT="114300" distL="114300" distR="114300">
                  <wp:extent cx="1847850" cy="317500"/>
                  <wp:effectExtent b="0" l="0" r="0" t="0"/>
                  <wp:docPr id="24"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1847850" cy="317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Confirmation notification banner stating “User type updated successfully!”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Sec 5_Users Type Dropdown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drawing>
                <wp:inline distB="114300" distT="114300" distL="114300" distR="114300">
                  <wp:extent cx="1847850" cy="520700"/>
                  <wp:effectExtent b="0" l="0" r="0" t="0"/>
                  <wp:docPr id="19"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1847850" cy="52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Users table showing a "Type" dropdown menu with Member and Admin options selected for a user row.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Sec 5_Users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drawing>
                <wp:inline distB="114300" distT="114300" distL="114300" distR="114300">
                  <wp:extent cx="1847850" cy="520700"/>
                  <wp:effectExtent b="0" l="0" r="0" t="0"/>
                  <wp:docPr id="16"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1847850" cy="520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Users table with columns for Name, Email, Type dropdown, Created At date, and a Remove action button for each entry.</w:t>
            </w:r>
          </w:p>
        </w:tc>
      </w:tr>
    </w:tbl>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32.png"/><Relationship Id="rId42" Type="http://schemas.openxmlformats.org/officeDocument/2006/relationships/image" Target="media/image2.png"/><Relationship Id="rId41" Type="http://schemas.openxmlformats.org/officeDocument/2006/relationships/hyperlink" Target="http://app.equalify.uic.edu" TargetMode="External"/><Relationship Id="rId22" Type="http://schemas.openxmlformats.org/officeDocument/2006/relationships/image" Target="media/image5.png"/><Relationship Id="rId44" Type="http://schemas.openxmlformats.org/officeDocument/2006/relationships/image" Target="media/image21.png"/><Relationship Id="rId21" Type="http://schemas.openxmlformats.org/officeDocument/2006/relationships/image" Target="media/image39.png"/><Relationship Id="rId43" Type="http://schemas.openxmlformats.org/officeDocument/2006/relationships/image" Target="media/image4.png"/><Relationship Id="rId24" Type="http://schemas.openxmlformats.org/officeDocument/2006/relationships/image" Target="media/image12.png"/><Relationship Id="rId46" Type="http://schemas.openxmlformats.org/officeDocument/2006/relationships/image" Target="media/image18.png"/><Relationship Id="rId23" Type="http://schemas.openxmlformats.org/officeDocument/2006/relationships/image" Target="media/image17.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41.png"/><Relationship Id="rId25" Type="http://schemas.openxmlformats.org/officeDocument/2006/relationships/image" Target="media/image7.png"/><Relationship Id="rId47" Type="http://schemas.openxmlformats.org/officeDocument/2006/relationships/image" Target="media/image23.png"/><Relationship Id="rId28" Type="http://schemas.openxmlformats.org/officeDocument/2006/relationships/image" Target="media/image1.png"/><Relationship Id="rId27"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15.png"/><Relationship Id="rId29" Type="http://schemas.openxmlformats.org/officeDocument/2006/relationships/image" Target="media/image36.png"/><Relationship Id="rId7" Type="http://schemas.openxmlformats.org/officeDocument/2006/relationships/image" Target="media/image6.png"/><Relationship Id="rId8" Type="http://schemas.openxmlformats.org/officeDocument/2006/relationships/image" Target="media/image26.png"/><Relationship Id="rId31" Type="http://schemas.openxmlformats.org/officeDocument/2006/relationships/image" Target="media/image38.png"/><Relationship Id="rId30" Type="http://schemas.openxmlformats.org/officeDocument/2006/relationships/image" Target="media/image20.png"/><Relationship Id="rId11" Type="http://schemas.openxmlformats.org/officeDocument/2006/relationships/image" Target="media/image31.png"/><Relationship Id="rId33" Type="http://schemas.openxmlformats.org/officeDocument/2006/relationships/image" Target="media/image16.png"/><Relationship Id="rId10" Type="http://schemas.openxmlformats.org/officeDocument/2006/relationships/image" Target="media/image35.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1.png"/><Relationship Id="rId12" Type="http://schemas.openxmlformats.org/officeDocument/2006/relationships/image" Target="media/image29.png"/><Relationship Id="rId34" Type="http://schemas.openxmlformats.org/officeDocument/2006/relationships/image" Target="media/image27.png"/><Relationship Id="rId15" Type="http://schemas.openxmlformats.org/officeDocument/2006/relationships/image" Target="media/image37.png"/><Relationship Id="rId37" Type="http://schemas.openxmlformats.org/officeDocument/2006/relationships/image" Target="media/image13.png"/><Relationship Id="rId14" Type="http://schemas.openxmlformats.org/officeDocument/2006/relationships/image" Target="media/image22.png"/><Relationship Id="rId36" Type="http://schemas.openxmlformats.org/officeDocument/2006/relationships/image" Target="media/image30.png"/><Relationship Id="rId17" Type="http://schemas.openxmlformats.org/officeDocument/2006/relationships/image" Target="media/image34.png"/><Relationship Id="rId39" Type="http://schemas.openxmlformats.org/officeDocument/2006/relationships/image" Target="media/image3.png"/><Relationship Id="rId16" Type="http://schemas.openxmlformats.org/officeDocument/2006/relationships/image" Target="media/image25.png"/><Relationship Id="rId38" Type="http://schemas.openxmlformats.org/officeDocument/2006/relationships/image" Target="media/image8.png"/><Relationship Id="rId19" Type="http://schemas.openxmlformats.org/officeDocument/2006/relationships/image" Target="media/image14.png"/><Relationship Id="rId1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