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embeddings/oleObject1.xlsx" ContentType="application/vnd.openxmlformats-officedocument.spreadsheetml.sheet"/>
  <Override PartName="/word/media/image1.emf" ContentType="image/x-emf"/>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48E611F1" wp14:textId="77777777">
      <w:pPr>
        <w:pStyle w:val="Title"/>
        <w:rPr>
          <w:rFonts w:ascii="times new roman" w:hAnsi="times new roman"/>
        </w:rPr>
      </w:pPr>
      <w:r>
        <w:rPr>
          <w:rFonts w:ascii="times new roman" w:hAnsi="times new roman"/>
        </w:rPr>
        <w:t>Summary (max. 3,800 characters)</w:t>
      </w:r>
    </w:p>
    <w:p xmlns:wp14="http://schemas.microsoft.com/office/word/2010/wordml" w14:paraId="351CDC53" wp14:textId="77777777">
      <w:pPr>
        <w:pStyle w:val="Normal"/>
        <w:rPr>
          <w:rFonts w:ascii="times new roman" w:hAnsi="times new roman"/>
        </w:rPr>
      </w:pPr>
      <w:r>
        <w:rPr>
          <w:rFonts w:ascii="times new roman" w:hAnsi="times new roman"/>
        </w:rPr>
        <w:t xml:space="preserve">Transit systems are a key component of urban public policy. These systems intersect with broader transportation and urban land use issues and are therefore of great interest and practical import. In general terms, transit systems generate accessibility to opportunities that contribute to the economic operation of urban regions. But this is not the only service that transit systems provide, since they use space more efficiently than low-capacity vehicles (mainly private automobiles), and thus help to reduce congestion and result in lower emissions per capita. Furthermore, transit is an obligated form of transport for many members of the public who may not be able to own or use a private vehicle and increasingly supports many urban residents who choose not to own a vehicle. As such, transit systems also help to reduce transportation-related social exclusion, and support democratic participation in many essential activities. </w:t>
      </w:r>
    </w:p>
    <w:p xmlns:wp14="http://schemas.microsoft.com/office/word/2010/wordml" w14:paraId="0977A2A2" wp14:textId="77777777">
      <w:pPr>
        <w:pStyle w:val="Normal"/>
        <w:rPr>
          <w:rFonts w:ascii="times new roman" w:hAnsi="times new roman"/>
        </w:rPr>
      </w:pPr>
      <w:r>
        <w:rPr>
          <w:rFonts w:ascii="times new roman" w:hAnsi="times new roman"/>
        </w:rPr>
        <w:t xml:space="preserve">Despite their importance in public policy, transit services are often offered without explicit mention of the principles that underpin their provision. Implicitly, transit is often seen as an economic service that must remain fiscally responsible. But while fiscal responsibility is an important consideration, it is not by any means the only one. In reality, many of the benefits of transit systems are non-monetary, and a tendency to see them mainly as economic services leads to a narrow approach that can blunt their attractiveness. Particularly, there are numerous examples where this leads to major inequities in terms of the distribution of the benefits and the costs of public transportation, while ignoring its role as a facilitator of democratic participation in society. </w:t>
      </w:r>
    </w:p>
    <w:p xmlns:wp14="http://schemas.microsoft.com/office/word/2010/wordml" w14:paraId="4E62B6B0" wp14:textId="77777777">
      <w:pPr>
        <w:pStyle w:val="Normal"/>
        <w:rPr>
          <w:rFonts w:ascii="times new roman" w:hAnsi="times new roman"/>
        </w:rPr>
      </w:pPr>
      <w:r>
        <w:rPr>
          <w:rFonts w:ascii="times new roman" w:hAnsi="times new roman"/>
        </w:rPr>
        <w:t xml:space="preserve">Planning for transit systems that are equitable and promote ideals of transportation equity and justice is an urgent task, especially as the limits of highly individualized transportation systems become clear. EquiTransit proposes to re-envision transit from a broader, more just perspective, and aims to create the knowledge and tools needed to realize this vision. This project follows on the heels of recent research initiatives in Canada, particularly the SSHRC-funded project Mobilizing Justice, which have broken new ground and made considerable progress towards more inclusive, equitable, and just transportation systems in Canada. EquiTransit builds on these foundations with a more targeted focus on public transportation. </w:t>
      </w:r>
    </w:p>
    <w:p xmlns:wp14="http://schemas.microsoft.com/office/word/2010/wordml" w14:paraId="1BCA547C" wp14:textId="77777777">
      <w:pPr>
        <w:pStyle w:val="Normal"/>
        <w:rPr>
          <w:rFonts w:ascii="times new roman" w:hAnsi="times new roman"/>
        </w:rPr>
      </w:pPr>
      <w:r>
        <w:rPr>
          <w:rFonts w:ascii="times new roman" w:hAnsi="times new roman"/>
        </w:rPr>
        <w:t>Accordingly, the objective of EquiTransit is to generate novel, theoretically-sound and analytics-based equity indicators useful to assess the performance of public transit systems in Canada. Theoretically, we will use a framework of justice that emphasizes the 5WH approach (why, what, who, where, when, how). To ensure that our indicators are pertinent to the question of "why equity?", we propose a Codesign approach, whereby the research team will work with transit operators and users in the explicit identification of the rationale and motivation for the development and use of indicators. We plan to use cutting-edge geospatial technologies to investigate the questions "who seeks equity, and where and when?". Further, we propose to create open-source tools, including equity-informed planning and assessment tools, and place them at the fingertips of stakeholders at the lowest possible cost. Finally, in the spirit of Codesign, the effectiveness of the tools will be assessed in consultation with stakeholders, so that refinements can be incorporated in successive releases of the tools. In this way, EquiTransit aims to produce actionable knowledge to support the development of more equitable transit in Canada, to the benefit of urban residents, democratic governance, and democratic participation in Canadian society.</w:t>
      </w:r>
    </w:p>
    <w:p xmlns:wp14="http://schemas.microsoft.com/office/word/2010/wordml" w14:paraId="672A6659" wp14:textId="77777777">
      <w:pPr>
        <w:pStyle w:val="Normal"/>
        <w:rPr>
          <w:rFonts w:ascii="times new roman" w:hAnsi="times new roman"/>
        </w:rPr>
      </w:pPr>
      <w:r>
        <w:rPr>
          <w:rFonts w:ascii="times new roman" w:hAnsi="times new roman"/>
        </w:rPr>
      </w:r>
      <w:r>
        <w:br w:type="page"/>
      </w:r>
    </w:p>
    <w:p xmlns:wp14="http://schemas.microsoft.com/office/word/2010/wordml" w14:paraId="047C7ED8" wp14:textId="77777777">
      <w:pPr>
        <w:pStyle w:val="Title"/>
        <w:spacing w:before="0" w:after="80"/>
        <w:contextualSpacing/>
        <w:rPr>
          <w:rFonts w:ascii="times new roman" w:hAnsi="times new roman"/>
        </w:rPr>
      </w:pPr>
      <w:r>
        <w:rPr>
          <w:rFonts w:ascii="times new roman" w:hAnsi="times new roman"/>
          <w:lang w:val="en-CA"/>
        </w:rPr>
        <w:t>Detailed Description (max. 6 pages)</w:t>
      </w:r>
    </w:p>
    <w:p xmlns:wp14="http://schemas.microsoft.com/office/word/2010/wordml" w14:paraId="3A37503E" wp14:textId="77777777">
      <w:pPr>
        <w:pStyle w:val="Normal"/>
        <w:rPr>
          <w:rFonts w:ascii="times new roman" w:hAnsi="times new roman"/>
        </w:rPr>
      </w:pPr>
      <w:r>
        <w:rPr>
          <w:rFonts w:ascii="times new roman" w:hAnsi="times new roman"/>
          <w:b/>
          <w:bCs/>
        </w:rPr>
        <w:t>Objectives</w:t>
      </w:r>
      <w:r>
        <w:rPr>
          <w:rFonts w:ascii="times new roman" w:hAnsi="times new roman"/>
        </w:rPr>
        <w:t>: Generate novel theoretically-sound and analytics-based equity indicators to assess the performance of public transit systems in Canada. Investigate their reliability by working with planners and transit users in areas with equity gaps. Create open-source tools, including dashboards, to make these indicators available to stakeholders. Assess the effectiveness and accessibility of the tools in consultation with stakeholders and incorporate feedback in newer releases of the tools.</w:t>
      </w:r>
    </w:p>
    <w:p xmlns:wp14="http://schemas.microsoft.com/office/word/2010/wordml" w14:paraId="4A03BA2F" wp14:textId="77777777">
      <w:pPr>
        <w:pStyle w:val="Normal"/>
        <w:widowControl w:val="false"/>
        <w:rPr>
          <w:rFonts w:ascii="times new roman" w:hAnsi="times new roman"/>
        </w:rPr>
      </w:pPr>
      <w:r>
        <w:rPr>
          <w:rFonts w:ascii="times new roman" w:hAnsi="times new roman"/>
          <w:b/>
          <w:bCs/>
        </w:rPr>
        <w:t>Rationale</w:t>
      </w:r>
      <w:r>
        <w:rPr>
          <w:rFonts w:ascii="times new roman" w:hAnsi="times new roman"/>
        </w:rPr>
        <w:t xml:space="preserve">: Traditional public transport performance evaluations usually rely on operational efficiency </w:t>
      </w:r>
      <w:r>
        <w:fldChar w:fldCharType="begin"/>
      </w:r>
      <w:r>
        <w:rPr>
          <w:rFonts w:ascii="times new roman" w:hAnsi="times new roman" w:cs="Times New Roman"/>
        </w:rPr>
        <w:instrText xml:space="preserve">ADDIN ZOTERO_ITEM CSL_CITATION {"citationID":"K5WcU9PV","properties":{"unsorted":false,"formattedCitation":"(1\\uc0\\u8211{}3)","plainCitation":"(1–3)","noteIndex":0},"citationItems":[{"id":745,"uris":["http://zotero.org/groups/6563173/items/Y8W2SET9"],"itemData":{"id":745,"type":"article-journal","citation-key":"mazloumiUsingGPSData2010","container-title":"Journal of Transportation Engineering","DOI":"10.1061/(ASCE)TE.1943-5436.0000126","ISSN":"0733-947X, 1943-5436","issue":"7","journalAbbreviation":"J. Transp. Eng.","language":"en","page":"623-631","source":"DOI.org (Crossref)","title":"Using GPS Data to Gain Insight into Public Transport Travel Time Variability","volume":"136","author":[{"family":"Mazloumi","given":"Ehsan"},{"family":"Currie","given":"Graham"},{"family":"Rose","given":"Geoffrey"}],"issued":{"date-parts":[["2010",7]]}}},{"id":746,"uris":["http://zotero.org/groups/6563173/items/Y4GQWTAU"],"itemData":{"id":746,"type":"article-journal","abstract":"The objectives of this paper are to measure the technical efficiency of 64 public road transport operators in 18 countries and to investigate the degree to which various factors influence efficiency levels in these firms. Stochastic frontier analysis (SFA) methods are applied to the sample over a twelve year period from 2000 to 2011. The empirical results indicate that operating profit, investment and firm size have a significant influence on technical efficiency levels. Conclusions indicate that technical efficiency level of public road transport operators varies between 0.46 and 0.95. Observations can be made that large-size operators with more investment capacity tend to be more technically efficient than small-size operators. Finally, the results concluded that operators from developed countries are technically more efficient than those of developing countries.","citation-key":"samiPublicRoadTransport2013","container-title":"Journal of Transportation Systems Engineering and Information Technology","DOI":"10.1016/S1570-6672(13)60123-3","ISSN":"1570-6672","issue":"5","journalAbbreviation":"Journal of Transportation Systems Engineering and Information Technology","page":"64-71","source":"ScienceDirect","title":"Public Road Transport Efficiency: A Stochastic Frontier Analysis","title-short":"Public Road Transport Efficiency","volume":"13","author":[{"family":"Sami","given":"Jarboui"},{"family":"Pascal","given":"Forget"},{"family":"Younes","given":"Boujelbene"}],"issued":{"date-parts":[["2013",10,1]]}}},{"id":742,"uris":["http://zotero.org/groups/6563173/items/JDMYQVS5"],"itemData":{"id":742,"type":"article-journal","abstract":"Public transport performance (PTP) depicts the efficiency of a city’s public transport. Evaluating PTP is the foundation to build a sustainable public transport system. However, extant methods are not suitable for evaluating PTP at the planning stage. This paper initiates a unified prior evaluation method that guides the planning of public transport without observational data. We represent the multimodal public transport system as a multigraph, where node function and connectivities are embedded as node property, planning specification and graph metrics are incorporated as the weight of the edge. By node convolution and node clustering, eight typical subgraphs are enumerated. Graph classification evaluates the PTP by identifying combinations of subgraphs within a region and motif analysis reveals how local transfer patterns contribute to PTP. The experiment results within Wuhan’s Third Ring Road show that our evaluation accuracy is up to 82%. We found that areas with high accessibility and equality of public transport facilities also have high PTP. From small scales (stations) to large scales (regions), PTP evolves from spatial homogeneity to heterogeneity. Using these features, urban planners can design an efficient public transport system with a point-to-surface effect and integrate ground and underground transport modes.","citation-key":"zhangEvaluatingPublicTransport2023","container-title":"Travel Behaviour and Society","DOI":"10.1016/j.tbs.2023.100605","ISSN":"2214-367X","journalAbbreviation":"Travel Behaviour and Society","page":"100605","source":"ScienceDirect","title":"Evaluating public transport performance to guide public transport planning: A unified prior method","title-short":"Evaluating public transport performance to guide public transport planning","volume":"33","author":[{"family":"Zhang","given":"Lin"},{"family":"Liu","given":"Yaolin"},{"family":"Li","given":"Shenhong"},{"family":"Chen","given":"Huiting"},{"family":"Liu","given":"Yanfang"}],"issued":{"date-parts":[["2023",10,1]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kern w:val="0"/>
        </w:rPr>
        <w:t>(1–3)</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reliability </w:t>
      </w:r>
      <w:r>
        <w:fldChar w:fldCharType="begin"/>
      </w:r>
      <w:r>
        <w:rPr>
          <w:rFonts w:ascii="times new roman" w:hAnsi="times new roman" w:cs="Times New Roman"/>
        </w:rPr>
        <w:instrText xml:space="preserve">ADDIN ZOTERO_ITEM CSL_CITATION {"citationID":"pVzIYRfr","properties":{"unsorted":false,"formattedCitation":"(4)","plainCitation":"(4)","noteIndex":0},"citationItems":[{"id":748,"uris":["http://zotero.org/groups/6563173/items/ZZ45BTBK"],"itemData":{"id":748,"type":"article-journal","abstract":"This paper evaluates options for a key performance indicator that compares differences in performance for maintaining service regularity on high-frequency routes between urban bus operators. The data used for this study were collected by the International Bus Benchmarking Group, facilitated by Imperial College London, and relate to 12 medium- to large-sized urban bus operators from different countries. Two annual rounds of data collection provided lessons on feasible data characteristics, required sample size, and data-cleaning processes. Four key performance indicator alternatives were tested. Their strengths and weaknesses are described: excess wait time; standard deviation of the difference between the scheduled and the actual headway, and two methods that show percentages of service within a fixed (wait assessment) and a relative (service reliability) number of minutes from the scheduled headway. The results suggest that whereas all four methodologies illustrate a different, interesting view on service regularity performance, the methodology for excess wait time is the best option when the key performance indicator should reflect the customer experience of the regularity of service.","citation-key":"trompetDevelopmentKeyPerformance2011","container-title":"Transportation Research Record: Journal of the Transportation Research Board","DOI":"10.3141/2216-04","ISSN":"0361-1981, 2169-4052","issue":"1","journalAbbreviation":"Transportation Research Record: Journal of the Transportation Research Board","language":"en","page":"33-41","source":"DOI.org (Crossref)","title":"Development of Key Performance Indicator to Compare Regularity of Service between Urban Bus Operators","volume":"2216","author":[{"family":"Trompet","given":"Mark"},{"family":"Liu","given":"Xiang"},{"family":"Graham","given":"Daniel J."}],"issued":{"date-parts":[["2011",1]]}}}],"schema":"https://github.com/citation-style-language/schema/raw/master/csl-citation.json"}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safety </w:t>
      </w:r>
      <w:r>
        <w:fldChar w:fldCharType="begin"/>
      </w:r>
      <w:r>
        <w:rPr>
          <w:rFonts w:ascii="times new roman" w:hAnsi="times new roman" w:cs="Times New Roman"/>
        </w:rPr>
        <w:instrText xml:space="preserve">ADDIN ZOTERO_ITEM CSL_CITATION {"citationID":"dYMuB7YB","properties":{"unsorted":false,"formattedCitation":"(5)","plainCitation":"(5)","noteIndex":0},"citationItems":[{"id":771,"uris":["http://zotero.org/groups/6563173/items/YAFATDTD"],"itemData":{"id":771,"type":"article-journal","abstract":"Public transportation poses a higher risk of safety and security since there happen to be more passengers in one car. The problem becomes worse in developing countries, because of the lack of suitable and integrated approaches. The aim of this research is to explore the perception of safety and security problems on the part of those parties involved in the operation of public transportation. This perception is used as a base to develop an improvement agenda for the particular context of developing countries. The research employs a questionnaire survey to collect the perception data. This paper explains the perception of users and drivers of paratransit as well as that of non-users and civil servants, concerning safety and security of paratransit in the city of Bandung, Indonesia. The rank of importance for each factor is analyzed by applying the factor analysis. Analysis shows that the user is the most important party involved. The understanding and awareness of the user (including the driver) is the most important variable to improve the condition. Three aspects of an improvement agenda are proposed based on the perception data, namely technology, management, and institution. This agenda is clarified by a set of action plans incorporating the responsible parties and a time frame. The action plan is divided into three terms to define a clear goal for each step. The short-term action focuses on the hardware and on preparing further steps, whereas the medium-term action focuses on developing and improving the standard of safety and security. The long-term action focuses on advancing safety and security practices. The effectiveness of this agenda and action plan rests upon a set of assumptions, such as the degree of seriousness from the authoritative institution, fair distribution of information, the availability of reasonable resources, and coordinated and collaborative action from all parties involved to reach the objective.","citation-key":"joewonoSAFETYSECURITYIMPROVEMENT2006","container-title":"IATSS Research","DOI":"10.1016/S0386-1112(14)60159-X","ISSN":"0386-1112","issue":"1","journalAbbreviation":"IATSS Research","page":"86-100","source":"ScienceDirect","title":"SAFETY AND SECURITY IMPROVEMENT IN PUBLIC TRANSPORTATION BASED ON PUBLIC PERCEPTION IN DEVELOPING COUNTRIES","volume":"30","author":[{"family":"Joewono","given":"Tri Basuki"},{"family":"Kubota","given":"Hisashi"}],"issued":{"date-parts":[["2006",1,1]]}}}],"schema":"https://github.com/citation-style-language/schema/raw/master/csl-citation.json"}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and objective comfort </w:t>
      </w:r>
      <w:r>
        <w:fldChar w:fldCharType="begin"/>
      </w:r>
      <w:r>
        <w:rPr>
          <w:rFonts w:ascii="times new roman" w:hAnsi="times new roman" w:cs="Times New Roman"/>
        </w:rPr>
        <w:instrText xml:space="preserve">ADDIN ZOTERO_TEMP</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but often leave aside equity considerations related to both the spatial and temporal coverage of transit service </w:t>
      </w:r>
      <w:r>
        <w:fldChar w:fldCharType="begin"/>
      </w:r>
      <w:r>
        <w:rPr>
          <w:rFonts w:ascii="times new roman" w:hAnsi="times new roman" w:cs="Times New Roman"/>
        </w:rPr>
        <w:instrText xml:space="preserve">ADDIN ZOTERO_ITEM CSL_CITATION {"citationID":"thg2rpX5","properties":{"formattedCitation":"(6,7)","plainCitation":"(6,7)","noteIndex":0},"citationItems":[{"id":740,"uris":["http://zotero.org/groups/6563173/items/AX93XEU3"],"itemData":{"id":740,"type":"article-journal","abstract":"One of the most common areas in public transit planning that has been under investigation is the inclusion of “social justice”. In its simplest form, social justice demands more equitable access for all residents to resources that are provided by a city. However, public transit plans are typically guided by maximising tangible measures such as economic growth and efficiency. Concerns about discriminatory geographies which have led to low-income neighbourhoods with higher unemployment rates, social exclusion, lower political engagement, and participation in urban activities have brought attention to the re-assessment of transit planning. Limitations of the current methods and frameworks make it difficult to measure the outcomes of transit planning strategies and policies with respect to social justice, and to determine if the policies will produce a just transit system. This review provides a critical examination of transit policies in relation to social justice. It gives a summary of key transportation just theories, and their limitations in evaluating a transit system. A social justice framework, which incorporates just theories, is provided to assess a transit system’s accessibility for disadvantaged (low-income) population groups. The framework enhances the sustainable relationship between the accessibility a commuter requires and services provided by the transit system. The review concludes with knowledge gaps and directions for future research.","citation-key":"adliCriticalReviewSocial2021","container-title":"Sustainability","DOI":"10.3390/su13084289","ISSN":"2071-1050","issue":"8","language":"en","license":"http://creativecommons.org/licenses/by/3.0/","page":"4289","publisher":"Multidisciplinary Digital Publishing Institute","source":"www.mdpi.com","title":"A Critical Review of Social Justice Theories in Public Transit Planning","volume":"13","author":[{"family":"Adli","given":"Saeid Nazari"},{"family":"Chowdhury","given":"Subeh"}],"issued":{"date-parts":[["2021",1]]}}},{"id":751,"uris":["http://zotero.org/groups/6563173/items/FLENZV6I"],"itemData":{"id":751,"type":"article-journal","abstract":"Passengers’ choice of mode in public transport depends on several other factors than travel time. In order to increase public transport usage, transport service should be designed in a way that it accommodates the service levels required by customers. Despite being one of the most important determinants of public transport demand, convenience is often neglected in transportation systems design and assessment of operational performance. This study is an attempt to provide a better definition of comfort in public transport and to develop a framework for measuring perception of comfort, one of the most important determinants of public transport convenience. This paper offers a new method for assessing comfort in public transport systems by introducing a new index which is based on a number of qualitative and quantitative indicators. It also provides a deeper understanding of passengers’ attitudes towards public transport and perception of comfort in public transport services.","citation-key":"imreMeasuringComfortPublic2017","collection-title":"World Conference on Transport Research - WCTR 2016 Shanghai. 10-15 July 2016","container-title":"Transportation Research Procedia","DOI":"10.1016/j.trpro.2017.05.261","ISSN":"2352-1465","journalAbbreviation":"Transportation Research Procedia","page":"2441-2449","source":"ScienceDirect","title":"Measuring Comfort in Public Transport: A case study for İstanbul","title-short":"Measuring Comfort in Public Transport","volume":"25","author":[{"family":"İmre","given":"Şükrü"},{"family":"Çelebi","given":"Dilay"}],"issued":{"date-parts":[["2017",1,1]]}}}],"schema":"https://github.com/citation-style-language/schema/raw/master/csl-citation.json"}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Consequently, they often fail to meet the needs of the most disadvantaged residents </w:t>
      </w:r>
      <w:r>
        <w:fldChar w:fldCharType="begin"/>
      </w:r>
      <w:r>
        <w:rPr>
          <w:rFonts w:ascii="times new roman" w:hAnsi="times new roman" w:cs="Times New Roman"/>
        </w:rPr>
        <w:instrText xml:space="preserve">ADDIN ZOTERO_ITEM CSL_CITATION {"citationID":"Ckz5Gbxh","properties":{"formattedCitation":"(8)","plainCitation":"(8)","noteIndex":0},"citationItems":[{"id":756,"uris":["http://zotero.org/groups/6563173/items/RGFMTZ9C"],"itemData":{"id":756,"type":"article-journal","abstract":"The late 1990s and early 2000s witnessed a growing interest amongst UK academics and policy makers in the issue of transport disadvantage and, more innovatively, how this might relate to growing concerns about the social exclusion of low income groups and communities. Studies (predominantly in the United Kingdom) began to make more explicit the links policy between poverty, transport disadvantage, access to key services and economic and social exclusion (see for example Church and Frost, 2000; TRaC, 2000, Lucas et al., 2001, Kenyon, 2003, Kenyon et al., 2003, Hodgson and Turner, 2003; Raje, 2003). By 2003, the UK Social Exclusion Unit had published and its now internationally recognised report on this subject, which subsequently resulted in the development of a set of transport policy guidances to local authorities in England to deliver what is now commonly referred to as accessibility planning as part of their Local Transport Plans (Department for Transport, 2006). Since this time, researchers, policy makers and practitioners in several other countries became interested in adopting a social exclusion approach to transport planning, largely because of its utility in identifying the role of transport, land use planning and service delivery decisions in creating and reinforcing poverty and social disadvantage. Eight years on from the SEU report, we can begin to reflect on the extent to which a social exclusion approach to the research of transport disadvantage has been successful in opening up new avenues of research enquiry and/or identifying new theoretical perspectives and/or methodological approaches. The paper begins by briefly revisiting the basic theories and core definitions which underpin and inform a social exclusion perspective. It then considers how these have been translated and understood in terms of transport. Secondly, it considers some of the emergent empirical research of transport-related exclusion that has attempted to measure and model the interactions between transport and mobility inequalities and relational negative social outcomes. Thirdly, it offers observations on progress in some key areas of policy and practice, with specific reference to the UK and Australia. It concludes by suggesting how further progress might be made on this issue and considers whether the social exclusion agenda is still a relevant approach for achieving this.","citation-key":"lucasTransportSocialExclusion2012","collection-title":"URBAN TRANSPORT INITIATIVES","container-title":"Transport Policy","DOI":"10.1016/j.tranpol.2012.01.013","ISSN":"0967-070X","journalAbbreviation":"Transport Policy","page":"105-113","source":"ScienceDirect","title":"Transport and social exclusion: Where are we now?","title-short":"Transport and social exclusion","volume":"20","author":[{"family":"Lucas","given":"Karen"}],"issued":{"date-parts":[["2012",3,1]]}}}],"schema":"https://github.com/citation-style-language/schema/raw/master/csl-citation.json"}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 transit planning process primary focus is on service cost </w:t>
      </w:r>
      <w:r>
        <w:fldChar w:fldCharType="begin"/>
      </w:r>
      <w:r>
        <w:rPr>
          <w:rFonts w:ascii="times new roman" w:hAnsi="times new roman" w:cs="Times New Roman"/>
        </w:rPr>
        <w:instrText xml:space="preserve">ADDIN ZOTERO_ITEM CSL_CITATION {"citationID":"1eM1J0am","properties":{"unsorted":false,"formattedCitation":"(9\\uc0\\u8211{}11)","plainCitation":"(9–11)","noteIndex":0},"citationItems":[{"id":870,"uris":["http://zotero.org/groups/6563173/items/HWVHI6N2"],"itemData":{"id":870,"type":"article-journal","abstract":"This paper presents an agent-based model (ABM) to simulate and compare two different operation strategies of a public transport service in small-sized cities, namely a fixed-route transit (FRT) and a demand-responsive transport (DRT) service, under varying demand rates and supply configurations. The ABM builds upon a previous work by the Authors, where flexible and feeder services of a Mass Rapid Transit system were simulated. In this paper, instead of a many-to-one pattern typical of a feeder service, we considered a many-to-many one. The objective is to investigate the conditions that make a DRT more attractive than a FRT in small-sized cities and guide its design considering the demand fluctuation, land-use pattern, service constraints and passenger preferences. A dispatching algorithm for the DRT allows to assign each new trip request to a vehicle, and a couple of origin and destination stops, updating the vehicle schedule in real time. The service includes fixed and virtual stops, allowing request consolidation and balancing operator-related (cost of the service) and user-related (quality of service) needs. The model is applied to Vittoria (Italy), a small city with 60,000 residents in Southern Italy where most trips are made by car, also due to the absence of an urban public transport service. First results highlight the benefits of providing a flexible service compared to a fixed one to minimize detours, waiting times and walking distances experienced by passengers while allowing for a higher shareability and efficiency of the service.","citation-key":"calabroDesigningDemandResponsive2023","collection-title":"AIIT 3rd International Conference on Transport Infrastructure and Systems (TIS ROMA 2022), 15th-16th September 2022, Rome, Italy","container-title":"Transportation Research Procedia","DOI":"10.1016/j.trpro.2023.02.233","ISSN":"2352-1465","journalAbbreviation":"Transportation Research Procedia","page":"759-766","source":"ScienceDirect","title":"Designing demand responsive transport services in small-sized cities using an agent-based model","volume":"69","author":[{"family":"Calabrò","given":"Giovanni"},{"family":"Pira","given":"Michela Le"},{"family":"Giuffrida","given":"Nadia"},{"family":"Inturri","given":"Giuseppe"},{"family":"Ignaccolo","given":"Matteo"},{"family":"Correia","given":"Gonçalo H. de A."}],"issued":{"date-parts":[["2023",1,1]]}}},{"id":873,"uris":["http://zotero.org/groups/6563173/items/KIY65R5C"],"itemData":{"id":873,"type":"article-journal","abstract":"Media often reports demand responsive transit (DRT) and ‘micro-transit’ (MT) as ‘re-inventing’ conventional fixed route transit but rarely report financial data on DRT/MT performance or note their high failure rates. This paper reviews DRT/MT systems performance with particular focus on failure rates. Results show DRT is very failure prone; 50% last less than 7 years, 40% last less than 3 years, and about a quarter fail within 2 years. In the UK, 67% of DRTs have failed, and in Australasia, 54%. Results identify and explore three distinct phases of global DRT development since the 1970s; recent MT are most failure prone (50% fail within 2 years). Results show a strong link between failure and higher costs. Specialist DRT services for disabled people were relatively cheaper while MT was found to have higher and increasing costs. Results imply simpler (e.g., many-to-few or route deviation) operations had lower failure rates compared to more complex many-to-many services.results. Conclusions suggests that despite 40 years of experience, the high failure rate of DRTs suggest they are still a high cost, experimental, uncertain and unreliable solution for cities. The paper explores policy implications of these findings and areas for future research.conclusion.","citation-key":"currieWhyMostDRT2020","collection-title":"Thredbo 16 conference","container-title":"Research in Transportation Economics","DOI":"10.1016/j.retrec.2020.100895","ISSN":"0739-8859","journalAbbreviation":"Research in Transportation Economics","page":"100895","source":"ScienceDirect","title":"Why most DRT/Micro-Transits fail – What the survivors tell us about progress","volume":"83","author":[{"family":"Currie","given":"Graham"},{"family":"Fournier","given":"Nicholas"}],"issued":{"date-parts":[["2020",11,1]]}}},{"id":876,"uris":["http://zotero.org/groups/6563173/items/XPFD7ZVW"],"itemData":{"id":876,"type":"article-journal","abstract":"Semi-flexible transit (SFT) service pattern coupled with real-time dynamic scheduling of passenger requests and dynamic route assignment of vehicles is considered as a cost-effective alternative to serving public transportation users in low demand conditions. Transit agencies tend to provide SFT by delivering it in-house by public transit agencies or contracting-out to private operators like transportation network-, taxi- or microtransit companies. Past studies focussing on economic issues in implementing SFT delivery models mostly used rudimentary information provided by transit agencies to quantify the operating cost, including budgetary inputs such as average annual maintenance, fuel, and administrative costs. These aggregate costs imply a uniform cost for SFT operation per unit time; however, the cost is subjected to change through spatial and temporal variations in demand and service. This study developed analytical disaggregate operating cost models that could account for marginal variations in cost due to the change in demand and service characteristics. Such model can assist policymakers while evaluating the economic feasibility of SFT delivery models. Rigorous and approximate operating cost models are developed for two competing service patterns: commonly adopted fixed-route bus transit (FRBT) and proposed SFT. Assuming in-house delivery of FRBT, SFT operating cost Eq.s are derived for two service delivery models, namely Contract-Out Taxi, and In-House Transit. Subsequently, these cost models are used to identify the critical passenger demand, where service patterns or delivery models could replace one another to minimize the total cost of operation. Study models can be used as part of a decision support tool to establish contracting, planning, and operating policies to optimize SFT operation subjected to required service quality.","citation-key":"mishraAssessmentDeliveryModels2020","container-title":"Transport Policy","DOI":"10.1016/j.tranpol.2020.09.004","ISSN":"0967-070X","journalAbbreviation":"Transport Policy","page":"275-287","source":"ScienceDirect","title":"Assessment of delivery models for semi-flexible transit operation in low-demand conditions","volume":"99","author":[{"family":"Mishra","given":"Sushreeta"},{"family":"Mehran","given":"Babak"},{"family":"Sahu","given":"Prasanta K."}],"issued":{"date-parts":[["2020",12,1]]}}}],"schema":"https://github.com/citation-style-language/schema/raw/master/csl-citation.json"}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kern w:val="0"/>
        </w:rPr>
        <w:t>(9–11)</w:t>
      </w:r>
      <w:r>
        <w:rPr>
          <w:rFonts w:ascii="times new roman" w:hAnsi="times new roman" w:cs="Times New Roman"/>
        </w:rPr>
      </w:r>
      <w:r>
        <w:rPr>
          <w:rFonts w:ascii="times new roman" w:hAnsi="times new roman" w:cs="Times New Roman"/>
        </w:rPr>
        <w:fldChar w:fldCharType="end"/>
      </w:r>
      <w:r>
        <w:fldChar w:fldCharType="begin"/>
      </w:r>
      <w:r>
        <w:rPr>
          <w:rFonts w:ascii="times new roman" w:hAnsi="times new roman" w:cs="Times New Roman"/>
        </w:rPr>
        <w:instrText xml:space="preserve">ADDIN EN.CITE</w:instrText>
      </w:r>
      <w:r>
        <w:rPr>
          <w:rFonts w:ascii="times new roman" w:hAnsi="times new roman" w:cs="Times New Roman"/>
        </w:rPr>
      </w:r>
      <w:r>
        <w:fldChar w:fldCharType="begin"/>
      </w:r>
      <w:r>
        <w:rPr>
          <w:rFonts w:ascii="times new roman" w:hAnsi="times new roman" w:cs="Times New Roman"/>
        </w:rPr>
        <w:instrText xml:space="preserve">ADDIN EN.CITE.DATA</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operational features </w:t>
      </w:r>
      <w:r>
        <w:fldChar w:fldCharType="begin"/>
      </w:r>
      <w:r>
        <w:rPr>
          <w:rFonts w:ascii="times new roman" w:hAnsi="times new roman" w:cs="Times New Roman"/>
        </w:rPr>
        <w:instrText xml:space="preserve">ADDIN ZOTERO_ITEM CSL_CITATION {"citationID":"js5yZ3Ap","properties":{"unsorted":false,"formattedCitation":"(12\\uc0\\u8211{}14)","plainCitation":"(12–14)","noteIndex":0},"citationItems":[{"id":878,"uris":["http://zotero.org/groups/6563173/items/ILITH5TZ"],"itemData":{"id":878,"type":"article-journal","abstract":"On-demand transit system designs are explored for the first-mile commuting in Markham, a suburb in the Greater Toronto Area (GTA). Operational scenarios are analysed using different types of on-demand solutions that can complement the existing GO Transit commuter train system. Various use cases of demand-responsive vehicles are explored in terms of vehicle capacity and fleet-size. It is assumed that the existing car-based trips to the four train stations in Markham would be replaced by an on-demand rideshare transit system. The on-demand transit system is simulated using the PTV MaaS Modeller in combination with a mesoscopic simulation, involving 1,865 trip requests within the morning peak from 7AM to 10AM. Wait-time, travel time, demand served, cost, and environmental impact are used as indicators to rate various options. Evaluating the results we came to the conclusion that three cases using vans are providing favourable outcomes. The van-based scenario using 75% of an optimal fleet size and a low detour factor turned out to be very appropriate with regard to the case study. A passenger in this scenario would at an average spend 3 min waiting for the service to arrive and 10 min in the vehicle, costing 7CAD for the ride. With a typical level of public transit subsidies applied, a 7% monthly saving is expected compared to using a private car and paying for parking fees. The scenario also results in 30% reduction in greenhouse gas emissions when compared to current personal vehicle based trips. Based on the simulation, policy suggestions for implementing the on-demand transit in Markham are presented.","citation-key":"burstleinExploringFirstmileOndemand2021","container-title":"Transportation Research Part A: Policy and Practice","DOI":"10.1016/j.tra.2021.08.018","ISSN":"0965-8564","journalAbbreviation":"Transportation Research Part A: Policy and Practice","page":"261-283","source":"ScienceDirect","title":"Exploring first-mile on-demand transit solutions for North American suburbia: A case study of Markham, Canada","title-short":"Exploring first-mile on-demand transit solutions for North American suburbia","volume":"153","author":[{"family":"Bürstlein","given":"Johanna"},{"family":"López","given":"David"},{"family":"Farooq","given":"Bilal"}],"issued":{"date-parts":[["2021",11,1]]}}},{"id":886,"uris":["http://zotero.org/groups/6563173/items/LQK9A9R2"],"itemData":{"id":886,"type":"article-journal","abstract":"Ever since the 1970s, Demand Responsive Transport (DRT) has been promoted as a transport solution in circumstances where more traditional services are not economically viable, although so far a range of barriers has prevented its widespread adoption. More recently, new developments in operational and vehicle technology, coupled with significant cuts to public transport subsidy budgets, promote a willingness to explore ‘institutionally challenging’ options such as integrating transport provision across a range of different sectors. This has once more pushed the DRT concept forward as a possible option for saving money whilst retaining opportunities for accessibility. Accordingly, it is now useful to explore the current provision of DRT in Great Britain, in order to determine what type of services exist and to examine which are working well and why. Specifically, the paper draws on a national survey of DRT providers to examine the design, performance, rationale and likely futures of DRT schemes. Key findings suggest a growing role for stakeholders from the voluntary sector and the private sector, the latter resulting in a greater use of smaller vehicles. Linear regression models highlight that passenger numbers are influenced by the size of operation (in terms of seats offered) and by the use of smaller ‘car’ vehicles, particularly in rural areas. Increasingly, objectives highlight the importance of DRT in providing access and geographical coverage, though insufficient revenue presents a challenge in achieving this. The long term financial sustainability of such schemes continues to be questioned, with a limited number of schemes recognised as commercially sustainable. Naturally, therefore, cost and funding remain dominant concerns of DRT service providers. The organisational response to funding reductions has been diverse. The result is that DRT services have either been withdrawn or, in some cases, replaced conventional bus services due to DRT being a more cost-effective way of meeting local needs.","citation-key":"davisonSurveyDemandResponsive2014","container-title":"Transport Policy","DOI":"10.1016/j.tranpol.2013.11.004","ISSN":"0967-070X","journalAbbreviation":"Transport Policy","page":"47-54","source":"ScienceDirect","title":"A survey of Demand Responsive Transport in Great Britain","volume":"31","author":[{"family":"Davison","given":"Lisa"},{"family":"Enoch","given":"Marcus"},{"family":"Ryley","given":"Tim"},{"family":"Quddus","given":"Mohammed"},{"family":"Wang","given":"Chao"}],"issued":{"date-parts":[["2014",1,1]]}}},{"id":888,"uris":["http://zotero.org/groups/6563173/items/LZNG2DVG"],"itemData":{"id":888,"type":"article-journal","abstract":"This paper focuses on recent experiences in the evolution of Flexible Transport Services (FTS). It describes how previous manifestations of FTS provided dedicated solutions for special groups, often in parallel to the conventional public transport network, but highlights that in numerous countries across Europe there is now a discernable trend towards open access FTS providing services for the whole community and often feeding the conventional public transport network to provide wider access and opportunities. This is as a result of policies intended to mainstream services for people with disabilities and moves to tackle social exclusion amongst other groups while at the same time reducing the very high costs per trip associated with STS. To meet these policies, and the higher expectations and different travel behaviours of citizens to-day, it is suggested that FTS will need to radically reposition itself in terms of scale, so that there is mass coverage and ability to function as a full transport mode. This will require breakthroughs in concepts; business models; organisational and operational models; and in supporting technologies. A proposed solution to this is the Flexible Agency for Collective Mobility Services (FAMS) which provides an organisational structure and business model for FTS that incorporates the required supporting technologies.","citation-key":"nelsonRecentDevelopmentsFlexible2010","collection-title":"Reforming Public Transport throughout the World","container-title":"Research in Transportation Economics","DOI":"10.1016/j.retrec.2010.07.030","ISSN":"0739-8859","issue":"1","journalAbbreviation":"Research in Transportation Economics","page":"243-248","source":"ScienceDirect","title":"Recent developments in Flexible Transport Services","volume":"29","author":[{"family":"Nelson","given":"John D."},{"family":"Wright","given":"Steve"},{"family":"Masson","given":"Brian"},{"family":"Ambrosino","given":"Giorgio"},{"family":"Naniopoulos","given":"Aristotelis"}],"issued":{"date-parts":[["2010",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kern w:val="0"/>
        </w:rPr>
        <w:t>(12–14)</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and emissions </w:t>
      </w:r>
      <w:r>
        <w:fldChar w:fldCharType="begin"/>
      </w:r>
      <w:r>
        <w:rPr>
          <w:rFonts w:ascii="times new roman" w:hAnsi="times new roman"/>
        </w:rPr>
        <w:instrText xml:space="preserve">ADDIN ZOTERO_ITEM CSL_CITATION {"citationID":"QICCVjUM","properties":{"unsorted":false,"formattedCitation":"(12,15,16)","plainCitation":"(12,15,16)","noteIndex":0},"citationItems":[{"id":878,"uris":["http://zotero.org/groups/6563173/items/ILITH5TZ"],"itemData":{"id":878,"type":"article-journal","abstract":"On-demand transit system designs are explored for the first-mile commuting in Markham, a suburb in the Greater Toronto Area (GTA). Operational scenarios are analysed using different types of on-demand solutions that can complement the existing GO Transit commuter train system. Various use cases of demand-responsive vehicles are explored in terms of vehicle capacity and fleet-size. It is assumed that the existing car-based trips to the four train stations in Markham would be replaced by an on-demand rideshare transit system. The on-demand transit system is simulated using the PTV MaaS Modeller in combination with a mesoscopic simulation, involving 1,865 trip requests within the morning peak from 7AM to 10AM. Wait-time, travel time, demand served, cost, and environmental impact are used as indicators to rate various options. Evaluating the results we came to the conclusion that three cases using vans are providing favourable outcomes. The van-based scenario using 75% of an optimal fleet size and a low detour factor turned out to be very appropriate with regard to the case study. A passenger in this scenario would at an average spend 3 min waiting for the service to arrive and 10 min in the vehicle, costing 7CAD for the ride. With a typical level of public transit subsidies applied, a 7% monthly saving is expected compared to using a private car and paying for parking fees. The scenario also results in 30% reduction in greenhouse gas emissions when compared to current personal vehicle based trips. Based on the simulation, policy suggestions for implementing the on-demand transit in Markham are presented.","citation-key":"burstleinExploringFirstmileOndemand2021","container-title":"Transportation Research Part A: Policy and Practice","DOI":"10.1016/j.tra.2021.08.018","ISSN":"0965-8564","journalAbbreviation":"Transportation Research Part A: Policy and Practice","page":"261-283","source":"ScienceDirect","title":"Exploring first-mile on-demand transit solutions for North American suburbia: A case study of Markham, Canada","title-short":"Exploring first-mile on-demand transit solutions for North American suburbia","volume":"153","author":[{"family":"Bürstlein","given":"Johanna"},{"family":"López","given":"David"},{"family":"Farooq","given":"Bilal"}],"issued":{"date-parts":[["2021",11,1]]}}},{"id":881,"uris":["http://zotero.org/groups/6563173/items/NSFG9ENM"],"itemData":{"id":881,"type":"article-journal","abstract":"The environmental performance of public transport plays a key role in improving air quality in urban areas. An important way of improving existing transit services is to use innovative propulsive systems; however, this needs considerable financial resources that are not always available. Here we assess how the organizational form of the transit system may impact the environment relying on a new methodology that permits comparisons in terms of distance traveled between a traditional fixed-route and a demand responsive transit service. We apply an emission model to find the least polluting transit system under a broad range of scenarios with different road networks, service quality levels and demand densities. Results indicate that demand responsive transit services minimize emissions for high quality service level and low demand density scenarios. Furthermore, the possibility of employing smaller vans with lower emission factors guarantees additional substantial benefits in terms of atmospheric pollution for demand responsive transit services, thereby giving them a competitive advantage in virtually every case.","citation-key":"dianaEmissionsDemandResponsive2007","container-title":"Transportation Research Part D: Transport and Environment","DOI":"10.1016/j.trd.2007.01.009","ISSN":"1361-9209","issue":"3","journalAbbreviation":"Transportation Research Part D: Transport and Environment","page":"183-188","source":"ScienceDirect","title":"Emissions of demand responsive services as an alternative to conventional transit systems","volume":"12","author":[{"family":"Diana","given":"Marco"},{"family":"Quadrifoglio","given":"Luca"},{"family":"Pronello","given":"Cristina"}],"issued":{"date-parts":[["2007",5,1]]}}},{"id":884,"uris":["http://zotero.org/groups/6563173/items/GFKH3X44"],"itemData":{"id":884,"type":"article-journal","abstract":"In rural areas with low demand, demand responsive transport (DRT) can provide an alternative to the regular public transport bus lines, which are expensive to operate in such conditions. With simulation, we explore the potential effects of introducing a DRT service that replaces existing bus lines in Lolland municipality in Denmark, assuming that the existing demand remains unchanged. We set up the DRT service in such a way that its service quality (in terms of waiting time and in-vehicle time) is comparable to the replaced buses. The results show that a DRT service can be more cost efficient than regular buses and can produce significantly less CO2 emissions when the demand level is low. Additionally, we analyse the demand density at which regular buses become more cost efficient and explore how the target service quality of a DRT service can affect operational characteristics. Overall, we argue that DRT could be a more sustainable mode of public transport in low demand areas.","citation-key":"dytckovPotentialBenefitsDemand2022","container-title":"Sustainability","DOI":"10.3390/su14063252","ISSN":"2071-1050","issue":"6","language":"en","license":"http://creativecommons.org/licenses/by/3.0/","page":"3252","publisher":"Multidisciplinary Digital Publishing Institute","source":"www.mdpi.com","title":"Potential Benefits of Demand Responsive Transport in Rural Areas: A Simulation Study in Lolland, Denmark","title-short":"Potential Benefits of Demand Responsive Transport in Rural Areas","volume":"14","author":[{"family":"Dytckov","given":"Sergei"},{"family":"Persson","given":"Jan A."},{"family":"Lorig","given":"Fabian"},{"family":"Davidsson","given":"Paul"}],"issued":{"date-parts":[["2022",1]]}}}],"schema":"https://github.com/citation-style-language/schema/raw/master/csl-citation.json"}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(12,15,16)</w:t>
      </w:r>
      <w:r>
        <w:rPr>
          <w:rFonts w:ascii="times new roman" w:hAnsi="times new roman"/>
        </w:rPr>
      </w:r>
      <w:r>
        <w:rPr>
          <w:rFonts w:ascii="times new roman" w:hAnsi="times new roman"/>
        </w:rPr>
        <w:fldChar w:fldCharType="end"/>
      </w:r>
      <w:r>
        <w:rPr>
          <w:rFonts w:ascii="times new roman" w:hAnsi="times new roman"/>
        </w:rPr>
        <w:t xml:space="preserve">. Furthermore, current standards (e.g., Transit Capacity and Quality of Service Manual (TCQSM)) and manuals (e.g., Federal Transit Administration (FTA)) completely overlook equity dimensions, yet equity-deserving groups are those who rely most on public transit </w:t>
      </w:r>
      <w:r>
        <w:fldChar w:fldCharType="begin"/>
      </w:r>
      <w:r>
        <w:rPr>
          <w:rFonts w:ascii="times new roman" w:hAnsi="times new roman" w:cs="Times New Roman"/>
        </w:rPr>
        <w:instrText xml:space="preserve">ADDIN ZOTERO_ITEM CSL_CITATION {"citationID":"GYQ10clh","properties":{"unsorted":false,"formattedCitation":"(Palm, Allen, et al., 2023; Ravensbergen et al., 2023a; Statistics Canada, 2025a; Tabascio et al., 2024a)","plainCitation":"(Palm, Allen, et al., 2023; Ravensbergen et al., 2023a; Statistics Canada, 2025a; Tabascio et al., 2024a)","dontUpdate":true,"noteIndex":0},"citationItems":[{"id":"IdBEf4Ak/Bzmbg0AQ","uris":["http://zotero.org/users/19371690/items/IWT3HHR8"],"itemData":{"id":"TFmmldEk/hQEiYbyS","type":"article-journal","abstract":"This study analyses shift work commuting. We ask: who works evening and night shifts, how do they commute, and how does working these shifts impact activity participation and life satisfaction? We answer these questions using two national datasets. Our results offer three overarching findings. First, we find significant demographic differences in who works shifts along lines of race, poverty status, immigration, and household type, differences reflecting occupational segregation. Black, Filipino, South Asian, and Indigenous commuters are significantly overrepresented at night. Second, evening and night shift workers are more likely to commute as car passengers or by bus or walking. Third, we find that while shift workers have significantly lower life satisfaction, auto ownership may ameliorate this impact. Considering these results, we conclude that improving the transport situation for shift-workers is essential to improving life satisfaction and advancing transportation justice.","container-title":"Transportation research. Part D, Transport and environment","DOI":"10.1016/j.trd.2023.103875","ISSN":"1361-9209","language":"eng","page":"103875-","publisher":"Elsevier Ltd","source":"mcmaster.primo.exlibrisgroup.com","title":"Shifted out: The well-being and justice implications of evening and night commuting","title-short":"Shifted out","volume":"122","author":[{"family":"Palm","given":"Matthew"},{"family":"Allen","given":"Jeff"},{"family":"Farber","given":"Steven"}],"issued":{"date-parts":[["2023"]]}}},{"id":767,"uris":["http://zotero.org/groups/6563173/items/QALAIGMK"],"itemData":{"id":767,"type":"article-journal","abstract":"“Mobility of care” refers to the daily travel required to complete care labor such as travel to the grocery store, or to escort children. Though past research has examined the distribution of individual types of household-serving travel, little research to date, especially in the North American context, has examined mobility of care which combines all travel required to fulfill a household’s care needs. This paper presents the results of an exploratory analysis of mobility of care drawing on the 2018 Montreal Origin–Destination Survey. Specifically, this paper explores who completes this type of travel and how this mobility is completed. Findings indicate that mobility of care comprises 28% of adults’ daily mobility. Further, women are found to complete more of this type of travel than men, especially women from lower-income households. The presence of children in the household further widens this gendered gap, though the number of children present does not alter this trend greatly. Mobility of care trips are shorter on average than other types of travel and are frequently completed as part of a trip-chain. Further, car use and walking are more frequently used for mobility of care than other types of travel, while the opposite is true for public transport and cycling. The use of public transport for mobility of care trips is greater amongst women than men, especially those living in lower-income households. Taken together, results highlight the importance for practitioners to explicitly address mobility of care in transport planning, and particularly in public transport planning.","citation-key":"ravensbergenExploratoryAnalysisMobility2023","container-title":"Transportation Research Record: Journal of the Transportation Research Board","DOI":"10.1177/03611981221105070","ISSN":"0361-1981, 2169-4052","issue":"1","journalAbbreviation":"Transportation Research Record: Journal of the Transportation Research Board","language":"en","page":"1499-1509","source":"DOI.org (Crossref)","title":"Exploratory Analysis of Mobility of Care in Montreal, Canada","volume":"2677","author":[{"family":"Ravensbergen","given":"Léa"},{"family":"Fournier","given":"Juliette"},{"family":"El-Geneidy","given":"Ahmed"}],"issued":{"date-parts":[["2023",1]]}}},{"id":774,"uris":["http://zotero.org/groups/6563173/items/7ZDVYIXF"],"itemData":{"id":774,"type":"webpage","abstract":"For the fourth year in a row, the proportion of employed people mostly working from home was down in May 2025 (17.4%) compared with May 2024 (18.7%), resulting in more commuters on the roads.","citation-key":"statisticscanadaDailyNumberCanadian2025","language":"eng","note":"Last Modified: 2025-08-26","title":"The Daily — Number of Canadian commuters increases for fourth straight year in 2025","URL":"https://www150.statcan.gc.ca/n1/daily-quotidien/250826/dq250826a-eng.htm","author":[{"family":"Statistics Canada","given":"Government of Canada"}],"accessed":{"date-parts":[["2026",5,21]]},"issued":{"date-parts":[["2025",8,26]]}}},{"id":"IdBEf4Ak/M2CSQvd6","uris":["http://zotero.org/users/19371690/items/YDMCUE85"],"itemData":{"id":"TFmmldEk/denXPQ7o","type":"article-journal","abstract":"•Toronto’s public transit introduced a 2019 equity policy to enhance bus services.•Our quantitative and spatial study evaluates the equity implications of this policy shift.•We moved from an aggregate neighbourhood-based to a disaggregated person-based approach.•Two-thirds of Toronto transit riders are equity-deserving, with 72% residing outside priority areas.•We recommend creating a dedicated equity tool with an individual-centric focus for service planning.\nMarginalized communities usually experience inadequate public transport services in North America. Within these communities, buses play a vital role in everyday activity participation. Unfortunately, transport services that may advance equity by improving coverage and service for disadvantaged population groups and areas are often overlooked in transit planning since they usually underperform in ridership-based metrics.\nTo address this problem, the Toronto Transit Commission (TTC) introduced an equity service policy in 2019 to enhance bus services in vulnerable neighbourhoods known as Neighbourhood Improvement Areas (NIAs). This policy involves augmenting observed ridership counts for buses serving NIAs to improve or protect services for these communities. Although this proposed measure can improve bus services in NIAs, its current form might exclude other equity-deserving riders (EDRs) living outside NIAs, increasing their accessibility barriers.\nOur study uses quantitative and spatial analytical methods to better understand the equity impacts of this service policy change. We propose moving from the aggregate neighbourhood-based approach using NIAs to a more comprehensive and disaggregated person-based approach. First, we create an alternate method that identifies EDRs at the bus stop level using a fusion of census and travel survey data. We then explore the differences in augmented ridership levels created by the two approaches and evaluate whether the augmented ridership levels are likely to result in meaningful service changes using existing TTC service standards.\nWe found that 2 out of 3 transit riders in Toronto are equity-deserving, with 72% residing outside NIAs. Our approach reveals increased ridership on routes with many EDRs, which receive minimal augmentation under the NIA-based method. Conversely, if all riders in NIAs are considered EDRs, our approach shows a 19% ridership overestimation equivalent to 35,245 users. Based on these results, we recommend creating a dedicated equity tool with an individual-centric focus, identifying areas with low transit service and high EDR percentages. This tool could then be integrated as an equity perspective into annual bus service planning.","container-title":"Case studies on transport policy","DOI":"10.1016/j.cstp.2024.101256","ISSN":"2213-624X","language":"eng","page":"101256-","publisher":"Elsevier Ltd","source":"mcmaster.primo.exlibrisgroup.com","title":"Incorporating equity into transit performance measures: A disaggregated bus route level approach","title-short":"Incorporating equity into transit performance measures","volume":"17","author":[{"family":"Tabascio","given":"Alexander"},{"family":"Tiznado-Aitken","given":"Ignacio"},{"family":"Higgins","given":"Christopher"},{"family":"Farber","given":"Steven"}],"issued":{"date-parts":[["2024"]]}}}],"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(17–20)</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When service is insufficient </w:t>
      </w:r>
      <w:r>
        <w:fldChar w:fldCharType="begin"/>
      </w:r>
      <w:r>
        <w:rPr>
          <w:rFonts w:ascii="times new roman" w:hAnsi="times new roman" w:cs="Times New Roman"/>
        </w:rPr>
        <w:instrText xml:space="preserve">ADDIN ZOTERO_ITEM CSL_CITATION {"citationID":"MumMA8ll","properties":{"formattedCitation":"(Luz &amp; Portugal, 2022; Martens, 2016b)","plainCitation":"(Luz &amp; Portugal, 2022; Martens, 2016b)","dontUpdate":true,"noteIndex":0},"citationItems":[{"id":115,"uris":["http://zotero.org/users/13222595/items/4BQVKYD6"],"itemData":{"id":115,"type":"article-journal","abstract":"The paper builds on the transport-related social exclusion (TRSE) literature and investigates how the insights provided by the Capability Approach can…","citation-key":"luzUnderstandingTransportrelatedSocial2022a","container-title":"Transport Reviews","DOI":"10.1080/01441647.2021.2005183","ISSN":"0144-1647","issue":"4","language":"en-US","page":"503-525","source":"www.sciencedirect.com","title":"Understanding transport-related social exclusion through the lens of capabilities approach","volume":"42","author":[{"family":"Luz","given":"Gregorio"},{"family":"Portugal","given":"Licinio da Silva"}],"issued":{"date-parts":[["2022",7,1]]}}},{"id":736,"uris":["http://zotero.org/groups/6563173/items/BR288CKB"],"itemData":{"id":736,"type":"chapter","abstract":"Fair transportation system as a system that provides a sufficient level of accessibility to all under most circumstances may not seem radical in character, its consequences for transportation planning could not be more radical. A brief exposition of the way in which a fair transportation system could and should be financed, as such a financing scheme is a crucial component of a fair transportation system. The aim of the fair taxation scheme is to mitigate form of brute bad luck caused by too high transportation user fees. The fair taxation scheme should enable such a sustained effort: it should generate sufficient funds for the gradual improvement of the system for the benefit of persons below the sufficiency threshold. Transportation planning based on principles of justice proposes an entirely different financing scheme for the transportation domain, thereby shedding a new light on these societal debates.","citation-key":"martensDefiningSufficientAccessibility2016","container-title":"Transport Justice","ISBN":"978-1-315-74685-2","note":"number-of-pages: 18","publisher":"Routledge","title":"Defining sufficient accessibility","author":[{"family":"Martens","given":"Karel"}],"issued":{"date-parts":[["2016"]]}}}],"schema":"https://github.com/citation-style-language/schema/raw/master/csl-citation.json"}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(21,22)</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they face the greatest risk of social isolation due to transport-related factors, preventing them from participating in essential activities </w:t>
      </w:r>
      <w:r>
        <w:fldChar w:fldCharType="begin"/>
      </w:r>
      <w:r>
        <w:rPr>
          <w:rFonts w:ascii="times new roman" w:hAnsi="times new roman" w:cs="Times New Roman"/>
        </w:rPr>
        <w:instrText xml:space="preserve">ADDIN ZOTERO_TEMP</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(8,23,24)</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This group, characterized as captive-users, faces greater limitations caused by disparities in transit level of service (LoS), both spatially and temporally. </w:t>
      </w:r>
    </w:p>
    <w:p xmlns:wp14="http://schemas.microsoft.com/office/word/2010/wordml" w14:paraId="739FBFE4" wp14:textId="77777777">
      <w:pPr>
        <w:pStyle w:val="Normal"/>
        <w:rPr>
          <w:rFonts w:ascii="times new roman" w:hAnsi="times new roman"/>
        </w:rPr>
      </w:pPr>
      <w:r>
        <w:rPr>
          <w:rFonts w:ascii="times new roman" w:hAnsi="times new roman"/>
          <w:b/>
          <w:bCs/>
        </w:rPr>
        <w:t>Approaches</w:t>
      </w:r>
      <w:r>
        <w:rPr>
          <w:rFonts w:ascii="times new roman" w:hAnsi="times new roman"/>
        </w:rPr>
        <w:t>: The project aims to produce actionable knowledge to support the development of more equitable transit in Canada. At one level, we will produce equity indicators grounded in sound theories of justice. We consider this aspect of the project the one of greatest academic interest. Further, to ensure that the indicators are of practical relevance, they will be developed in partnership with stakeholders. A key aspect of procedural justice is ensuring that all stakeholders participate in the planning process and have access to the information they need for decision-making. For this reason, we: 1) adopt a codesign framework to design equity indicators in partnership with stakeholders in Hamilton, Ontario; and 2) propose to develop open-source tools to mobilize this knowledge. General Transit Feeds Specifications (GTFS) are the standard for evaluation and planning of transit operations, and will be used to implement an equity analytical module to complement the usual cost-based evaluation of transit systems. To facilitate the exploration of indicators and the evaluation and planning with the equity evaluation module, we will develop open-source tools (EquiTransit) that will embed all elements in an accessible interface (a dashboard). The tool will be based on open data and will be able to use data from different regions. The aim of the tools is to allow for the examination of socioeconomic and spatial-temporal inequalities in public transportation services, based on geo-spatial technologies.</w:t>
      </w:r>
    </w:p>
    <w:p xmlns:wp14="http://schemas.microsoft.com/office/word/2010/wordml" w14:paraId="1BF19950" wp14:textId="77777777">
      <w:pPr>
        <w:pStyle w:val="Normal"/>
        <w:rPr>
          <w:rFonts w:ascii="times new roman" w:hAnsi="times new roman"/>
        </w:rPr>
      </w:pPr>
      <w:r>
        <w:rPr>
          <w:rFonts w:ascii="times new roman" w:hAnsi="times new roman"/>
          <w:b/>
          <w:bCs/>
        </w:rPr>
        <w:t>Anticipated Benefits</w:t>
      </w:r>
      <w:r>
        <w:rPr>
          <w:rFonts w:ascii="times new roman" w:hAnsi="times new roman"/>
        </w:rPr>
        <w:t>: The impacts of inequitable access to public transit are thought to be large, yet spatial-temporal inequalities in transit provision remain little understood and of peripheral interest in transit planning. Clear and transparent tools will allow these considerations to be integrated into planning practice and public discourse. Codesigning the indicators and tools can empower policy makers to make bolder decisions with greater public support. Including equity indicators in transit performance assessments will help uncover inequalities, enabling planners and advocates to understand how disadvantaged populations in different locations and time periods are, or are not, served by public transportation. For example, visualizations showing the frequency of public transit service across areas of different income levels and at different times of day can help practitioners identify where and when low-income populations are underserved, highlighting where interventions are most needed. Performance metrics will be disaggregated by income, race, gender, and other relevant population characteristics, in addition to their traditional spatial and temporal dimensions.</w:t>
      </w:r>
    </w:p>
    <w:p xmlns:wp14="http://schemas.microsoft.com/office/word/2010/wordml" w14:paraId="58141344" wp14:textId="77777777">
      <w:pPr>
        <w:pStyle w:val="Normal"/>
        <w:rPr>
          <w:rFonts w:ascii="times new roman" w:hAnsi="times new roman"/>
        </w:rPr>
      </w:pPr>
      <w:r>
        <w:rPr>
          <w:rFonts w:ascii="times new roman" w:hAnsi="times new roman"/>
          <w:b/>
          <w:bCs/>
        </w:rPr>
        <w:t>Facilitation of knowledge transition</w:t>
      </w:r>
      <w:r>
        <w:rPr>
          <w:rFonts w:ascii="times new roman" w:hAnsi="times new roman"/>
        </w:rPr>
        <w:t>: This project aims to develop EquiTransit for planners and community members to better identify who has the most and least amounts of different transportation services, but even more crucially, where those populations are located and when are the services needed. Using spatial and temporal visualizations, planners and other stakeholders will be better able to address issues in equity in transportation access. This would be particularly beneficial for transit agencies to better understand where service changes or additions should be made to increase transit equity.</w:t>
      </w:r>
    </w:p>
    <w:p xmlns:wp14="http://schemas.microsoft.com/office/word/2010/wordml" w14:paraId="13F8E51F" wp14:textId="77777777">
      <w:pPr>
        <w:pStyle w:val="Normal"/>
        <w:rPr>
          <w:rFonts w:ascii="times new roman" w:hAnsi="times new roman"/>
        </w:rPr>
      </w:pPr>
      <w:r>
        <w:rPr>
          <w:rFonts w:ascii="times new roman" w:hAnsi="times new roman"/>
          <w:b/>
          <w:bCs/>
        </w:rPr>
        <w:t>Public Transportation and Equity</w:t>
      </w:r>
      <w:r>
        <w:rPr>
          <w:rFonts w:ascii="times new roman" w:hAnsi="times new roman"/>
        </w:rPr>
        <w:t xml:space="preserve">: Traditional transit performance evaluations optimize service for an average user by focusing on efficiency, ridership, and reliability. These are system level, operational performance metrics that frame transit evaluation in a way that does not engage with social outcomes. Yet, transit is most heavily relied upon by individuals who have the fewest alternatives (i.e., captive users). Evidence from Canadian sources supports this concern. In 2021, 17.6% of racialized commuters in large urban centres took public transit to work, compared with 6.4% of non-racialized commuters, and 13.1% of immigrants relied on transit versus 4.7% of those born in Canada </w:t>
      </w:r>
      <w:r>
        <w:fldChar w:fldCharType="begin"/>
      </w:r>
      <w:r>
        <w:rPr>
          <w:rFonts w:ascii="times new roman" w:hAnsi="times new roman" w:cs="Times New Roman"/>
        </w:rPr>
        <w:instrText xml:space="preserve">ADDIN ZOTERO_ITEM CSL_CITATION {"citationID":"p2xoGhCv","properties":{"unsorted":false,"formattedCitation":"(Statistics Canada, 2022)","plainCitation":"(Statistics Canada, 2022)","dontUpdate":true,"noteIndex":0},"citationItems":[{"id":"IdBEf4Ak/e6pWsWwX","uris":["http://zotero.org/users/19371690/items/T7WZMY39"],"itemData":{"id":1949,"type":"webpage","abstract":"The way Canadians commute was altered in 2021 by the pandemic, with lockdowns to slow the spread of COVID-19 and changes in how and where Canadians worked leading to 2.8 million fewer commuters, compared with five years earlier.","language":"eng","note":"Last Modified: 2022-11-30","title":"The Daily — Has the COVID-19 pandemic changed commuting patterns for good?","URL":"https://www150.statcan.gc.ca/n1/daily-quotidien/221130/dq221130c-eng.htm","author":[{"family":"Statistics Canada","given":"Government of Canada"}],"accessed":{"date-parts":[["2026",5,21]]},"issued":{"date-parts":[["2022",11,30]]}}}],"schema":"https://github.com/citation-style-language/schema/raw/master/csl-citation.json"}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By May 2025, roughly one in four Black (25.7%), Latin American (25.3%), and Filipino (24.4%) commuters used transit, and the average transit commute had reached 44.1 minutes, nearly twice that of a car commute, with most racialized groups facing systematically longer journeys </w:t>
      </w:r>
      <w:r>
        <w:fldChar w:fldCharType="begin"/>
      </w:r>
      <w:r>
        <w:rPr>
          <w:rFonts w:ascii="times new roman" w:hAnsi="times new roman" w:cs="Times New Roman"/>
        </w:rPr>
        <w:instrText xml:space="preserve">ADDIN ZOTERO_ITEM CSL_CITATION {"citationID":"n1WLLbQd","properties":{"unsorted":false,"formattedCitation":"(Statistics Canada, 2025b)","plainCitation":"(Statistics Canada, 2025b)","dontUpdate":true,"noteIndex":0},"citationItems":[{"id":"IdBEf4Ak/o4mAv4rE","uris":["http://zotero.org/users/19371690/items/X6SQHGRS"],"itemData":{"id":1947,"type":"webpage","abstract":"For the fourth year in a row, the proportion of employed people mostly working from home was down in May 2025 (17.4%) compared with May 2024 (18.7%), resulting in more commuters on the roads.","language":"eng","note":"Last Modified: 2025-08-26","title":"The Daily — Number of Canadian commuters increases for fourth straight year in 2025","URL":"https://www150.statcan.gc.ca/n1/daily-quotidien/250826/dq250826a-eng.htm","author":[{"family":"Statistics Canada","given":"Government of Canada"}],"accessed":{"date-parts":[["2026",5,21]]},"issued":{"date-parts":[["2025",8,26]]}}}],"schema":"https://github.com/citation-style-language/schema/raw/master/csl-citation.json"}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(28)</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These patterns coincide with material deprivation. Allen &amp; Farber </w:t>
      </w:r>
      <w:r>
        <w:fldChar w:fldCharType="begin"/>
      </w:r>
      <w:r>
        <w:rPr>
          <w:rFonts w:ascii="times new roman" w:hAnsi="times new roman" w:cs="Times New Roman"/>
        </w:rPr>
        <w:instrText xml:space="preserve">ADDIN ZOTERO_ITEM CSL_CITATION {"citationID":"zJdpglIM","properties":{"unsorted":false,"formattedCitation":"(25)","plainCitation":"(25)","noteIndex":0},"citationItems":[{"id":776,"uris":["http://zotero.org/groups/6563173/items/PJNJVMTA"],"itemData":{"id":776,"type":"article-journal","abstract":"Millions of Canadians rely on public transportation to conduct daily activities and participate in the labour force. However, many low-income households are disadvantaged because existing public transit service does not provide them with sufficient access to destinations. Limited transit options, compounded with socioeconomic disadvantage, can result in transport poverty, preventing travel to important destinations, like employment opportunities. Given the growing gentrification of Canadian downtowns and the dispersion of poverty into Canadian suburbs, the time is right for a national accounting of those living in transport poverty, and the development of a national transport and land use strategy for alleviating the risks of accessibility deprivation. Accordingly, in this paper we measure and analyze vertical inequalities in access to employment in Canadian cities in order to estimate how many, where, and to what extent, Canadians are at risk of transport poverty. We make use of open transit network data and cutting edge accessibility measurement methods to generate comparative scores suitable for a national-scale analysis. We find that in aggregate, lower income neighbourhoods tend to have better levels of transit accessibility. But despite this overall positive outlook, there are still nearly one million low-income individuals living in urban areas with low transit accessibility. We summarize our findings by generating descriptive typologies for areas vulnerable to transport poverty which are then used to develop and recommend planning strategies to reduce inequalities.\n•We measure transit access to employment for Canada's eight largest cities.•We estimate where and to what extent Canadians are at risk of transport poverty.•Findings show low SES residents generally live in more accessible areas.•However, there are still nearly one million residents at risk of transport poverty.•A neighbourhood-scale cluster analysis is used to inform policy recommendations.","citation-key":"allenSizingTransportPoverty2019b","container-title":"Transport policy","DOI":"10.1016/j.tranpol.2018.11.018","ISSN":"0967-070X","language":"eng","page":"214–223","publisher":"Elsevier Ltd","source":"mcmaster.primo.exlibrisgroup.com","title":"Sizing up transport poverty: A national scale accounting of low-income households suffering from inaccessibility in Canada, and what to do about it","title-short":"Sizing up transport poverty","volume":"74","author":[{"family":"Allen","given":"Jeff"},{"family":"Farber","given":"Steven"}],"issued":{"date-parts":[["2019"]]}}}],"schema":"https://github.com/citation-style-language/schema/raw/master/csl-citation.json"}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estimate that close to one million Canadians across the eight largest CMAs live in low-income households in areas of poor transit accessibility, placing them at risk of transport poverty. Women in lower-income households also undertake substantially more care-related travel that are poorly serviced by current network designs </w:t>
      </w:r>
      <w:r>
        <w:fldChar w:fldCharType="begin"/>
      </w:r>
      <w:r>
        <w:rPr>
          <w:rFonts w:ascii="times new roman" w:hAnsi="times new roman" w:cs="Times New Roman"/>
        </w:rPr>
        <w:instrText xml:space="preserve">ADDIN ZOTERO_ITEM CSL_CITATION {"citationID":"Hesp67yZ","properties":{"unsorted":false,"formattedCitation":"(Ravensbergen et al., 2023b)","plainCitation":"(Ravensbergen et al., 2023b)","dontUpdate":true,"noteIndex":0},"citationItems":[{"id":"IdBEf4Ak/PAmJxQmV","uris":["http://zotero.org/users/19371690/items/QUTVEZR8"],"itemData":{"id":1936,"type":"article-journal","abstract":"“Mobility of care” refers to the daily travel required to complete care labor such as travel to the grocery store, or to escort children. Though past research has examined the distribution of individual types of household-serving travel, little research to date, especially in the North American context, has examined mobility of care which combines all travel required to fulfill a household’s care needs. This paper presents the results of an exploratory analysis of mobility of care drawing on the 2018 Montreal Origin–Destination Survey. Specifically, this paper explores who completes this type of travel and how this mobility is completed. Findings indicate that mobility of care comprises 28% of adults’ daily mobility. Further, women are found to complete more of this type of travel than men, especially women from lower-income households. The presence of children in the household further widens this gendered gap, though the number of children present does not alter this trend greatly. Mobility of care trips are shorter on average than other types of travel and are frequently completed as part of a trip-chain. Further, car use and walking are more frequently used for mobility of care than other types of travel, while the opposite is true for public transport and cycling. The use of public transport for mobility of care trips is greater amongst women than men, especially those living in lower-income households. Taken together, results highlight the importance for practitioners to explicitly address mobility of care in transport planning, and particularly in public transport planning.","container-title":"Transportation research record","DOI":"10.1177/03611981221105070","ISSN":"0361-1981","issue":"1","language":"eng","page":"1499–1509","publisher":"SAGE Publications","publisher-place":"Los Angeles, CA","source":"mcmaster.primo.exlibrisgroup.com","title":"Exploratory Analysis of Mobility of Care in Montreal, Canada","volume":"2677","author":[{"family":"Ravensbergen","given":"Léa"},{"family":"Fournier","given":"Juliette"},{"family":"El-Geneidy","given":"Ahmed"}],"issued":{"date-parts":[["2023"]]}}}],"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(30)</w:t>
      </w:r>
      <w:r>
        <w:rPr>
          <w:rFonts w:ascii="times new roman" w:hAnsi="times new roman" w:cs="Times New Roman"/>
        </w:rPr>
      </w:r>
      <w:r>
        <w:rPr>
          <w:rFonts w:ascii="times new roman" w:hAnsi="times new roman" w:cs="Times New Roman"/>
        </w:rPr>
        <w:fldChar w:fldCharType="end"/>
      </w:r>
      <w:r>
        <w:rPr>
          <w:rFonts w:ascii="times new roman" w:hAnsi="times new roman"/>
        </w:rPr>
        <w:t>.</w:t>
      </w:r>
    </w:p>
    <w:p xmlns:wp14="http://schemas.microsoft.com/office/word/2010/wordml" w14:paraId="0554DDF5" wp14:textId="77777777">
      <w:pPr>
        <w:pStyle w:val="Normal"/>
        <w:rPr>
          <w:rFonts w:ascii="times new roman" w:hAnsi="times new roman"/>
        </w:rPr>
      </w:pPr>
      <w:r>
        <w:rPr>
          <w:rFonts w:ascii="times new roman" w:hAnsi="times new roman"/>
        </w:rPr>
        <w:t xml:space="preserve">This makes the distribution of service to different people, at diverse places, and various times a question of justice </w:t>
      </w:r>
      <w:r>
        <w:fldChar w:fldCharType="begin"/>
      </w:r>
      <w:r>
        <w:rPr>
          <w:rFonts w:ascii="times new roman" w:hAnsi="times new roman" w:cs="Times New Roman"/>
        </w:rPr>
        <w:instrText xml:space="preserve">ADDIN ZOTERO_ITEM CSL_CITATION {"citationID":"ZYnD2qHr","properties":{"unsorted":false,"formattedCitation":"(Pereira et al., 2017)","plainCitation":"(Pereira et al., 2017)","dontUpdate":true,"noteIndex":0},"citationItems":[{"id":"IdBEf4Ak/Qu1zBW1r","uris":["http://zotero.org/users/19371690/items/3P4W8ZCG"],"itemData":{"id":1942,"type":"article-journal","abstract":"Over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(25)</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Distributive justice in transportation asks who benefits from the system and who carries its burdens, shifting the evaluative criterion from system performance to the accessibility opportunities delivered to different socioeconomic and demographic groups </w:t>
      </w:r>
      <w:r>
        <w:fldChar w:fldCharType="begin"/>
      </w:r>
      <w:r>
        <w:rPr>
          <w:rFonts w:ascii="times new roman" w:hAnsi="times new roman" w:cs="Times New Roman"/>
        </w:rPr>
        <w:instrText xml:space="preserve">ADDIN ZOTERO_ITEM CSL_CITATION {"citationID":"GRSMH2KH","properties":{"unsorted":false,"formattedCitation":"(Karner et al., 2025)","plainCitation":"(Karner et al., 2025)","dontUpdate":true,"noteIndex":0},"citationItems":[{"id":"IdBEf4Ak/AlE5Zt2g","uris":["http://zotero.org/users/19371690/items/4VKRGHGE"],"itemData":{"id":1939,"type":"article-journal","abstract":"Transportation systems play a pivotal role in facilitating access to out-of-home activities, enabling participation in various aspects of social life. But because of budgetary and physical limitations, they cannot provide equal access everywhere; inevitably, some locations will be better served than others. This realization gives rise to two fundamental concerns in transportation equity research and practice: (1) accessibility inequality and (2) accessibility poverty. Accessibility inequalities may rise to the level of injustice when some socioeconomic groups systematically have lower access to opportunities than others. Accessibility poverty occurs when people are unable to meet their daily needs and live a dignified and fulfilling life because of a lack of access to essential services and opportunities. In this paper, we review two of the most widely used approaches for evaluating transport justice concerns related to accessibility inequality and accessibility poverty: Gini coefficients/Lorenz curves and needs-gap/transit desert approaches, respectively. We discuss how their theoretical underpinnings are inconsistent with egalitarian and sufficientarian perspectives in transport justice and show how the underlying assumptions of these methods and their applications found in the transportation equity literature embody many previously unacknowledged limitations that severely limit their utility. We substantiate these concerns by analysing the equity impacts of Covid-19-related service cuts undertaken in Washington, D.C. during 2020. The paper also discusses how alternative methods for measuring transportation equity both better comport with the known impacts of such changes and are consistent with underlying moral concerns.","container-title":"Transportation (Dordrecht)","DOI":"10.1007/s11116-023-10460-7","ISSN":"0049-4488","issue":"4","language":"eng","page":"1399–1427","publisher":"Springer US","publisher-place":"New York","source":"mcmaster.primo.exlibrisgroup.com","title":"Advances and pitfalls in measuring transportation equity","volume":"52","author":[{"family":"Karner","given":"Alex"},{"family":"Pereira","given":"Rafael H. M."},{"family":"Farber","given":"Steven"}],"issued":{"date-parts":[["2025"]]}}}],"schema":"https://github.com/citation-style-language/schema/raw/master/csl-citation.json"}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(26)</w:t>
      </w:r>
      <w:r>
        <w:rPr>
          <w:rFonts w:ascii="times new roman" w:hAnsi="times new roman" w:cs="Times New Roman"/>
        </w:rPr>
      </w:r>
      <w:r>
        <w:rPr>
          <w:rFonts w:ascii="times new roman" w:hAnsi="times new roman" w:cs="Times New Roman"/>
        </w:rPr>
        <w:fldChar w:fldCharType="end"/>
      </w:r>
      <w:r>
        <w:rPr>
          <w:rFonts w:ascii="times new roman" w:hAnsi="times new roman"/>
        </w:rPr>
        <w:t>. This framework moves beyond horizontal equity, which treats all riders identically, to vertical equity, that is, actively directing better service, coverage, and frequency to the groups who rely on it most and face the greatest systemic barriers. Vertical equity represents a stricter idea of justice, as new benefits are unequally distributed in favor of under-privileged populations.</w:t>
      </w:r>
    </w:p>
    <w:p xmlns:wp14="http://schemas.microsoft.com/office/word/2010/wordml" w14:paraId="627DF2E4" wp14:textId="77777777">
      <w:pPr>
        <w:pStyle w:val="Normal"/>
        <w:spacing w:before="120" w:after="0"/>
        <w:rPr>
          <w:rFonts w:ascii="times new roman" w:hAnsi="times new roman"/>
        </w:rPr>
      </w:pPr>
      <w:r>
        <w:rPr>
          <w:rFonts w:ascii="times new roman" w:hAnsi="times new roman"/>
        </w:rPr>
        <w:t xml:space="preserve">Existing planning tools rarely delve into these inequities. A recent analysis of Toronto's bus network shows that although two-thirds of TTC riders are equity-deserving, most live outside the agency's designated equity priority areas, leaving much of the population the framework is meant to serve largely invisible to it </w:t>
      </w:r>
      <w:r>
        <w:fldChar w:fldCharType="begin"/>
      </w:r>
      <w:r>
        <w:rPr>
          <w:rFonts w:ascii="times new roman" w:hAnsi="times new roman" w:cs="Times New Roman"/>
        </w:rPr>
        <w:instrText xml:space="preserve">ADDIN ZOTERO_ITEM CSL_CITATION {"citationID":"APEEJbxW","properties":{"unsorted":false,"formattedCitation":"(Tabascio et al., 2024a)","plainCitation":"(Tabascio et al., 2024a)","dontUpdate":true,"noteIndex":0},"citationItems":[{"id":"IdBEf4Ak/M2CSQvd6","uris":["http://zotero.org/users/19371690/items/YDMCUE85"],"itemData":{"id":1938,"type":"article-journal","abstract":"•Toronto’s public transit introduced a 2019 equity policy to enhance bus services.•Our quantitative and spatial study evaluates the equity implications of this policy shift.•We moved from an aggregate neighbourhood-based to a disaggregated person-based approach.•Two-thirds of Toronto transit riders are equity-deserving, with 72% residing outside priority areas.•We recommend creating a dedicated equity tool with an individual-centric focus for service planning.\nMarginalized communities usually experience inadequate public transport services in North America. Within these communities, buses play a vital role in everyday activity participation. Unfortunately, transport services that may advance equity by improving coverage and service for disadvantaged population groups and areas are often overlooked in transit planning since they usually underperform in ridership-based metrics.\nTo address this problem, the Toronto Transit Commission (TTC) introduced an equity service policy in 2019 to enhance bus services in vulnerable neighbourhoods known as Neighbourhood Improvement Areas (NIAs). This policy involves augmenting observed ridership counts for buses serving NIAs to improve or protect services for these communities. Although this proposed measure can improve bus services in NIAs, its current form might exclude other equity-deserving riders (EDRs) living outside NIAs, increasing their accessibility barriers.\nOur study uses quantitative and spatial analytical methods to better understand the equity impacts of this service policy change. We propose moving from the aggregate neighbourhood-based approach using NIAs to a more comprehensive and disaggregated person-based approach. First, we create an alternate method that identifies EDRs at the bus stop level using a fusion of census and travel survey data. We then explore the differences in augmented ridership levels created by the two approaches and evaluate whether the augmented ridership levels are likely to result in meaningful service changes using existing TTC service standards.\nWe found that 2 out of 3 transit riders in Toronto are equity-deserving, with 72% residing outside NIAs. Our approach reveals increased ridership on routes with many EDRs, which receive minimal augmentation under the NIA-based method. Conversely, if all riders in NIAs are considered EDRs, our approach shows a 19% ridership overestimation equivalent to 35,245 users. Based on these results, we recommend creating a dedicated equity tool with an individual-centric focus, identifying areas with low transit service and high EDR percentages. This tool could then be integrated as an equity perspective into annual bus service planning.","container-title":"Case studies on transport policy","DOI":"10.1016/j.cstp.2024.101256","ISSN":"2213-624X","language":"eng","page":"101256-","publisher":"Elsevier Ltd","source":"mcmaster.primo.exlibrisgroup.com","title":"Incorporating equity into transit performance measures: A disaggregated bus route level approach","title-short":"Incorporating equity into transit performance measures","volume":"17","author":[{"family":"Tabascio","given":"Alexander"},{"family":"Tiznado-Aitken","given":"Ignacio"},{"family":"Higgins","given":"Christopher"},{"family":"Farber","given":"Steven"}],"issued":{"date-parts":[["2024"]]}}}],"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(20)</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Traditional performance metrics, and even most accessibility measures, also average across the day, masking systematic temporal under-service during evenings, nights, and weekends, when shift workers, who are disproportionately racialized, immigrant, and low-income, most depend on transit </w:t>
      </w:r>
      <w:r>
        <w:fldChar w:fldCharType="begin"/>
      </w:r>
      <w:r>
        <w:rPr>
          <w:rFonts w:ascii="times new roman" w:hAnsi="times new roman" w:cs="Times New Roman"/>
        </w:rPr>
        <w:instrText xml:space="preserve">ADDIN ZOTERO_ITEM CSL_CITATION {"citationID":"brF3fYjk","properties":{"unsorted":false,"formattedCitation":"(Palm, Allen, et al., 2023)","plainCitation":"(Palm, Allen, et al., 2023)","dontUpdate":true,"noteIndex":0},"citationItems":[{"id":"IdBEf4Ak/Bzmbg0AQ","uris":["http://zotero.org/users/19371690/items/IWT3HHR8"],"itemData":{"id":1935,"type":"article-journal","abstract":"This study analyses shift work commuting. We ask: who works evening and night shifts, how do they commute, and how does working these shifts impact activity participation and life satisfaction? We answer these questions using two national datasets. Our results offer three overarching findings. First, we find significant demographic differences in who works shifts along lines of race, poverty status, immigration, and household type, differences reflecting occupational segregation. Black, Filipino, South Asian, and Indigenous commuters are significantly overrepresented at night. Second, evening and night shift workers are more likely to commute as car passengers or by bus or walking. Third, we find that while shift workers have significantly lower life satisfaction, auto ownership may ameliorate this impact. Considering these results, we conclude that improving the transport situation for shift-workers is essential to improving life satisfaction and advancing transportation justice.","container-title":"Transportation research. Part D, Transport and environment","DOI":"10.1016/j.trd.2023.103875","ISSN":"1361-9209","language":"eng","page":"103875-","publisher":"Elsevier Ltd","source":"mcmaster.primo.exlibrisgroup.com","title":"Shifted out: The well-being and justice implications of evening and night commuting","title-short":"Shifted out","volume":"122","author":[{"family":"Palm","given":"Matthew"},{"family":"Allen","given":"Jeff"},{"family":"Farber","given":"Steven"}],"issued":{"date-parts":[["2023"]]}}}],"schema":"https://github.com/citation-style-language/schema/raw/master/csl-citation.json"}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(17)</w:t>
      </w:r>
      <w:r>
        <w:rPr>
          <w:rFonts w:ascii="times new roman" w:hAnsi="times new roman" w:cs="Times New Roman"/>
        </w:rPr>
      </w:r>
      <w:r>
        <w:rPr>
          <w:rFonts w:ascii="times new roman" w:hAnsi="times new roman" w:cs="Times New Roman"/>
        </w:rPr>
        <w:fldChar w:fldCharType="end"/>
      </w:r>
      <w:r>
        <w:rPr>
          <w:rFonts w:ascii="times new roman" w:hAnsi="times new roman"/>
        </w:rPr>
        <w:t>. EquiTransit will close these gaps with indicators and tools that bring distributive justice into transit planning across both space and time.</w:t>
      </w:r>
    </w:p>
    <w:p xmlns:wp14="http://schemas.microsoft.com/office/word/2010/wordml" w14:paraId="39AD5801" wp14:textId="77777777">
      <w:pPr>
        <w:pStyle w:val="Heading1"/>
        <w:rPr>
          <w:rFonts w:ascii="times new roman" w:hAnsi="times new roman"/>
        </w:rPr>
      </w:pPr>
      <w:r>
        <w:rPr>
          <w:rFonts w:ascii="times new roman" w:hAnsi="times new roman"/>
        </w:rPr>
        <w:t>WORK PACKAGES</w:t>
      </w:r>
    </w:p>
    <w:p xmlns:wp14="http://schemas.microsoft.com/office/word/2010/wordml" w14:paraId="41DB8CDA" wp14:textId="77777777">
      <w:pPr>
        <w:pStyle w:val="Normal"/>
        <w:rPr>
          <w:rFonts w:ascii="times new roman" w:hAnsi="times new roman"/>
        </w:rPr>
      </w:pPr>
      <w:r>
        <w:rPr>
          <w:rFonts w:ascii="times new roman" w:hAnsi="times new roman"/>
          <w:b/>
          <w:bCs/>
        </w:rPr>
        <w:t>WP.1 Theoretically-grounded equity indicators</w:t>
      </w:r>
      <w:r>
        <w:rPr>
          <w:rFonts w:ascii="times new roman" w:hAnsi="times new roman"/>
        </w:rPr>
        <w:t xml:space="preserve">: It is well established that the burdens and benefits of transportation are distributed unevenly across space and time, with some groups receiving greater benefits at the expense of others </w:t>
      </w:r>
      <w:r>
        <w:fldChar w:fldCharType="begin"/>
      </w:r>
      <w:r>
        <w:rPr>
          <w:rFonts w:ascii="times new roman" w:hAnsi="times new roman"/>
        </w:rPr>
        <w:instrText xml:space="preserve">ADDIN ZOTERO_ITEM CSL_CITATION {"citationID":"QZYBZMi8","properties":{"unsorted":false,"formattedCitation":"(27)","plainCitation":"(27)","noteIndex":0},"citationItems":[{"id":"IdBEf4Ak/Qu1zBW1r","uris":["http://zotero.org/users/19371690/items/3P4W8ZCG"],"itemData":{"id":"DHwkX4No/TlPhXEd8","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(27)</w:t>
      </w:r>
      <w:r>
        <w:rPr>
          <w:rFonts w:ascii="times new roman" w:hAnsi="times new roman"/>
        </w:rPr>
      </w:r>
      <w:r>
        <w:rPr>
          <w:rFonts w:ascii="times new roman" w:hAnsi="times new roman"/>
        </w:rPr>
        <w:fldChar w:fldCharType="end"/>
      </w:r>
      <w:r>
        <w:rPr>
          <w:rFonts w:ascii="times new roman" w:hAnsi="times new roman"/>
        </w:rPr>
        <w:t xml:space="preserve">. To better understand how these benefits and burdens are distributed among a diverse population, a theoretical framework related to equity and justice is needed. In this proposal, we follow recent work of the PI with members of the SSHRC-funded project Mobilizing Justice team </w:t>
      </w:r>
      <w:r>
        <w:fldChar w:fldCharType="begin"/>
      </w:r>
      <w:r>
        <w:rPr>
          <w:rFonts w:ascii="times new roman" w:hAnsi="times new roman"/>
        </w:rPr>
        <w:instrText xml:space="preserve">ADDIN ZOTERO_ITEM CSL_CITATION {"citationID":"oTWSp5uX","properties":{"unsorted":false,"formattedCitation":"(29)","plainCitation":"(29)","noteIndex":0},"citationItems":[{"id":739,"uris":["http://zotero.org/groups/6563173/items/9X7THPZW"],"itemData":{"id":739,"type":"report","citation-key":"soukhovanastasiaSearchingStandardsFairness2024","number":"MJ-0001","page":"22","publisher":"Mobilizing Justice","title":"Searching for standards of fairness in the transportation justice literature","URL":"https://mobilizingjustice.ca/wp-content/uploads/2024/01/tools-report-2.pdf","author":[{"literal":"Soukhov, Anastasia"},{"literal":"Tiznado-Aitken, Ignacio"},{"literal":"Palm, Matthew"},{"literal":"Farber, Steven"},{"literal":"Páez, Antonio"}],"accessed":{"date-parts":[["2024",9,27]]},"issued":{"date-parts":[["2024",1,2]]}}}],"schema":"https://github.com/citation-style-language/schema/raw/master/csl-citation.json"}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(29)</w:t>
      </w:r>
      <w:r>
        <w:rPr>
          <w:rFonts w:ascii="times new roman" w:hAnsi="times new roman"/>
        </w:rPr>
      </w:r>
      <w:r>
        <w:rPr>
          <w:rFonts w:ascii="times new roman" w:hAnsi="times new roman"/>
        </w:rPr>
        <w:fldChar w:fldCharType="end"/>
      </w:r>
      <w:r>
        <w:rPr>
          <w:rFonts w:ascii="times new roman" w:hAnsi="times new roman"/>
        </w:rPr>
        <w:t xml:space="preserve"> that adapted the framework of Jaggar </w:t>
      </w:r>
      <w:r>
        <w:fldChar w:fldCharType="begin"/>
      </w:r>
      <w:r>
        <w:rPr>
          <w:rFonts w:ascii="times new roman" w:hAnsi="times new roman"/>
        </w:rPr>
        <w:instrText xml:space="preserve">ADDIN ZOTERO_ITEM CSL_CITATION {"citationID":"dCcUukkB","properties":{"unsorted":false,"formattedCitation":"(30)","plainCitation":"(30)","noteIndex":0},"citationItems":[{"id":891,"uris":["http://zotero.org/groups/6563173/items/57LN87K2"],"itemData":{"id":891,"type":"article-journal","archive":"Gale Academic OneFile","citation-key":"jaggarPhilosophicalChallengesGlobal2009","container-title":"Philosophical Topics","ISSN":"02762080","issue":"2","language":"English","note":"1","page":"1+","source":"Gale","title":"The philosophical challenges of global gender justice","volume":"37","author":[{"family":"Jaggar","given":"Alison M."}],"issued":{"date-parts":[["2009"]]}}}],"schema":"https://github.com/citation-style-language/schema/raw/master/csl-citation.json"}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(30)</w:t>
      </w:r>
      <w:r>
        <w:rPr>
          <w:rFonts w:ascii="times new roman" w:hAnsi="times new roman"/>
        </w:rPr>
      </w:r>
      <w:r>
        <w:rPr>
          <w:rFonts w:ascii="times new roman" w:hAnsi="times new roman"/>
        </w:rPr>
        <w:fldChar w:fldCharType="end"/>
      </w:r>
      <w:r>
        <w:rPr>
          <w:rFonts w:ascii="times new roman" w:hAnsi="times new roman"/>
        </w:rPr>
        <w:t xml:space="preserve"> to the needs of transportation concerns. According to this framework, the examination of equity, fairness, and justice is guided by six interrelated questions: </w:t>
      </w:r>
      <w:r>
        <w:rPr>
          <w:rFonts w:ascii="times new roman" w:hAnsi="times new roman"/>
          <w:i/>
          <w:iCs/>
        </w:rPr>
        <w:t>Why?</w:t>
      </w:r>
      <w:r>
        <w:rPr>
          <w:rFonts w:ascii="times new roman" w:hAnsi="times new roman"/>
        </w:rPr>
        <w:t xml:space="preserve">, </w:t>
      </w:r>
      <w:r>
        <w:rPr>
          <w:rFonts w:ascii="times new roman" w:hAnsi="times new roman"/>
          <w:i/>
          <w:iCs/>
        </w:rPr>
        <w:t>Who?,</w:t>
      </w:r>
      <w:r>
        <w:rPr>
          <w:rFonts w:ascii="times new roman" w:hAnsi="times new roman"/>
        </w:rPr>
        <w:t xml:space="preserve"> </w:t>
      </w:r>
      <w:r>
        <w:rPr>
          <w:rFonts w:ascii="times new roman" w:hAnsi="times new roman"/>
          <w:i/>
          <w:iCs/>
        </w:rPr>
        <w:t>What?</w:t>
      </w:r>
      <w:r>
        <w:rPr>
          <w:rFonts w:ascii="times new roman" w:hAnsi="times new roman"/>
        </w:rPr>
        <w:t xml:space="preserve">, </w:t>
      </w:r>
      <w:r>
        <w:rPr>
          <w:rFonts w:ascii="times new roman" w:hAnsi="times new roman"/>
          <w:i/>
          <w:iCs/>
        </w:rPr>
        <w:t>Where?</w:t>
      </w:r>
      <w:r>
        <w:rPr>
          <w:rFonts w:ascii="times new roman" w:hAnsi="times new roman"/>
        </w:rPr>
        <w:t xml:space="preserve">, </w:t>
      </w:r>
      <w:r>
        <w:rPr>
          <w:rFonts w:ascii="times new roman" w:hAnsi="times new roman"/>
          <w:i/>
          <w:iCs/>
        </w:rPr>
        <w:t>When?,</w:t>
      </w:r>
      <w:r>
        <w:rPr>
          <w:rFonts w:ascii="times new roman" w:hAnsi="times new roman"/>
        </w:rPr>
        <w:t xml:space="preserve"> and </w:t>
      </w:r>
      <w:r>
        <w:rPr>
          <w:rFonts w:ascii="times new roman" w:hAnsi="times new roman"/>
          <w:i/>
          <w:iCs/>
        </w:rPr>
        <w:t>How?</w:t>
      </w:r>
      <w:r>
        <w:rPr>
          <w:rFonts w:ascii="times new roman" w:hAnsi="times new roman"/>
        </w:rPr>
        <w:t xml:space="preserve">, or the 5WH framework. </w:t>
      </w:r>
    </w:p>
    <w:p xmlns:wp14="http://schemas.microsoft.com/office/word/2010/wordml" w14:paraId="59724F2C" wp14:textId="77777777">
      <w:pPr>
        <w:pStyle w:val="Normal"/>
        <w:rPr>
          <w:rFonts w:ascii="times new roman" w:hAnsi="times new roman"/>
        </w:rPr>
      </w:pPr>
      <w:r>
        <w:rPr>
          <w:rFonts w:ascii="times new roman" w:hAnsi="times new roman"/>
          <w:i/>
        </w:rPr>
        <w:t>Why?</w:t>
      </w:r>
      <w:r>
        <w:rPr>
          <w:rFonts w:ascii="times new roman" w:hAnsi="times new roman"/>
        </w:rPr>
        <w:t xml:space="preserve"> Justice is a broad moral and political concept that relates to</w:t>
      </w:r>
      <w:r>
        <w:fldChar w:fldCharType="begin"/>
      </w:r>
      <w:r>
        <w:rPr>
          <w:rFonts w:ascii="times new roman" w:hAnsi="times new roman"/>
        </w:rPr>
        <w:instrText xml:space="preserve">ADDIN ZOTERO_ITEM CSL_CITATION {"citationID":"S04TzOVG","properties":{"unsorted":false,"formattedCitation":"(Pereira et al., 2017)","plainCitation":"(Pereira et al., 2017)","dontUpdate":true,"noteIndex":0},"citationItems":[{"id":"yY3CXOGJ/cboBFmNE","uris":["http://zotero.org/users/19371690/items/3P4W8ZCG"],"itemData":{"id":1942,"type":"article-journal","abstract":"Over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rPr>
      </w:r>
      <w:r>
        <w:rPr>
          <w:rFonts w:ascii="times new roman" w:hAnsi="times new roman"/>
        </w:rPr>
        <w:fldChar w:fldCharType="end"/>
      </w:r>
      <w:r>
        <w:fldChar w:fldCharType="begin"/>
      </w:r>
      <w:r>
        <w:rPr>
          <w:rFonts w:ascii="times new roman" w:hAnsi="times new roman"/>
        </w:rPr>
        <w:instrText xml:space="preserve">ADDIN ZOTERO_ITEM CSL_CITATION {"citationID":"S04TzOVG","properties":{"unsorted":false,"formattedCitation":"(Pereira et al., 2017)","plainCitation":"(Pereira et al., 2017)","dontUpdate":true,"noteIndex":0},"citationItems":[{"id":"IdBEf4Ak/Qu1zBW1r","uris":["http://zotero.org/users/19371690/items/3P4W8ZCG"],"itemData":{"id":1942,"type":"article-journal","abstract":"Over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rPr>
      </w:r>
      <w:r>
        <w:rPr>
          <w:rFonts w:ascii="times new roman" w:hAnsi="times new roman"/>
        </w:rPr>
        <w:fldChar w:fldCharType="end"/>
      </w:r>
      <w:r>
        <w:rPr>
          <w:rFonts w:ascii="times new roman" w:hAnsi="times new roman"/>
        </w:rPr>
        <w:t xml:space="preserve">: (1) the rights and entitlements that should be recognised and enforced; (2) the fairness of processes and procedures in decision-making and distribution (procedural justice); and (3) the appropriate distribution of benefits and burdens of social life in society. The last concept, also known as distributive justice, is the most studied form of justice in the transportation literature and aims to provide a fair redistribution to repair past harms </w:t>
      </w:r>
      <w:r>
        <w:fldChar w:fldCharType="begin"/>
      </w:r>
      <w:r>
        <w:rPr>
          <w:rFonts w:ascii="times new roman" w:hAnsi="times new roman"/>
        </w:rPr>
        <w:instrText xml:space="preserve">ADDIN ZOTERO_ITEM CSL_CITATION {"citationID":"T2gMEqrP","properties":{"formattedCitation":"(Soukhov, Anastasia et al., 2024)","plainCitation":"(Soukhov, Anastasia et al., 2024)","dontUpdate":true,"noteIndex":0},"citationItems":[{"id":739,"uris":["http://zotero.org/groups/6563173/items/9X7THPZW"],"itemData":{"id":739,"type":"report","citation-key":"soukhovanastasiaSearchingStandardsFairness2024","number":"MJ-0001","page":"22","publisher":"Mobilizing Justice","title":"Searching for standards of fairness in the transportation justice literature","URL":"https://mobilizingjustice.ca/wp-content/uploads/2024/01/tools-report-2.pdf","author":[{"literal":"Soukhov, Anastasia"},{"literal":"Tiznado-Aitken, Ignacio"},{"literal":"Palm, Matthew"},{"literal":"Farber, Steven"},{"literal":"Páez, Antonio"}],"accessed":{"date-parts":[["2024",9,27]]},"issued":{"date-parts":[["2024",1,2]]}}}],"schema":"https://github.com/citation-style-language/schema/raw/master/csl-citation.json"}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t>(31)</w:t>
      </w:r>
      <w:r>
        <w:rPr>
          <w:rFonts w:ascii="times new roman" w:hAnsi="times new roman"/>
        </w:rPr>
      </w:r>
      <w:r>
        <w:rPr>
          <w:rFonts w:ascii="times new roman" w:hAnsi="times new roman"/>
        </w:rPr>
        <w:fldChar w:fldCharType="end"/>
      </w:r>
      <w:r>
        <w:rPr>
          <w:rFonts w:ascii="times new roman" w:hAnsi="times new roman"/>
        </w:rPr>
        <w:t>. This is not a technical question, but a question of values, and therefore it is incumbent on the research team to involve stakeholders to avoid imposing perspectives that may be extraneous to the community the research is meant to benefit. CODESIGN (WP.2) is essential to this purpose.</w:t>
      </w:r>
    </w:p>
    <w:p xmlns:wp14="http://schemas.microsoft.com/office/word/2010/wordml" w14:paraId="5B2BB7DA" wp14:textId="77777777">
      <w:pPr>
        <w:pStyle w:val="Normal"/>
        <w:rPr>
          <w:rFonts w:ascii="times new roman" w:hAnsi="times new roman"/>
        </w:rPr>
      </w:pPr>
      <w:r>
        <w:rPr>
          <w:rFonts w:ascii="times new roman" w:hAnsi="times new roman"/>
        </w:rPr>
        <w:t xml:space="preserve">The questions of </w:t>
      </w:r>
      <w:r>
        <w:rPr>
          <w:rFonts w:ascii="times new roman" w:hAnsi="times new roman"/>
          <w:i/>
        </w:rPr>
        <w:t>Who</w:t>
      </w:r>
      <w:r>
        <w:rPr>
          <w:rFonts w:ascii="times new roman" w:hAnsi="times new roman"/>
          <w:i/>
          <w:iCs/>
        </w:rPr>
        <w:t>?</w:t>
      </w:r>
      <w:r>
        <w:rPr>
          <w:rFonts w:ascii="times new roman" w:hAnsi="times new roman"/>
        </w:rPr>
        <w:t xml:space="preserve">, </w:t>
      </w:r>
      <w:r>
        <w:rPr>
          <w:rFonts w:ascii="times new roman" w:hAnsi="times new roman"/>
          <w:i/>
        </w:rPr>
        <w:t>What</w:t>
      </w:r>
      <w:r>
        <w:rPr>
          <w:rFonts w:ascii="times new roman" w:hAnsi="times new roman"/>
          <w:i/>
          <w:iCs/>
        </w:rPr>
        <w:t>?</w:t>
      </w:r>
      <w:r>
        <w:rPr>
          <w:rFonts w:ascii="times new roman" w:hAnsi="times new roman"/>
        </w:rPr>
        <w:t xml:space="preserve">, </w:t>
      </w:r>
      <w:r>
        <w:rPr>
          <w:rFonts w:ascii="times new roman" w:hAnsi="times new roman"/>
          <w:i/>
        </w:rPr>
        <w:t>Where</w:t>
      </w:r>
      <w:r>
        <w:rPr>
          <w:rFonts w:ascii="times new roman" w:hAnsi="times new roman"/>
          <w:i/>
          <w:iCs/>
        </w:rPr>
        <w:t>?</w:t>
      </w:r>
      <w:r>
        <w:rPr>
          <w:rFonts w:ascii="times new roman" w:hAnsi="times new roman"/>
        </w:rPr>
        <w:t xml:space="preserve">, and </w:t>
      </w:r>
      <w:r>
        <w:rPr>
          <w:rFonts w:ascii="times new roman" w:hAnsi="times new roman"/>
          <w:i/>
        </w:rPr>
        <w:t>When</w:t>
      </w:r>
      <w:r>
        <w:rPr>
          <w:rFonts w:ascii="times new roman" w:hAnsi="times new roman"/>
          <w:i/>
          <w:iCs/>
        </w:rPr>
        <w:t>?</w:t>
      </w:r>
      <w:r>
        <w:rPr>
          <w:rFonts w:ascii="times new roman" w:hAnsi="times new roman"/>
        </w:rPr>
        <w:t xml:space="preserve"> in the 5WH framework all intersect with the spatial and temporal distribution of transit and the populations it serves. For this reason, they are better investigated from a geo-spatial perspective (WP.3). These questions are described next.</w:t>
      </w:r>
    </w:p>
    <w:p xmlns:wp14="http://schemas.microsoft.com/office/word/2010/wordml" w14:paraId="6C77B880" wp14:textId="77777777">
      <w:pPr>
        <w:pStyle w:val="Normal"/>
        <w:rPr>
          <w:rFonts w:ascii="times new roman" w:hAnsi="times new roman"/>
        </w:rPr>
      </w:pPr>
      <w:r>
        <w:rPr>
          <w:rFonts w:ascii="times new roman" w:hAnsi="times new roman"/>
          <w:i/>
        </w:rPr>
        <w:t>Who?</w:t>
      </w:r>
      <w:r>
        <w:rPr>
          <w:rFonts w:ascii="times new roman" w:hAnsi="times new roman"/>
        </w:rPr>
        <w:t xml:space="preserve"> Disadvantaged population groups, including those affected by low income, limited ability, and historical discrimination, have become a key focus of transportation research </w:t>
      </w:r>
      <w:r>
        <w:fldChar w:fldCharType="begin"/>
      </w:r>
      <w:r>
        <w:rPr>
          <w:rFonts w:ascii="times new roman" w:hAnsi="times new roman" w:cs="Times New Roman"/>
        </w:rPr>
        <w:instrText xml:space="preserve">ADDIN ZOTERO_ITEM CSL_CITATION {"citationID":"aOdNWDJr","properties":{"formattedCitation":"(31,32)","plainCitation":"(31,32)","noteIndex":0},"citationItems":[{"id":812,"uris":["http://zotero.org/groups/6563173/items/S7P334KB"],"itemData":{"id":812,"type":"article-journal","abstract":"This paper provides a brief overview of the transport-related social exclusion (TRSE) literatures and discusses the proliferation of this increasingly active research domain within transport geography over the last twenty years. It then focuses on a rapid evidence review of the implications for TRSE of major future innovations in the transport domain and the new mobility landscapes that will emerge from these technological, behavioural and policy changes. The key findings of the study were that more dedicated research is needed on the differential social and equity impacts of new mobility technologies and future policies to better understand the effects of these changes on already disadvantaged and marginalised groups. Transport geographers and sociologists have a particularly important role to play in the promulgation of these future research enquiries because in-depth socio-spatial research is needed to determine the people and places that will be mobility and accessibility included or excluded by these new innovations, and to help policymakers to determine how best to maximise their benefits and minimise their negative effects on future populations.","citation-key":"lucasNewEvolutionTransportrelated2019","collection-title":"Celebrating 25 years of Journal of Transport Geography","container-title":"Journal of Transport Geography","DOI":"10.1016/j.jtrangeo.2019.102529","ISSN":"0966-6923","journalAbbreviation":"Journal of Transport Geography","page":"102529","source":"ScienceDirect","title":"A new evolution for transport-related social exclusion research?","volume":"81","author":[{"family":"Lucas","given":"Karen"}],"issued":{"date-parts":[["2019",12,1]]}}},{"id":728,"uris":["http://zotero.org/groups/6563173/items/W4647RZB"],"itemData":{"id":728,"type":"chapter","abstract":"Transportation equity is a way to frame distributive justice concerns in relation to how social, economic, and government institutions shape the distribution of transportation benefits and burdens in society. It focuses on the evaluative standards used to judge the differential impacts of policies and plans, asking who benefits from and is burdened by them and to what extent. Questions of transportation equity involve both sufficientarian and egalitarian concerns with both absolute levels of wellbeing, transport-related poverty and social exclusion as well as with relative levels of transport-related inequalities. Ultimately, the study of transport equity explores the multiple channels through which transport and land use policies can create conditions for more inclusive cities and transport systems that allow different people to flourish, to satisfy their basic needs and lead a meaningful life. Transportation equity issues broadly encompass how policy decisions shape societal levels of environmental externalities and what groups are more or less exposed to them, as well as how those decisions affect the lives of different groups in terms of their ability to access life-enhancing opportunities such as employment, healthcare, and education. Equity is a crucial part of a broader concern with transport and mobility justice. The call for transport justice goes beyond distributive concerns, and yet justice cannot be achieved withoutequity.","citation-key":"pereiraTransportationEquity2021","container-title":"International Encyclopedia of Transportation","DOI":"10.1016/B978-0-08-102671-7.10053-3","ISBN":"978-0-08-102672-4","page":"271-277","publisher":"Elsevier","publisher-place":"Oxford","source":"ScienceDirect","title":"Transportation Equity","URL":"https://www.sciencedirect.com/science/article/pii/B9780081026717100533","author":[{"family":"Pereira","given":"Rafael H. M."},{"family":"Karner","given":"Alex"}],"editor":[{"family":"Vickerman","given":"Roger"}],"accessed":{"date-parts":[["2024",9,24]]},"issued":{"date-parts":[["2021",1,1]]}}}],"schema":"https://github.com/citation-style-language/schema/raw/master/csl-citation.json"}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(31,32)</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This is due to the potential of historical discriminatory policies and other disadvantages to negatively impact their transport experiences. Additionally, these groups have often been excluded from the transportation planning process, resulting in their needs frequently being not recognized. Relevant groups include youth, adults, women, children, low-income individuals, zero-vehicle households, people with disabilities, single-parent households, refugees, and racialized populations </w:t>
      </w:r>
      <w:r>
        <w:fldChar w:fldCharType="begin"/>
      </w:r>
      <w:r>
        <w:rPr>
          <w:rFonts w:ascii="times new roman" w:hAnsi="times new roman" w:cs="Times New Roman"/>
        </w:rPr>
        <w:instrText xml:space="preserve">ADDIN ZOTERO_ITEM CSL_CITATION {"citationID":"r6eJfGyj","properties":{"formattedCitation":"(33\\uc0\\u8211{}38)","plainCitation":"(33–38)","noteIndex":0},"citationItems":[{"id":815,"uris":["http://zotero.org/groups/6563173/items/TBU9NWNI"],"itemData":{"id":815,"type":"article-journal","abstract":"This article examines the effect of job access on employment outcomes for welfare recipients in Cleveland, Ohio, leaving assistance during 1998—2000. A rich longitudinal dataset is employed, combining administrative and survey data with multiple measures of access to and competition for jobs. The focus is on both a population and a range of measures of employment outcomes not previously studied in this context. Empirical ambiguity in the existing literature has resulted from the difficulty of modelling causality when employment and residential location are jointly determined. In this study, labour market outcomes are related to the residential locations of welfare leavers prior to employment, thus overcoming much potential endogeneity. Virtually no evidence is found that job access influences labour market outcomes for this population.","citation-key":"baniaJobAccessEmployment2008","container-title":"Urban Studies","DOI":"10.1177/0042098008095864","ISSN":"0042-0980","issue":"11","language":"en","page":"2179-2202","publisher":"SAGE Publications Ltd","source":"SAGE Journals","title":"Job Access, Employment and Earnings: Outcomes for Welfare Leavers in a US Urban Labour Market","title-short":"Job Access, Employment and Earnings","volume":"45","author":[{"family":"Bania","given":"Neil"},{"family":"Leete","given":"Laura"},{"family":"Coulton","given":"Claudia"}],"issued":{"date-parts":[["2008",10,1]]}}},{"id":816,"uris":["http://zotero.org/groups/6563173/items/EFAAJD5P"],"itemData":{"id":816,"type":"chapter","abstract":"In this chapter, we recommend that the development of equity indicators should account for three components: (i) the benefits and burdens of interest, (ii) the population groups over which they are distributed; and (iii) a clear conception of what a “morally proper distribution” of benefit or burden should be. We present a simple framework of how to move from a general conceptualization of a benefit or burden to a more precise definition of suitable individual variables that can be subjected to an equity analysis. The assessment of equity also hinges on the identification of different population groups, along multiple dimensions that can represent advantage or disadvantage: income, gender, age, ethnicity, ability, and residential location. We end the chapter with an overview of the linchpin of an equity indicator: an explicit normative standard specifying what is desirable and what is not. Taken together, these three components are the ingredients of the equity indicators presented in the remaining chapters of this book.","citation-key":"martens2MeasuringTransport2019","container-title":"Measuring Transport Equity","DOI":"10.1016/B978-0-12-814818-1.00002-0","ISBN":"978-0-12-814818-1","page":"13-36","publisher":"Elsevier","source":"ScienceDirect","title":"2 - Measuring transport equity: Key components, framings and metrics","title-short":"2 - Measuring transport equity","URL":"https://www.sciencedirect.com/science/article/pii/B9780128148181000020","author":[{"family":"Martens","given":"Karel"},{"family":"Bastiaanssen","given":"Jeroen"},{"family":"Lucas","given":"Karen"}],"editor":[{"family":"Lucas","given":"Karen"},{"family":"Martens","given":"Karel"},{"family":"Di Ciommo","given":"Floridea"},{"family":"Dupont-Kieffer","given":"Ariane"}],"accessed":{"date-parts":[["2024",11,1]]},"issued":{"date-parts":[["2019",1,1]]}}},{"id":818,"uris":["http://zotero.org/groups/6563173/items/D84WV6BJ"],"itemData":{"id":818,"type":"article-journal","abstract":"Planning organizations are increasingly looking to accessibility measures to understand how well the transportation system provides access to employment opportunities. However, the most common type of job accessibility measure employed in planning practice, the cumulative opportunity measure, considers job supply but overlooks competition for jobs. Therefore, the cumulative opportunity measure may not fully capture workers' access to job opportunity. In this paper, we examine four accessibility measures, two of which account for spatial competition and the other two do not, using the Los Angeles metropolitan area as a case study. We find that measures of competitive accessibility have stronger associations with employment than non-competitive accessibility measures. We examine the relationship between residential accessibility and employment for four separate levels of educational attainment, and we find that competitive measures are especially pertinent for population segments with lower educational attainment. Therefore, we recommend competitive accessibility measures to assess the employment opportunity more accurately.","citation-key":"merlinDoesCompetitionMatter2017","container-title":"Journal of Transport Geography","DOI":"10.1016/j.jtrangeo.2017.08.009","ISSN":"0966-6923","journalAbbreviation":"Journal of Transport Geography","page":"77-88","source":"ScienceDirect","title":"Does competition matter in measures of job accessibility? Explaining employment in Los Angeles","title-short":"Does competition matter in measures of job accessibility?","volume":"64","author":[{"family":"Merlin","given":"Louis A."},{"family":"Hu","given":"Lingqian"}],"issued":{"date-parts":[["2017",10,1]]}}},{"id":820,"uris":["http://zotero.org/groups/6563173/items/S6Z2RXCY"],"itemData":{"id":820,"type":"chapter","citation-key":"middleton4SocialInclusion2019","container-title":"Transport Matters","DOI":"10.56687/9781447329572-009","ISBN":"978-1-4473-2957-2","language":"en","page":"83-104","publisher":"Policy Press","source":"www.degruyter.com","title":"4 Social inclusion, accessibility and emotional work","URL":"https://www.degruyter.com/document/doi/10.56687/9781447329572-009/html?srsltid=AfmBOoqjdOQp3sJesUxgtJPEfg6LVN1eBYG9y6E9ev22CTBXZAruyRCd","author":[{"family":"Middleton","given":"Jennie"},{"family":"Spinney","given":"Justin"}],"editor":[{"family":"Docherty","given":"Iain"},{"family":"Shaw","given":"Jon"}],"accessed":{"date-parts":[["2025",2,13]]},"issued":{"date-parts":[["2019",10,16]]}}},{"id":822,"uris":["http://zotero.org/groups/6563173/items/AJY3QVUR"],"itemData":{"id":822,"type":"article-journal","abstract":"Accessibility, the ease of interacting with potential opportunities, is an increasingly important tool among transport planners aiming to foster equitable and sustainable cities. However, in accessibility research there is a historical focus on employment destinations that is shaped by a masculinist transportation planning tradition. This paper aims to counter this gendered bias by connecting the Mobility of Care framework, a gender-aware transport planning conceptualisation to an empirical accessibility analysis of care destinations in the City of Hamilton, Canada. Care destinations are all the places one must visit to sustain household needs such shopping, errands, and caring for others. This paper considers access to care across different modes of transport at two travel time thresholds (trips shorter than 15-min and 30-min) using a curated care destination dataset. The accessibility methods used includes the cumulative opportunities measure and a competitive and singly-constrained accessibility measure (spatial availability) for different modes. Overall, results indicate that accessibility by car is exceptionally high across the city, while access by public transit, cycling and foot is relatively low with some exceptions in the inner city. Notably, there are distinctions between both methods: cumulative opportunities illustrates a more optimistic potential interaction landscape for non-car modes, while the spatial availability measure demonstrates a theoretically more realistic spatial distribution of care destination availability of potential interaction. Neighbourhoods with both low spatial availability to care and a high proportion of low-income households are also identified and discussed as areas in need of intervention. The manuscript and analysis is computationally reproducible and openly available. The presented analysis demonstrates methods planners can use to apply a gender-aware lens to accessibility analysis. Further, results can inform policies aiming to encourage sustainable mobility.","citation-key":"soukhovExploringMobilityCare2025","container-title":"Journal of Transport Geography","DOI":"10.1016/j.jtrangeo.2024.104050","ISSN":"0966-6923","journalAbbreviation":"Journal of Transport Geography","page":"104050","source":"ScienceDirect","title":"Exploring mobility of care with measures of accessibility","volume":"123","author":[{"family":"Soukhov","given":"Anastasia"},{"family":"Mooney","given":"Nicholas"},{"family":"Ravensbergen","given":"Léa"}],"issued":{"date-parts":[["2025",2,1]]}}},{"id":207,"uris":["http://zotero.org/users/13222595/items/T7MLAY56"],"itemData":{"id":207,"type":"article-journal","abstract":"Marginalized communities usually experience inadequate public transport services in North America. Within these communities, buses play a vital role in everyday activity participation. Unfortunately, transport services that may advance equity by improving coverage and service for disadvantaged population groups and areas are often overlooked in transit planning since they usually underperform in ridership-based metrics. To address this problem, the Toronto Transit Commission (TTC) introduced an equity service policy in 2019 to enhance bus services in vulnerable neighbourhoods known as Neighbourhood Improvement Areas (NIAs). This policy involves augmenting observed ridership counts for buses serving NIAs to improve or protect services for these communities. Although this proposed measure can improve bus services in NIAs, its current form might exclude other equity-deserving riders (EDRs) living outside NIAs, increasing their accessibility barriers. Our study uses quantitative and spatial analytical methods to better understand the equity impacts of this service policy change. We propose moving from the aggregate neighbourhood-based approach using NIAs to a more comprehensive and disaggregated person-based approach. First, we create an alternate method that identifies EDRs at the bus stop level using a fusion of census and travel survey data. We then explore the differences in augmented ridership levels created by the two approaches and evaluate whether the augmented ridership levels are likely to result in meaningful service changes using existing TTC service standards. We found that 2 out of 3 transit riders in Toronto are equity-deserving, with 72% residing outside NIAs. Our approach reveals increased ridership on routes with many EDRs, which receive minimal augmentation under the NIA-based method. Conversely, if all riders in NIAs are considered EDRs, our approach shows a 19% ridership overestimation equivalent to 35,245 users. Based on these results, we recommend creating a dedicated equity tool with an individual-centric focus, identifying areas with low transit service and high EDR percentages. This tool could then be integrated as an equity perspective into annual bus service planning.","citation-key":"tabascioIncorporatingEquityTransit2024","container-title":"Case Studies on Transport Policy","DOI":"10.1016/j.cstp.2024.101256","ISSN":"2213-624X","journalAbbreviation":"Case Studies on Transport Policy","page":"101256","source":"ScienceDirect","title":"Incorporating equity into transit performance measures: A disaggregated bus route level approach","title-short":"Incorporating equity into transit performance measures","volume":"17","author":[{"family":"Tabascio","given":"Alexander"},{"family":"Tiznado-Aitken","given":"Ignacio"},{"family":"Higgins","given":"Christopher"},{"family":"Farber","given":"Steven"}],"issued":{"date-parts":[["2024",9,1]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kern w:val="0"/>
        </w:rPr>
        <w:t>(33–38)</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w:t>
      </w:r>
    </w:p>
    <w:p xmlns:wp14="http://schemas.microsoft.com/office/word/2010/wordml" w14:paraId="233D6553" wp14:textId="77777777">
      <w:pPr>
        <w:pStyle w:val="Normal"/>
        <w:rPr>
          <w:rFonts w:ascii="times new roman" w:hAnsi="times new roman"/>
        </w:rPr>
      </w:pPr>
      <w:r>
        <w:rPr>
          <w:rFonts w:ascii="times new roman" w:hAnsi="times new roman"/>
        </w:rPr>
        <w:t xml:space="preserve">What? In this research proposal, we argue that public transportation should be the focus of distributive justice. Public transportation is essential for promoting more sustainable cities due to its potential to reduce traffic congestion and carbon emissions and to improve air quality </w:t>
      </w:r>
      <w:r>
        <w:fldChar w:fldCharType="begin"/>
      </w:r>
      <w:r>
        <w:rPr>
          <w:rFonts w:ascii="times new roman" w:hAnsi="times new roman" w:cs="Times New Roman"/>
        </w:rPr>
        <w:instrText xml:space="preserve">ADDIN ZOTERO_ITEM CSL_CITATION {"citationID":"aQo71ON9","properties":{"formattedCitation":"(39\\uc0\\u8211{}41)","plainCitation":"(39–41)","noteIndex":0},"citationItems":[{"id":797,"uris":["http://zotero.org/groups/6563173/items/GBIVUP83"],"itemData":{"id":797,"type":"article-journal","abstract":"Traffic congestion on roads not only increases the fuel consumption but consequently leads to increase in carbon dioxide emissions, outdoor air pollution as well as increase in the exposure time of the passengers. We analyse the greenhouse gas emissions for road transport sector in Mumbai Metropolitan Region (MMR) using fuel consumption and the vehicle kilometre travelled methods. In addition, by conducting traffic survey on four major roads in MMR, the congestion factor was established to estimate the share of greenhouse gas emissions from the road transport sector that can be attributed to traffic congestion.","citation-key":"bharadwajImpactCongestionGreenhouse2017","collection-title":"World Conference on Transport Research - WCTR 2016 Shanghai. 10-15 July 2016","container-title":"Transportation Research Procedia","DOI":"10.1016/j.trpro.2017.05.282","ISSN":"2352-1465","journalAbbreviation":"Transportation Research Procedia","page":"3538-3551","source":"ScienceDirect","title":"Impact of congestion on greenhouse gas emissions for road transport in Mumbai metropolitan region","volume":"25","author":[{"family":"Bharadwaj","given":"Shashank"},{"family":"Ballare","given":"Sudheer"},{"literal":"Rohit"},{"family":"Chandel","given":"Munish K."}],"issued":{"date-parts":[["2017",1,1]]}}},{"id":792,"uris":["http://zotero.org/groups/6563173/items/LYRKQEU7"],"itemData":{"id":792,"type":"article-journal","abstract":"As an essential service to ensure residents’ green travel, the development of public transport represents a substantial avenue to achieving the dual-carbon strategic goals. Under the policy background of public transport promotion, we use the data samples from 30 provincial-level regions in China from 2004 to 2019 to empirically analyze public transport development’s carbon emission reduction effect and its mechanism. The results show that increasing the line length and vehicles of public transport can significantly reduce carbon emissions. Both public transport ridership attraction and private car ownership ratio serve as mediators in the relationship between public transport development and carbon emission reduction. The key difference is that public transport ridership attraction shows a partial mediation effect, while private car ownership ratio demonstrates a suppression effect. These findings have important policy implications for the effective integration between the dual-carbon strategic goal and public transport promotion policy, while also providing effective guidance for the practical development of public transport.","citation-key":"liHowDoesPublic2025","container-title":"Transportation Research Part A: Policy and Practice","DOI":"10.1016/j.tra.2024.104327","ISSN":"0965-8564","journalAbbreviation":"Transportation Research Part A: Policy and Practice","page":"104327","source":"ScienceDirect","title":"How does public transport development contribute to carbon emission reduction?","volume":"191","author":[{"family":"Li","given":"Jinpei"},{"family":"Huang","given":"Yixuan"},{"family":"Zhang","given":"Chunqin"},{"family":"Yao","given":"Di"}],"issued":{"date-parts":[["2025",1,1]]}}},{"id":793,"uris":["http://zotero.org/groups/6563173/items/T9QLDH28"],"itemData":{"id":793,"type":"article-journal","abstract":"We adopted the Divisia index approach to explore the impacts of five factors on the total carbon dioxide emissions from highway vehicles in Germany, Japan, South Korea and Taiwan during 1990–2002. CO2 emission was decomposed into emission coefficient, vehicle fuel intensity, vehicle ownership, population intensity and economic growth. In addition, the decoupling effects among economic growth, transport energy demand and CO2 emission were analyzed to better understand the fuel performance and CO2 mitigation strategies for each country. From our results, we suggest that the rapid growths of economy and vehicle ownership were the most important factors for the increased CO2 emissions, whereas population intensity contributed significantly to emission decrease. Energy conservation performance and CO2 mitigation in each country are strongly correlated with environmental pressure and economic driving force, except for Germany in 1993 and Taiwan during 1992–1996. To decouple the economic growth and environmental pressure, proponents of sustainable transport policy in Taiwan should focus on improving the operation and energy use of its highway transportation system by implementing an intelligent transportation system (ITS) with demand management, constructing an integrated feeder system, and encouraging the use of green transport modes.","citation-key":"luDecompositionDecouplingEffects2007","container-title":"Energy Policy","DOI":"10.1016/j.enpol.2006.11.003","ISSN":"0301-4215","issue":"6","journalAbbreviation":"Energy Policy","page":"3226-3235","source":"ScienceDirect","title":"Decomposition and decoupling effects of carbon dioxide emission from highway transportation in Taiwan, Germany, Japan and South Korea","volume":"35","author":[{"family":"Lu","given":"I. J."},{"family":"Lin","given":"Sue J."},{"family":"Lewis","given":"Charles"}],"issued":{"date-parts":[["2007",6,1]]}}}],"schema":"https://github.com/citation-style-language/schema/raw/master/csl-citation.json"}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cs="Times New Roman"/>
          <w:kern w:val="0"/>
        </w:rPr>
        <w:t>(39–41)</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In addition, public transportation increases people’s accessibility, the main benefit of the transportation system </w:t>
      </w:r>
      <w:r>
        <w:fldChar w:fldCharType="begin"/>
      </w:r>
      <w:r>
        <w:rPr>
          <w:rFonts w:ascii="times new roman" w:hAnsi="times new roman" w:cs="Times New Roman"/>
        </w:rPr>
        <w:instrText xml:space="preserve">ADDIN ZOTERO_ITEM CSL_CITATION {"citationID":"G72tIv7S","properties":{"formattedCitation":"(27)","plainCitation":"(27)","noteIndex":0},"citationItems":[{"id":"IdBEf4Ak/Qu1zBW1r","uris":["http://zotero.org/users/19371690/items/3P4W8ZCG"],"itemData":{"id":"8NoKAlUc/gRa0DJRY","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understood as the ease of reaching spatially distributed opportunities </w:t>
      </w:r>
      <w:r>
        <w:fldChar w:fldCharType="begin"/>
      </w:r>
      <w:r>
        <w:rPr>
          <w:rFonts w:ascii="times new roman" w:hAnsi="times new roman" w:cs="Times New Roman"/>
        </w:rPr>
        <w:instrText xml:space="preserve">ADDIN ZOTERO_ITEM CSL_CITATION {"citationID":"oBPb5RMH","properties":{"formattedCitation":"(42,43)","plainCitation":"(42,43)","noteIndex":0},"citationItems":[{"id":804,"uris":["http://zotero.org/groups/6563173/items/ILGHMAPL"],"itemData":{"id":804,"type":"article-journal","abstract":"An empirical examination of the residential development patterns illustrates that accessibility and the availability of vacant developable land can be used as the basis of a residential land use model. The author presents an operational definition and suggests a method for determining accessibility patterns within metropolitan areas. This is a process of distributing forecasted metropolitan population to small areas within the metropolitan region. Although the model presented is not yet sufficiently well refined for estimating purposes, the concept and the approach may be potentially useful tools for metropolitan planning purposes.","citation-key":"hansenHowAccessibilityShapes1959","container-title":"Journal of the American Institute of Planners","DOI":"10.1080/01944365908978307","ISSN":"0002-8991","issue":"2","note":"_eprint: https://doi.org/10.1080/01944365908978307","page":"73-76","publisher":"Routledge","source":"Taylor and Francis+NEJM","title":"How Accessibility Shapes Land Use","volume":"25","author":[{"family":"Hansen","given":"Walter G."}],"issued":{"date-parts":[["1959",5,1]]}}},{"id":802,"uris":["http://zotero.org/groups/6563173/items/IVDPED4H"],"itemData":{"id":802,"type":"article-journal","abstract":"Transportation planning has long prioritized the efficiency of movement. However, the concept of accessibility represents a more comprehensive evolution, shifting focus from movement (i.e., trips) to the potential to spatially interact with desired destinations. Despite growing recognition of accessibility-based planning approaches, the concept remains fragmented, with inconsistent definitions and unclear interpretations. To this end, this paper makes a methodological contribution by specifying a family of accessibility measures that are grounded in the shared ‘gravity-based’ theoretical roots of spatial interaction models, particularly their balancing factors. From this foundation, we outline four members of the family: the ‘unconstrained’ measure (i.e., Hansen-type accessibility), the ‘total-constrained’ measure (i.e., a constrained version of the Hansen-type accessibility), the ‘singly-constrained’ measure (i.e., related to the popular two-step floating catchment approach – 2SFCA), and the ‘doubly-constrained’ measure representing realized access (i.e., equal to the doubly-constrained spatial interaction model). These measures can be interpreted as either the number of accessible opportunities or accessible population (i.e., market potential). A toy example illustrates how they produce interpretable unit-based values, offering a clearer and more coherent basis for accessibility analysis.","citation-key":"soukhovFamilyAccessibilityMeasures2025","container-title":"PLOS ONE","DOI":"10.1371/journal.pone.0335951","ISSN":"1932-6203","issue":"11","journalAbbreviation":"PLOS ONE","language":"en","page":"e0335951","publisher":"Public Library of Science","source":"PLoS Journals","title":"A family of accessibility measures derived from spatial interaction principles","volume":"20","author":[{"family":"Soukhov","given":"Anastasia"},{"family":"Pereira","given":"Rafael H. M."},{"family":"Higgins","given":"Christopher D."},{"family":"Páez","given":"Antonio"}],"issued":{"date-parts":[["2025",11,14]]}}}],"schema":"https://github.com/citation-style-language/schema/raw/master/csl-citation.json"}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(42,43)</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In fact, public transportation provides access to opportunities for those who cannot - or prefer not to - drive, walk, or cycle. Access to opportunities and destinations is the most auspicious indicator for distributive justice </w:t>
      </w:r>
      <w:r>
        <w:fldChar w:fldCharType="begin"/>
      </w:r>
      <w:r>
        <w:rPr>
          <w:rFonts w:ascii="times new roman" w:hAnsi="times new roman" w:cs="Times New Roman"/>
        </w:rPr>
        <w:instrText xml:space="preserve">ADDIN ZOTERO_ITEM CSL_CITATION {"citationID":"cHNsFBIb","properties":{"formattedCitation":"(27)","plainCitation":"(27)","noteIndex":0},"citationItems":[{"id":"IdBEf4Ak/Qu1zBW1r","uris":["http://zotero.org/users/19371690/items/3P4W8ZCG"],"itemData":{"id":"8NoKAlUc/gRa0DJRY","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 most comprehensive indicator of the performance of land use and transport systems </w:t>
      </w:r>
      <w:r>
        <w:fldChar w:fldCharType="begin"/>
      </w:r>
      <w:r>
        <w:rPr>
          <w:rFonts w:ascii="times new roman" w:hAnsi="times new roman" w:cs="Times New Roman"/>
        </w:rPr>
        <w:instrText xml:space="preserve">ADDIN ZOTERO_ITEM CSL_CITATION {"citationID":"i32IPxRC","properties":{"formattedCitation":"(44)","plainCitation":"(44)","noteIndex":0},"citationItems":[{"id":805,"uris":["http://zotero.org/groups/6563173/items/N4FNL858"],"itemData":{"id":805,"type":"article-journal","citation-key":"el-geneidyMakingAccessibilityWork2022","container-title":"Transport Reviews","DOI":"10.1080/01441647.2021.1975954","ISSN":"0144-1647","issue":"2","note":"_eprint: https://doi.org/10.1080/01441647.2021.1975954","page":"129-133","publisher":"Routledge","source":"Taylor and Francis+NEJM","title":"Making accessibility work in practice","volume":"42","author":[{"family":"El-Geneidy","given":"Ahmed"},{"family":"Levinson","given":"David"}],"issued":{"date-parts":[["2022",3,4]]}}}],"schema":"https://github.com/citation-style-language/schema/raw/master/csl-citation.json"}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and one of the main outcomes of spatial development </w:t>
      </w:r>
      <w:r>
        <w:fldChar w:fldCharType="begin"/>
      </w:r>
      <w:r>
        <w:rPr>
          <w:rFonts w:ascii="times new roman" w:hAnsi="times new roman" w:cs="Times New Roman"/>
        </w:rPr>
        <w:instrText xml:space="preserve">ADDIN ZOTERO_ITEM CSL_CITATION {"citationID":"lMhXUF8B","properties":{"formattedCitation":"(45)","plainCitation":"(45)","noteIndex":0},"citationItems":[{"id":809,"uris":["http://zotero.org/groups/6563173/items/K4XPP4PV"],"itemData":{"id":809,"type":"report","citation-key":"palmDevelopingDataDriven2023","language":"English","number":"1","page":"26","publisher":"Mobilizing Justice","title":"Developing Data Driven Equity Standards: Stakeholder Perspectives","URL":"https://mobilizingjustice.ca/wp-content/uploads/2023/06/Developing_Data_Driven_Standards_FINAL_2023_06_06.pdf","author":[{"family":"Palm","given":"Matthew"},{"family":"Teel","given":"Siobhan"},{"family":"Tiznado-Aitken","given":"Ignacio"},{"family":"Soukhov","given":"Anastasia"},{"family":"Paez","given":"Antonio"},{"family":"Farber","given":"Steven"},{"family":"Hain","given":"Michael"}],"accessed":{"date-parts":[["2023",12,12]]},"issued":{"date-parts":[["2023",5]]}}}],"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reduce the risk of social exclusion. Since transit and its output, accessibility, depend on space and time conditions, Scholars argue that this measure serves as a comprehensive and transparent indicator of transportation supply, with the additional advantage of being replicable across different jurisdictions and periods </w:t>
      </w:r>
      <w:r>
        <w:fldChar w:fldCharType="begin"/>
      </w:r>
      <w:r>
        <w:rPr>
          <w:rFonts w:ascii="times new roman" w:hAnsi="times new roman" w:cs="Times New Roman"/>
        </w:rPr>
        <w:instrText xml:space="preserve">ADDIN ZOTERO_ITEM CSL_CITATION {"citationID":"nxmGlP7S","properties":{"formattedCitation":"(45)","plainCitation":"(45)","noteIndex":0},"citationItems":[{"id":809,"uris":["http://zotero.org/groups/6563173/items/K4XPP4PV"],"itemData":{"id":809,"type":"report","citation-key":"palmDevelopingDataDriven2023","language":"English","number":"1","page":"26","publisher":"Mobilizing Justice","title":"Developing Data Driven Equity Standards: Stakeholder Perspectives","URL":"https://mobilizingjustice.ca/wp-content/uploads/2023/06/Developing_Data_Driven_Standards_FINAL_2023_06_06.pdf","author":[{"family":"Palm","given":"Matthew"},{"family":"Teel","given":"Siobhan"},{"family":"Tiznado-Aitken","given":"Ignacio"},{"family":"Soukhov","given":"Anastasia"},{"family":"Paez","given":"Antonio"},{"family":"Farber","given":"Steven"},{"family":"Hain","given":"Michael"}],"accessed":{"date-parts":[["2023",12,12]]},"issued":{"date-parts":[["2023",5]]}}}],"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Accessibility is a required condition for increasing people’s freedom of choice and promoting equality of opportunities </w:t>
      </w:r>
      <w:r>
        <w:fldChar w:fldCharType="begin"/>
      </w:r>
      <w:r>
        <w:rPr>
          <w:rFonts w:ascii="times new roman" w:hAnsi="times new roman" w:cs="Times New Roman"/>
        </w:rPr>
        <w:instrText xml:space="preserve">ADDIN ZOTERO_ITEM CSL_CITATION {"citationID":"fBcvPkgS","properties":{"formattedCitation":"(45)","plainCitation":"(45)","noteIndex":0},"citationItems":[{"id":809,"uris":["http://zotero.org/groups/6563173/items/K4XPP4PV"],"itemData":{"id":809,"type":"report","citation-key":"palmDevelopingDataDriven2023","language":"English","number":"1","page":"26","publisher":"Mobilizing Justice","title":"Developing Data Driven Equity Standards: Stakeholder Perspectives","URL":"https://mobilizingjustice.ca/wp-content/uploads/2023/06/Developing_Data_Driven_Standards_FINAL_2023_06_06.pdf","author":[{"family":"Palm","given":"Matthew"},{"family":"Teel","given":"Siobhan"},{"family":"Tiznado-Aitken","given":"Ignacio"},{"family":"Soukhov","given":"Anastasia"},{"family":"Paez","given":"Antonio"},{"family":"Farber","given":"Steven"},{"family":"Hain","given":"Michael"}],"accessed":{"date-parts":[["2023",12,12]]},"issued":{"date-parts":[["2023",5]]}}}],"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(45)</w:t>
      </w:r>
      <w:r>
        <w:rPr>
          <w:rFonts w:ascii="times new roman" w:hAnsi="times new roman" w:cs="Times New Roman"/>
        </w:rPr>
      </w:r>
      <w:r>
        <w:rPr>
          <w:rFonts w:ascii="times new roman" w:hAnsi="times new roman" w:cs="Times New Roman"/>
        </w:rPr>
        <w:fldChar w:fldCharType="end"/>
      </w:r>
      <w:r>
        <w:rPr>
          <w:rFonts w:ascii="times new roman" w:hAnsi="times new roman"/>
        </w:rPr>
        <w:t>. An adequate level of access to opportunities, which can be offered by well-planned public transportation system, can increase the chances of attending a doctor’s appointment, watching a movie at a cinema, engaging in a sporting activity in a park, or finding and keeping a job.</w:t>
      </w:r>
    </w:p>
    <w:p xmlns:wp14="http://schemas.microsoft.com/office/word/2010/wordml" w14:paraId="625D3E33" wp14:textId="77777777">
      <w:pPr>
        <w:pStyle w:val="Normal"/>
        <w:rPr>
          <w:rFonts w:ascii="times new roman" w:hAnsi="times new roman"/>
        </w:rPr>
      </w:pPr>
      <w:r>
        <w:rPr>
          <w:rFonts w:ascii="times new roman" w:hAnsi="times new roman"/>
          <w:i/>
        </w:rPr>
        <w:t>Where?</w:t>
      </w:r>
      <w:r>
        <w:rPr>
          <w:rFonts w:ascii="times new roman" w:hAnsi="times new roman"/>
        </w:rPr>
        <w:t xml:space="preserve"> By their very nature, interventions in the transportation sector are spatial interventions, and, due to the structuring effect of space </w:t>
      </w:r>
      <w:r>
        <w:fldChar w:fldCharType="begin"/>
      </w:r>
      <w:r>
        <w:rPr>
          <w:rFonts w:ascii="times new roman" w:hAnsi="times new roman" w:cs="Times New Roman"/>
        </w:rPr>
        <w:instrText xml:space="preserve">ADDIN ZOTERO_ITEM CSL_CITATION {"citationID":"RKPXD955","properties":{"unsorted":false,"formattedCitation":"(46)","plainCitation":"(46)","noteIndex":0},"citationItems":[{"id":830,"uris":["http://zotero.org/groups/6563173/items/YAWMIZVY"],"itemData":{"id":830,"type":"chapter","abstract":"Fair transportation system as a system that provides a sufficient level of accessibility to all under most circumstances may not seem radical in character, its consequences for transportation planning could not be more radical. A brief exposition of the way in which a fair transportation system could and should be financed, as such a financing scheme is a crucial component of a fair transportation system. The aim of the fair taxation scheme is to mitigate form of brute bad luck caused by too high transportation user fees. The fair taxation scheme should enable such a sustained effort: it should generate sufficient funds for the gradual improvement of the system for the benefit of persons below the sufficiency threshold. Transportation planning based on principles of justice proposes an entirely different financing scheme for the transportation domain, thereby shedding a new light on these societal debates.","citation-key":"martensTransportationPlanningBased2016","container-title":"Transport Justice","ISBN":"978-1-315-74685-2","note":"number-of-pages: 18","publisher":"Routledge","title":"Transportation Planning Based on Principles of Justice","author":[{"family":"Martens","given":"Karel"}],"issued":{"date-parts":[["2016"]]}}}],"schema":"https://github.com/citation-style-language/schema/raw/master/csl-citation.json"}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(46)</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they inevitably generate inequality by benefitting those who live in or have access to the areas served by transportation infrastructure and services, while at the same time potentially harming others, either directly or indirectly </w:t>
      </w:r>
      <w:r>
        <w:fldChar w:fldCharType="begin"/>
      </w:r>
      <w:r>
        <w:rPr>
          <w:rFonts w:ascii="times new roman" w:hAnsi="times new roman" w:cs="Times New Roman"/>
        </w:rPr>
        <w:instrText xml:space="preserve">ADDIN ZOTERO_ITEM CSL_CITATION {"citationID":"bFzBQmuI","properties":{"unsorted":false,"formattedCitation":"(29)","plainCitation":"(29)","noteIndex":0},"citationItems":[{"id":739,"uris":["http://zotero.org/groups/6563173/items/9X7THPZW"],"itemData":{"id":739,"type":"report","citation-key":"soukhovanastasiaSearchingStandardsFairness2024","number":"MJ-0001","page":"22","publisher":"Mobilizing Justice","title":"Searching for standards of fairness in the transportation justice literature","URL":"https://mobilizingjustice.ca/wp-content/uploads/2024/01/tools-report-2.pdf","author":[{"literal":"Soukhov, Anastasia"},{"literal":"Tiznado-Aitken, Ignacio"},{"literal":"Palm, Matthew"},{"literal":"Farber, Steven"},{"literal":"Páez, Antonio"}],"accessed":{"date-parts":[["2024",9,27]]},"issued":{"date-parts":[["2024",1,2]]}}}],"schema":"https://github.com/citation-style-language/schema/raw/master/csl-citation.json"}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It is not uncommon for transportation policies to provide a sufficient or more than sufficient level of accessibility to the majority of people who own cars </w:t>
      </w:r>
      <w:r>
        <w:fldChar w:fldCharType="begin"/>
      </w:r>
      <w:r>
        <w:rPr>
          <w:rFonts w:ascii="times new roman" w:hAnsi="times new roman" w:cs="Times New Roman"/>
        </w:rPr>
        <w:instrText xml:space="preserve">ADDIN ZOTERO_ITEM CSL_CITATION {"citationID":"S6XSaiZu","properties":{"unsorted":false,"formattedCitation":"(47)","plainCitation":"(47)","noteIndex":0},"citationItems":[{"id":834,"uris":["http://zotero.org/groups/6563173/items/YA96XLXK"],"itemData":{"id":834,"type":"article-journal","abstract":"Access (the ease of reaching valued destinations) is underpinned by land use and transport infrastructure. The importance of access in transport, sustainability, and urban economics is increasingly recognized. In particular, access provides a universal unit of measurement to examine cities for the efficiency of transport and land-use systems. This paper examines the relationship between population-weighted access and metropolitan population in global metropolitan areas (cities) using 30-min cumulative access to jobs for 4 different modes of transport; 117 cities from 16 countries and 6 continents are included. Sprawling development with the intensive road network in American cities produces modest automobile access relative to their sizes, but American cities lag behind globally in transit and walking access; Australian and Canadian cities have lower automobile access, but better transit access than American cities; combining compact development with an intensive network produces the highest access in Chinese and European cities for their sizes. Hence density and mobility co-produce better access. This paper finds access to jobs increases with populations sublinearly, so doubling the metropolitan population results in less than double access to jobs. The relationship between population and access characterizes regions, countries, and cities, and significant similarities exist between cities from the same country.","citation-key":"wuUrbanAccessGlobe2021","container-title":"npj Urban Sustainability","DOI":"10.1038/s42949-021-00020-2","ISSN":"2661-8001","issue":"1","journalAbbreviation":"npj Urban Sustain","language":"en","license":"2021 The Author(s)","page":"16","publisher":"Nature Publishing Group","source":"www.nature.com","title":"Urban access across the globe: an international comparison of different transport modes","title-short":"Urban access across the globe","volume":"1","author":[{"family":"Wu","given":"Hao"},{"family":"Avner","given":"Paolo"},{"family":"Boisjoly","given":"Genevieve"},{"family":"Braga","given":"Carlos K. V."},{"family":"El-Geneidy","given":"Ahmed"},{"family":"Huang","given":"Jie"},{"family":"Kerzhner","given":"Tamara"},{"family":"Murphy","given":"Brendan"},{"family":"Niedzielski","given":"Michał A."},{"family":"Pereira","given":"Rafael H. M."},{"family":"Pritchard","given":"John P."},{"family":"Stewart","given":"Anson"},{"family":"Wang","given":"Jiaoe"},{"family":"Levinson","given":"David"}],"issued":{"date-parts":[["2021",5,27]]}}}],"schema":"https://github.com/citation-style-language/schema/raw/master/csl-citation.json"}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while failing to ensure a basic level of accessibility for those who do not have access to a car, cannot use one, or do not wish to use one. To address this imbalance, improvements are needed in public transportation networks that provide users with a level of freedom comparable to that enjoyed by car users </w:t>
      </w:r>
      <w:r>
        <w:fldChar w:fldCharType="begin"/>
      </w:r>
      <w:r>
        <w:rPr>
          <w:rFonts w:ascii="times new roman" w:hAnsi="times new roman" w:cs="Times New Roman"/>
        </w:rPr>
        <w:instrText xml:space="preserve">ADDIN ZOTERO_ITEM CSL_CITATION {"citationID":"j1Cdg8Od","properties":{"unsorted":false,"formattedCitation":"(48)","plainCitation":"(48)","noteIndex":0},"citationItems":[{"id":831,"uris":["http://zotero.org/groups/6563173/items/8SHMPC77"],"itemData":{"id":831,"type":"article-journal","abstract":"Recent transport equity literature has proposed a sufficientarian approach to transport planning, according to which all individuals would be entitled to a minimum level of accessibility deemed adequate or sufficient. The implementation of this approach would require the adoption of an accessibility standard as a key performance indicator guiding transport investments, land use planning and service provision. While accessibility measures are increasingly operationalised in professional practice, the adoption of actual accessibility standards is rare. In this paper, we explore the barriers for adopting explicit accessibility standards and identify conditions within which such standards could be acceptable to practitioners and policymakers. The paper draws on interviews with professionals in three city-regions in Sweden, complemented with interviews with practitioners from the Flanders region in Belgium and from the UK. We find that authorities are hesitant to define and measure accessibility and that where definitions and performance indicators exist, there is a lack of agreement within and across authorities. The prospect of introducing a standard across the board without attaching any conditions comprises a further reason for shying away from standard-setting. The (dis)integration of transport and land use and complicated administrative and governance structures are described as a further barrier, while demand responsive transport is in some cases considered a panacea to all accessibility problems, making it possible to avoid setting standards. Our findings suggest that standards for minimum accessibility could gain political support if their reach is clearly circumscribed, and their benefits are clearly understood.","citation-key":"ryanDefiningImplementingSufficient2023","container-title":"Transportation Research Part A: Policy and Practice","DOI":"10.1016/j.tra.2023.103792","ISSN":"0965-8564","journalAbbreviation":"Transportation Research Part A: Policy and Practice","page":"103792","source":"ScienceDirect","title":"Defining and implementing a sufficient level of accessibility: What’s stopping us?","title-short":"Defining and implementing a sufficient level of accessibility","volume":"175","author":[{"family":"Ryan","given":"Jean"},{"family":"Martens","given":"Karel"}],"issued":{"date-parts":[["2023",9,1]]}}}],"schema":"https://github.com/citation-style-language/schema/raw/master/csl-citation.json"}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The spatial dimension of analyses of transportation equity is often based on the concept of spatial equity, according to which cities should seek to distribute the benefits of transportation systems equally across space </w:t>
      </w:r>
      <w:r>
        <w:fldChar w:fldCharType="begin"/>
      </w:r>
      <w:r>
        <w:rPr>
          <w:rFonts w:ascii="times new roman" w:hAnsi="times new roman" w:cs="Times New Roman"/>
        </w:rPr>
        <w:instrText xml:space="preserve">ADDIN ZOTERO_ITEM CSL_CITATION {"citationID":"WpfsNojk","properties":{"unsorted":false,"formattedCitation":"(Soukhov, Anastasia et al., 2024)","plainCitation":"(Soukhov, Anastasia et al., 2024)","dontUpdate":true,"noteIndex":0},"citationItems":[{"id":739,"uris":["http://zotero.org/groups/6563173/items/9X7THPZW"],"itemData":{"id":739,"type":"report","citation-key":"soukhovanastasiaSearchingStandardsFairness2024","number":"MJ-0001","page":"22","publisher":"Mobilizing Justice","title":"Searching for standards of fairness in the transportation justice literature","URL":"https://mobilizingjustice.ca/wp-content/uploads/2024/01/tools-report-2.pdf","author":[{"literal":"Soukhov, Anastasia"},{"literal":"Tiznado-Aitken, Ignacio"},{"literal":"Palm, Matthew"},{"literal":"Farber, Steven"},{"literal":"Páez, Antonio"}],"accessed":{"date-parts":[["2024",9,27]]},"issued":{"date-parts":[["2024",1,2]]}}}],"schema":"https://github.com/citation-style-language/schema/raw/master/csl-citation.json"}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(31)</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Although transportation equity requires spatially targeted policies and interventions </w:t>
      </w:r>
      <w:r>
        <w:fldChar w:fldCharType="begin"/>
      </w:r>
      <w:r>
        <w:rPr>
          <w:rFonts w:ascii="times new roman" w:hAnsi="times new roman" w:cs="Times New Roman"/>
        </w:rPr>
        <w:instrText xml:space="preserve">ADDIN ZOTERO_ITEM CSL_CITATION {"citationID":"hh9oDYfD","properties":{"unsorted":false,"formattedCitation":"(Pereira &amp; Karner, 2021)","plainCitation":"(Pereira &amp; Karner, 2021)","dontUpdate":true,"noteIndex":0},"citationItems":[{"id":728,"uris":["http://zotero.org/groups/6563173/items/W4647RZB"],"itemData":{"id":728,"type":"chapter","abstract":"Transportation equity is a way to frame distributive justice concerns in relation to how social, economic, and government institutions shape the distribution of transportation benefits and burdens in society. It focuses on the evaluative standards used to judge the differential impacts of policies and plans, asking who benefits from and is burdened by them and to what extent. Questions of transportation equity involve both sufficientarian and egalitarian concerns with both absolute levels of wellbeing, transport-related poverty and social exclusion as well as with relative levels of transport-related inequalities. Ultimately, the study of transport equity explores the multiple channels through which transport and land use policies can create conditions for more inclusive cities and transport systems that allow different people to flourish, to satisfy their basic needs and lead a meaningful life. Transportation equity issues broadly encompass how policy decisions shape societal levels of environmental externalities and what groups are more or less exposed to them, as well as how those decisions affect the lives of different groups in terms of their ability to access life-enhancing opportunities such as employment, healthcare, and education. Equity is a crucial part of a broader concern with transport and mobility justice. The call for transport justice goes beyond distributive concerns, and yet justice cannot be achieved withoutequity.","citation-key":"pereiraTransportationEquity2021","container-title":"International Encyclopedia of Transportation","DOI":"10.1016/B978-0-08-102671-7.10053-3","ISBN":"978-0-08-102672-4","page":"271-277","publisher":"Elsevier","publisher-place":"Oxford","source":"ScienceDirect","title":"Transportation Equity","URL":"https://www.sciencedirect.com/science/article/pii/B9780081026717100533","author":[{"family":"Pereira","given":"Rafael H. M."},{"family":"Karner","given":"Alex"}],"editor":[{"family":"Vickerman","given":"Roger"}],"accessed":{"date-parts":[["2024",9,24]]},"issued":{"date-parts":[["2021",1,1]]}}}],"schema":"https://github.com/citation-style-language/schema/raw/master/csl-citation.json"}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(34)</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rather than broad approaches that encompass all of society, our perspective views equity primarily as an issue concerning people. Consequently, while we intend to identify areas with insufficient public transportation service and accessibility, these areas will be identified through measures and analyses focused on equity-deserving populations and facing insufficient access to public transportation, rather than solely on areas with low service. From this perspective, areas with a higher concentration of disadvantaged populations should take priority over wealthier areas, as disadvantaged groups tend to rely more on public transportation </w:t>
      </w:r>
      <w:r>
        <w:fldChar w:fldCharType="begin"/>
      </w:r>
      <w:r>
        <w:rPr>
          <w:rFonts w:ascii="times new roman" w:hAnsi="times new roman" w:cs="Times New Roman"/>
        </w:rPr>
        <w:instrText xml:space="preserve">ADDIN ZOTERO_ITEM CSL_CITATION {"citationID":"OqwGfWLM","properties":{"unsorted":false,"formattedCitation":"(Statistics Canada, 2025b)","plainCitation":"(Statistics Canada, 2025b)","dontUpdate":true,"noteIndex":0},"citationItems":[{"id":"IdBEf4Ak/o4mAv4rE","uris":["http://zotero.org/users/19371690/items/X6SQHGRS"],"itemData":{"id":"TFmmldEk/Qs25MbvV","type":"webpage","abstract":"For the fourth year in a row, the proportion of employed people mostly working from home was down in May 2025 (17.4%) compared with May 2024 (18.7%), resulting in more commuters on the roads.","language":"eng","note":"Last Modified: 2025-08-26","title":"The Daily — Number of Canadian commuters increases for fourth straight year in 2025","URL":"https://www150.statcan.gc.ca/n1/daily-quotidien/250826/dq250826a-eng.htm","author":[{"family":"Statistics Canada","given":"Government of Canada"}],"accessed":{"date-parts":[["2026",5,21]]},"issued":{"date-parts":[["2025",8,26]]}}}],"schema":"https://github.com/citation-style-language/schema/raw/master/csl-citation.json"}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r>
      <w:r>
        <w:rPr>
          <w:rFonts w:ascii="times new roman" w:hAnsi="times new roman"/>
        </w:rPr>
        <w:t>(28)</w:t>
      </w:r>
      <w:r>
        <w:rPr>
          <w:rFonts w:ascii="times new roman" w:hAnsi="times new roman" w:cs="Times New Roman"/>
        </w:rPr>
      </w:r>
      <w:r>
        <w:rPr>
          <w:rFonts w:ascii="times new roman" w:hAnsi="times new roman" w:cs="Times New Roman"/>
        </w:rPr>
        <w:fldChar w:fldCharType="end"/>
      </w:r>
      <w:r>
        <w:rPr>
          <w:rFonts w:ascii="times new roman" w:hAnsi="times new roman"/>
        </w:rPr>
        <w:t>. Our work will be based on the City of Hamilton and its transit provider, Hamilton Street Railway (HSR).</w:t>
      </w:r>
    </w:p>
    <w:p xmlns:wp14="http://schemas.microsoft.com/office/word/2010/wordml" w14:paraId="20D1A31D" wp14:textId="77777777">
      <w:pPr>
        <w:pStyle w:val="Normal"/>
        <w:rPr>
          <w:rFonts w:ascii="times new roman" w:hAnsi="times new roman"/>
        </w:rPr>
      </w:pPr>
      <w:r>
        <w:rPr>
          <w:rFonts w:ascii="times new roman" w:hAnsi="times new roman"/>
          <w:i/>
        </w:rPr>
        <w:t>When?</w:t>
      </w:r>
      <w:r>
        <w:rPr>
          <w:rFonts w:ascii="times new roman" w:hAnsi="times new roman"/>
        </w:rPr>
        <w:t xml:space="preserve"> To ensure justice in transportation, we evaluate the temporal aspects of transportation interventions. For instance, we investigate when a specific intervention takes place, the historical policy context in which it occurs, and for how long its benefits and burdens can be attributed to that intervention. In addition, the temporal dimension is central to our analysis because we are interested in investigating how equity-deserving populations may receive insufficient public transportation service, identifying not only the areas but also the times of day when this insufficiency is most pronounced.</w:t>
      </w:r>
    </w:p>
    <w:p xmlns:wp14="http://schemas.microsoft.com/office/word/2010/wordml" w14:paraId="5C0D2C79" wp14:textId="77777777">
      <w:pPr>
        <w:pStyle w:val="Normal"/>
        <w:rPr>
          <w:rFonts w:ascii="times new roman" w:hAnsi="times new roman"/>
        </w:rPr>
      </w:pPr>
      <w:r>
        <w:rPr>
          <w:rFonts w:ascii="times new roman" w:hAnsi="times new roman" w:cs="Times New Roman"/>
        </w:rPr>
        <w:t>The last question in our conceptual framework relates to How can measures be implemented to reduce inequities. The last work package of this project (WP.4) relates to the development of tools for equity-informed planning and evaluation. This part of the project intersects with WP.2 (CODESIGN) since these tools must implement concepts that are perceived as legitimate by all stakeholders.</w:t>
      </w:r>
    </w:p>
    <w:p xmlns:wp14="http://schemas.microsoft.com/office/word/2010/wordml" w14:paraId="413924BC" wp14:textId="77777777">
      <w:pPr>
        <w:pStyle w:val="Normal"/>
        <w:rPr>
          <w:rFonts w:ascii="times new roman" w:hAnsi="times new roman"/>
        </w:rPr>
      </w:pPr>
      <w:r>
        <w:rPr>
          <w:rFonts w:ascii="times new roman" w:hAnsi="times new roman"/>
          <w:i/>
          <w:iCs/>
        </w:rPr>
        <w:t>How?</w:t>
      </w:r>
      <w:r>
        <w:rPr>
          <w:rFonts w:ascii="times new roman" w:hAnsi="times new roman"/>
        </w:rPr>
        <w:t xml:space="preserve"> Justice theories typically address sufficientarian and egalitarian moral concerns regarding how benefits and burdens should be distributed. While these two concepts are frequently applied in transportation equity research, they are often not explicitly articulated </w:t>
      </w:r>
      <w:r>
        <w:fldChar w:fldCharType="begin"/>
      </w:r>
      <w:r>
        <w:rPr>
          <w:rFonts w:ascii="times new roman" w:hAnsi="times new roman" w:cs="Times New Roman"/>
        </w:rPr>
        <w:instrText xml:space="preserve">ADDIN ZOTERO_ITEM CSL_CITATION {"citationID":"eOeyr0kF","properties":{"formattedCitation":"(22,49)","plainCitation":"(22,49)","noteIndex":0},"citationItems":[{"id":736,"uris":["http://zotero.org/groups/6563173/items/BR288CKB"],"itemData":{"id":736,"type":"chapter","abstract":"Fair transportation system as a system that provides a sufficient level of accessibility to all under most circumstances may not seem radical in character, its consequences for transportation planning could not be more radical. A brief exposition of the way in which a fair transportation system could and should be financed, as such a financing scheme is a crucial component of a fair transportation system. The aim of the fair taxation scheme is to mitigate form of brute bad luck caused by too high transportation user fees. The fair taxation scheme should enable such a sustained effort: it should generate sufficient funds for the gradual improvement of the system for the benefit of persons below the sufficiency threshold. Transportation planning based on principles of justice proposes an entirely different financing scheme for the transportation domain, thereby shedding a new light on these societal debates.","citation-key":"martensDefiningSufficientAccessibility2016","container-title":"Transport Justice","ISBN":"978-1-315-74685-2","note":"number-of-pages: 18","publisher":"Routledge","title":"Defining sufficient accessibility","author":[{"family":"Martens","given":"Karel"}],"issued":{"date-parts":[["2016"]]}}},{"id":737,"uris":["http://zotero.org/groups/6563173/items/JDP748VI"],"itemData":{"id":737,"type":"article-journal","abstract":"Ex ante evaluations of transport policy options (including infrastructure plans) are generally based on cost-benefit analyses (CBA). Accessibility changes are included in such analyses indirectly, via a utilitarian perspective. But accessibility is broader than is assumed by this perspective and also incorporates equity and related distribution effects as well as social exclusion. This paper aims to give an overview of the relevance of distribution effects and equity, and social exclusion for accessibility, based on the literature. The most important conclusions of our paper is that the two subjects are poorly addressed in transport appraisal in general, and in CBA in particular. Additional ethical theories could add value to the utilitarian perspective, egalitarian theories being a major competitor. Equity analysis is however complex because there are several types of equity, various ways to categorize people for equity analysis, numerous impacts to consider, and various ways of measuring these impacts. And such analysis requires normative judgements, in addition to simply presenting distribution effects. Several options are available to express distribution effects. Important choices to be made if such effects need to be reported relate to the unit of comparison (e.g. the household versus the individual), the indicator to be used, and the value of each unit to be compared (e.g. accessibility) for all units of comparison (e.g. households). We also conclude that CBA is not suitable for evaluating social exclusion policies. Based on this overview we propose an agenda for potential future research in the area of ethics and accessibility.","citation-key":"weeDiscussingEquitySocial2011","container-title":"European Journal of Transport and Infrastructure Research","DOI":"10.18757/ejtir.2011.11.4.2940","ISSN":"1567-7141","issue":"4","language":"en","license":"Copyright (c) 0","note":"number: 4","source":"journals.open.tudelft.nl","title":"Discussing Equity and Social Exclusion in Accessibility Evaluations","URL":"https://journals.open.tudelft.nl/ejtir/article/view/2940","volume":"11","author":[{"family":"Wee","given":"Bert","dropping-particle":"van"},{"family":"Geurs","given":"Karst"}],"accessed":{"date-parts":[["2025",1,10]]},"issued":{"date-parts":[["2011",9,1]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(22,49)</w:t>
      </w:r>
      <w:r>
        <w:rPr>
          <w:rFonts w:ascii="times new roman" w:hAnsi="times new roman" w:cs="Times New Roman"/>
        </w:rPr>
      </w:r>
      <w:r>
        <w:rPr>
          <w:rFonts w:ascii="times new roman" w:hAnsi="times new roman" w:cs="Times New Roman"/>
        </w:rPr>
        <w:fldChar w:fldCharType="end"/>
      </w:r>
      <w:r>
        <w:rPr>
          <w:rFonts w:ascii="times new roman" w:hAnsi="times new roman"/>
        </w:rPr>
        <w:t>. The first approach, the sufficientarian perspective, focuses on why some groups or areas lack sufficient access to those goods and services. This approach builds on the idea of a ‘sufficient threshold’, that is, minimum levels of transport goods, services, and accessibility to essential activities that should be guaranteed to everyone to meet basic needs and lead to a meaningful life. In this idea, absolute priority should be given to improving the well-being of those whose well-being level falls below the sufficient threshold. Once that indicators have been selected and agreed upon by participants in the codesign part of the project, they will be implemented into equity-informed evaluation tools, as described in WP.4.</w:t>
      </w:r>
    </w:p>
    <w:p xmlns:wp14="http://schemas.microsoft.com/office/word/2010/wordml" w14:paraId="00E348F0" wp14:textId="77777777">
      <w:pPr>
        <w:pStyle w:val="Normal"/>
        <w:rPr>
          <w:rFonts w:ascii="times new roman" w:hAnsi="times new roman"/>
        </w:rPr>
      </w:pPr>
      <w:r>
        <w:rPr>
          <w:rFonts w:ascii="times new roman" w:hAnsi="times new roman"/>
        </w:rPr>
        <w:t xml:space="preserve">More generally, transportation analyses in practice often on standards to determine whether a situation is fair </w:t>
      </w:r>
      <w:r>
        <w:fldChar w:fldCharType="begin"/>
      </w:r>
      <w:r>
        <w:rPr>
          <w:rFonts w:ascii="times new roman" w:hAnsi="times new roman" w:cs="Times New Roman"/>
        </w:rPr>
        <w:instrText xml:space="preserve">ADDIN ZOTERO_ITEM CSL_CITATION {"citationID":"Ezvfh7MR","properties":{"unsorted":false,"formattedCitation":"(29)","plainCitation":"(29)","noteIndex":0},"citationItems":[{"id":739,"uris":["http://zotero.org/groups/6563173/items/9X7THPZW"],"itemData":{"id":739,"type":"report","citation-key":"soukhovanastasiaSearchingStandardsFairness2024","number":"MJ-0001","page":"22","publisher":"Mobilizing Justice","title":"Searching for standards of fairness in the transportation justice literature","URL":"https://mobilizingjustice.ca/wp-content/uploads/2024/01/tools-report-2.pdf","author":[{"literal":"Soukhov, Anastasia"},{"literal":"Tiznado-Aitken, Ignacio"},{"literal":"Palm, Matthew"},{"literal":"Farber, Steven"},{"literal":"Páez, Antonio"}],"accessed":{"date-parts":[["2024",9,27]]},"issued":{"date-parts":[["2024",1,2]]}}}],"schema":"https://github.com/citation-style-language/schema/raw/master/csl-citation.json"}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r>
      <w:r>
        <w:rPr>
          <w:rFonts w:ascii="times new roman" w:hAnsi="times new roman" w:cs="Times New Roman"/>
        </w:rPr>
        <w:fldChar w:fldCharType="end"/>
      </w:r>
      <w:r>
        <w:rPr>
          <w:rFonts w:ascii="times new roman" w:hAnsi="times new roman"/>
        </w:rPr>
        <w:t>. Once operationalized, an equity standard defines the level of fairness to be adopted and the acceptable level of inequality, usually combining a concept of fairness with threshold criteria, thereby reflecting both vertical and horizontal approaches to equity. Vertical equity is typically operationalized through opportunity-based standards defined for specific population groups (e.g., minimum access to opportunities within a 10-minute bus ride for older adults), whereas horizontal equity is generally operationalized through uniform travel barrier thresholds applied to all potential users (e.g., a maximum acceptable distance to a public transit stop). Regarding the definition of equity standards, our approach is guided by the principles of sufficiency and egalitarianism. This means that the minimum level of accessibility to public transportation should be defined according to the needs of the most equity-deserving population, thereby reducing inequalities in opportunities.</w:t>
      </w:r>
    </w:p>
    <w:p xmlns:wp14="http://schemas.microsoft.com/office/word/2010/wordml" w14:paraId="525D21B8" wp14:textId="77777777">
      <w:pPr>
        <w:pStyle w:val="Normal"/>
        <w:rPr>
          <w:rFonts w:ascii="times new roman" w:hAnsi="times new roman"/>
        </w:rPr>
      </w:pPr>
      <w:r>
        <w:rPr>
          <w:rFonts w:ascii="times new roman" w:hAnsi="times new roman"/>
          <w:b/>
          <w:bCs/>
        </w:rPr>
        <w:t>WP.2 Codesign</w:t>
      </w:r>
      <w:r>
        <w:rPr>
          <w:rFonts w:ascii="times new roman" w:hAnsi="times new roman"/>
        </w:rPr>
        <w:t>: In the 5WH framework, the question of WHY? constitutes the cornerstone of our approach to analyzing equity. This question, however, is not answerable in a strictly technical fashion. Data can help to support it, but to produce truly actionable knowledge public transit users and practitioners must co-create the equity indicators developed to assess the performance of public transport systems in Canadian cities. For this reason, CODESIGN is an essential component of the project, and will run throughout the life-course of the project, from the development of indicators, the choice of standards, and the testing of open-source tools.</w:t>
      </w:r>
    </w:p>
    <w:p xmlns:wp14="http://schemas.microsoft.com/office/word/2010/wordml" w14:paraId="13E372F5" wp14:textId="77777777">
      <w:pPr>
        <w:pStyle w:val="Normal"/>
        <w:rPr>
          <w:rFonts w:ascii="times new roman" w:hAnsi="times new roman"/>
        </w:rPr>
      </w:pPr>
      <w:r>
        <w:rPr>
          <w:rFonts w:ascii="times new roman" w:hAnsi="times new roman"/>
        </w:rPr>
        <w:t xml:space="preserve">Codesign is a form of community-based participatory action research; it is a collaborative approach that brings together researchers and stakeholders to address the needs of the community, enable social system change, and increase the impact of research. Stakeholders are placed at the centre of the design process to effectively solve problems and improve human experiences </w:t>
      </w:r>
      <w:r>
        <w:fldChar w:fldCharType="begin"/>
      </w:r>
      <w:r>
        <w:rPr>
          <w:rFonts w:ascii="times new roman" w:hAnsi="times new roman" w:eastAsia="Times New Roman" w:cs="Times New Roman"/>
        </w:rPr>
        <w:instrText xml:space="preserve">ADDIN ZOTERO_ITEM CSL_CITATION {"citationID":"28MKasQC","properties":{"unsorted":false,"formattedCitation":"(50\\uc0\\u8211{}52)","plainCitation":"(50–52)","noteIndex":0},"citationItems":[{"id":865,"uris":["http://zotero.org/groups/6563173/items/IE3E4XZT"],"itemData":{"id":865,"type":"article-journal","abstract":"International Journal of Design, IJDesign, IJD, SCI, SSCI, A&amp;HCI","citation-key":"BenefitsCodesignService","container-title":"International Journal of Design","issue":"2","publisher":"International Journal of Design","title":"Benefits of Co-design in Service Design Projects","URL":"https://www.ijdesign.org/index.php/IJDesign/article/view/890/346","volume":"5","author":[{"literal":"Marc Steen"},{"literal":"Menno Manschot"},{"literal":"Nicole De Koning"}],"accessed":{"date-parts":[["2026",9,8]]},"issued":{"date-parts":[["2011"]]}}},{"id":863,"uris":["http://zotero.org/groups/6563173/items/CQNPHM2M"],"itemData":{"id":863,"type":"article-journal","citation-key":"sanchezdelaguiaTermsMeaningsParticipation2017","container-title":"The Design Journal","DOI":"10.1080/14606925.2017.1352951","ISSN":"1460-6925, 1756-3062","issue":"sup1","journalAbbreviation":"The Design Journal","language":"en","page":"S4539-S4551","source":"DOI.org (Crossref)","title":"Terms and meanings of “participation” in product design: From “user involvement” to “co-design”","title-short":"Terms and meanings of “participation” in product design","volume":"20","author":[{"family":"Sánchez De La Guía","given":"Lucía"},{"family":"Puyuelo Cazorla","given":"Marina"},{"family":"Molina","given":"Blanca","non-dropping-particle":"de-Miguel-"}],"issued":{"date-parts":[["2017",7,28]]}}},{"id":862,"uris":["http://zotero.org/groups/6563173/items/C73TY4HM"],"itemData":{"id":862,"type":"article-journal","abstract":"Abstract\n            \n              Background\n              Co-design has emerged as a preferred collaborative approach among public health practitioners and researchers to increase the potential for effective design, implementation, and dissemination of innovations in practice. However, there is a lack of consistency in its application and reporting, which limits co-design theory building and best practice. This systematic review aimed to examine the peer-reviewed literature reporting on the use of co-design as a process in public health, synthesizing co-design definitions, processes, models or frameworks, and participant involvement.\n            \n            \n              Methods\n              Following the Preferred Reporting Items of Systematic Reviews and Meta-Analyses guidelines, a systematic review was conducted. MEDLINE Complete, Global Health, and CINAHL databases were searched in April 2024.\n            \n            \n              Results\n              Fifty-five articles on co-design in public health published between 2016 and 2024 were included, noting a publication surge in 2023. Most studies were from Oceania, especially Australia. While 44% lacked a co-design definition, 56% highlighted its collaborative, inclusive nature. Over half (64%) used specific frameworks with a 4–5 stage process. Participant roles varied from informants to co-designers, with many studies not developing prototypes for testing.\n            \n            \n              Conclusions\n              A more transparent and systematic application of co-design principles, guided by clearer frameworks and reporting standards, could improve the consistency and effectiveness of co-design in public health.","citation-key":"vargasExploringCodesignSystematic2025","container-title":"Journal of Public Health","DOI":"10.1093/pubmed/fdaf084","ISSN":"1741-3842, 1741-3850","issue":"4","language":"en","license":"https://creativecommons.org/licenses/by-nc/4.0/","page":"e616-e639","source":"DOI.org (Crossref)","title":"Exploring co-design: a systematic review of concepts, processes, models, and frameworks used in public health research","title-short":"Exploring co-design","volume":"47","author":[{"family":"Vargas","given":"Carmen"},{"family":"Zorbas","given":"Christina"},{"family":"Longworth","given":"Giuliana Raffaella"},{"family":"Ugalde","given":"Anna"},{"family":"Needham","given":"Cindy"},{"family":"Sunil","given":"Athira"},{"family":"Venegas Hargous","given":"Carolina"},{"family":"Bennett","given":"Rebecca"},{"family":"Forrester-Bowling","given":"Tari"},{"family":"Cardoso Richter","given":"Ana Paula"},{"family":"Allender","given":"Steven"}],"issued":{"date-parts":[["2025",12,1]]}}}],"schema":"https://github.com/citation-style-language/schema/raw/master/csl-citation.json"}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kern w:val="0"/>
        </w:rPr>
        <w:t>(50–52)</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rPr>
        <w:t xml:space="preserve">. In this project, the stakeholders will include the research team, public transit providers, and users.  </w:t>
      </w:r>
    </w:p>
    <w:p xmlns:wp14="http://schemas.microsoft.com/office/word/2010/wordml" w14:paraId="1FC0207E" wp14:textId="77777777">
      <w:pPr>
        <w:pStyle w:val="Normal"/>
        <w:rPr>
          <w:rFonts w:ascii="times new roman" w:hAnsi="times new roman"/>
        </w:rPr>
      </w:pPr>
      <w:r>
        <w:rPr>
          <w:rFonts w:ascii="times new roman" w:hAnsi="times new roman"/>
        </w:rPr>
        <w:t xml:space="preserve">Though the tools for this overarching proposed research project will be developed for Canada’s 14 largest CMAs, the Codesign process will focus on the City of Hamilton, where McMaster is located and where the strongest community-based research already partnerships exist. Research collaborators working at the HSR will be involved as the public transit providers. Public transit users will be selected from Hamilton’s ‘code red’ neighbourhoods; areas that experience the highest rates of poverty, unemployment, and chronic illness in the city </w:t>
      </w:r>
      <w:r>
        <w:fldChar w:fldCharType="begin"/>
      </w:r>
      <w:r>
        <w:rPr>
          <w:rFonts w:ascii="times new roman" w:hAnsi="times new roman" w:eastAsia="Times New Roman" w:cs="Times New Roman"/>
          <w:color w:val="000000" w:themeColor="text1"/>
        </w:rPr>
        <w:instrText xml:space="preserve">ADDIN ZOTERO_ITEM CSL_CITATION {"citationID":"HDqEhKxL","properties":{"unsorted":false,"formattedCitation":"(53)","plainCitation":"(53)","noteIndex":0},"citationItems":[{"id":858,"uris":["http://zotero.org/groups/6563173/items/BS5JHUWR"],"itemData":{"id":858,"type":"article-journal","abstract":"The aim of this study is to identify the underlying factors that explain the average age of death in the City of Hamilton, Ontario, Canada, as identified in the Code Red Series of articles that were published in the city's local newspaper in 2010. Using a combination of data from the Canadian Census, the Government of Ontario and the Canadian Institute for Health Information, factor analysis was performed yielding three factors relating to poverty, working class, and health and aging. In a regression analysis these factors account for 42% of the total variability in the average ages of death observed at the census tract level of geography within the city.","citation-key":"delucaCodeRedExplaining2015","container-title":"AIMS Public Health","DOI":"10.3934/publichealth.2015.4.730","ISSN":"2327-8994","issue":"4","journalAbbreviation":"AIMSPH","language":"en","license":"2015 The Author(s)","note":"Cc_license_type: cc_by\nPrimary_atype: AIMS Public Health\nSubject_term: Research article\nSubject_term_id: Research article","page":"730-745","source":"www.aimspress.com","title":"Code Red: Explaining Average Age of Death in the City of Hamilton","title-short":"Code Red","volume":"2","author":[{"family":"DeLuca","given":"Patrick F."},{"family":"Kanaroglou","given":"Pavlos S."},{"family":"DeLuca","given":"Patrick F."},{"family":"Kanaroglou","given":"Pavlos S."}],"issued":{"date-parts":[["2015"]]}}}],"schema":"https://github.com/citation-style-language/schema/raw/master/csl-citation.json"}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r>
      <w:r>
        <w:rPr>
          <w:rFonts w:ascii="times new roman" w:hAnsi="times new roman" w:cs="Times New Roman"/>
        </w:rPr>
        <w:t>(53)</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rPr>
        <w:t xml:space="preserve">. </w:t>
      </w:r>
    </w:p>
    <w:p xmlns:wp14="http://schemas.microsoft.com/office/word/2010/wordml" w14:paraId="501DDD7F" wp14:textId="77777777">
      <w:pPr>
        <w:pStyle w:val="Normal"/>
        <w:rPr>
          <w:rFonts w:ascii="times new roman" w:hAnsi="times new roman"/>
        </w:rPr>
      </w:pPr>
      <w:r>
        <w:rPr>
          <w:rFonts w:ascii="times new roman" w:hAnsi="times new roman"/>
        </w:rPr>
        <w:t xml:space="preserve">The research will follow the 5-step human centered Codesign approach </w:t>
      </w:r>
      <w:r>
        <w:fldChar w:fldCharType="begin"/>
      </w:r>
      <w:r>
        <w:rPr>
          <w:rFonts w:ascii="times new roman" w:hAnsi="times new roman" w:eastAsia="Times New Roman" w:cs="Times New Roman"/>
        </w:rPr>
        <w:instrText xml:space="preserve">ADDIN ZOTERO_ITEM CSL_CITATION {"citationID":"b2Yl8RpF","properties":{"unsorted":false,"formattedCitation":"(54)","plainCitation":"(54)","noteIndex":0},"citationItems":[{"id":859,"uris":["http://zotero.org/groups/6563173/items/63FJKJEU"],"itemData":{"id":859,"type":"report","citation-key":"zotero-item-859","publisher":"Hasso Plattner Institute of Design","title":"An Introduction to Design Thinking PROCESS GUIDE","URL":"https://web.stanford.edu/~mshanks/MichaelShanks/files/509554.pdf","author":[{"literal":"Hasso Plattner Institute of Design"}]}}],"schema":"https://github.com/citation-style-language/schema/raw/master/csl-citation.json"}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(54)</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rPr>
        <w:t xml:space="preserve">. Empathy is the first step. We will begin by understanding service users’ experiences with public transport systems as well as their understandings of the standards the currently exist. This will be done through a series of Codesign focus groups. The second and third steps, to Define the key issues, and to Ideate, i.e., to brainstorm possible solutions, will take place in a second round of focus groups. This time, a series of separate Codesign focus groups will take place with users and with transit providers. PhD student 1 will lead these three sets of focus groups and present the results to the larger research team. The larger team will then complete step 4, which is to Prototype a variety of tangible solutions based on the focus group discussions so far. The final step is to Test and re-design the solution as needed. A final round of focus groups with users and providers in which they will present the prototyped solutions for feedback. These results will be presented to the research team again, with the possibility of another round of re-design and testing. The final outputs should include new tools that are not only theoretically and empirically sound, but that also respond to the needs of transit users and providers. </w:t>
      </w:r>
    </w:p>
    <w:p xmlns:wp14="http://schemas.microsoft.com/office/word/2010/wordml" w14:paraId="17DFA267" wp14:textId="77777777">
      <w:pPr>
        <w:pStyle w:val="Normal"/>
        <w:rPr>
          <w:rFonts w:ascii="times new roman" w:hAnsi="times new roman"/>
        </w:rPr>
      </w:pPr>
      <w:r>
        <w:rPr>
          <w:rFonts w:ascii="times new roman" w:hAnsi="times new roman"/>
        </w:rPr>
        <w:t xml:space="preserve">All Codesign focus group sessions will be supported by McMaster university's equity-based Co creation hub (eqCC). This hub unites researchers, students, service providers, and users to engage educate and innovate for systemic transformation </w:t>
      </w:r>
      <w:r>
        <w:fldChar w:fldCharType="begin"/>
      </w:r>
      <w:r>
        <w:rPr>
          <w:rFonts w:ascii="times new roman" w:hAnsi="times new roman" w:eastAsia="Times New Roman" w:cs="Times New Roman"/>
        </w:rPr>
        <w:instrText xml:space="preserve">ADDIN ZOTERO_ITEM CSL_CITATION {"citationID":"9io8St71","properties":{"unsorted":false,"formattedCitation":"(55)","plainCitation":"(55)","noteIndex":0},"citationItems":[{"id":860,"uris":["http://zotero.org/groups/6563173/items/IA97LIEE"],"itemData":{"id":860,"type":"webpage","abstract":"Engage, Educate [...]Read More...","citation-key":"Home","container-title":"Equity-based Co-Creation Hub","language":"en-US","title":"McMaster University's Equity-based Co-Creation Hub","URL":"https://codesign.mcmaster.ca/","author":[{"literal":"McMaster University"}],"accessed":{"date-parts":[["2026",9,8]]},"issued":{"date-parts":[["2026"]]}}}],"schema":"https://github.com/citation-style-language/schema/raw/master/csl-citation.json"}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(55)</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rPr>
        <w:t>. All focus groups will take place at McMaster University, and all participants will be compensated for their time with a $50 gift cards per focus group they participate in. They will also be reimbursed for transportation (either reimbursed a bus fare or parking will be paid for).</w:t>
      </w:r>
    </w:p>
    <w:p xmlns:wp14="http://schemas.microsoft.com/office/word/2010/wordml" w14:paraId="225F23EA" wp14:textId="77777777">
      <w:pPr>
        <w:pStyle w:val="Normal"/>
        <w:rPr>
          <w:rFonts w:ascii="times new roman" w:hAnsi="times new roman"/>
        </w:rPr>
      </w:pPr>
      <w:r>
        <w:rPr>
          <w:rFonts w:ascii="times new roman" w:hAnsi="times new roman"/>
          <w:b/>
          <w:bCs/>
        </w:rPr>
        <w:t>WP.3 Geospatial data analytics</w:t>
      </w:r>
      <w:r>
        <w:rPr>
          <w:rFonts w:ascii="times new roman" w:hAnsi="times new roman"/>
        </w:rPr>
        <w:t xml:space="preserve">: EquiTransit will be built entirely from open data and open-source software, ensuring transparency and reproducibility across jurisdictions. For each Census Metropolitan Area, we assemble four open inputs: sociodemographic data from the 2026 Canadian Census (via the {cancensus} interface to CensusMapper from von Bergman et al. </w:t>
      </w:r>
      <w:r>
        <w:fldChar w:fldCharType="begin"/>
      </w:r>
      <w:r>
        <w:rPr>
          <w:rFonts w:ascii="times new roman" w:hAnsi="times new roman" w:cs="Times New Roman"/>
        </w:rPr>
        <w:instrText xml:space="preserve">ADDIN ZOTERO_ITEM CSL_CITATION {"citationID":"4vWHLEXw","properties":{"unsorted":false,"formattedCitation":"(56)","plainCitation":"(56)","noteIndex":0},"citationItems":[{"id":922,"uris":["http://zotero.org/groups/6563173/items/85SLF348"],"itemData":{"id":922,"type":"software","citation-key":"zotero-item-922","title":"cancensus: R package to access, retrieve, and work with Canadian Census data and geography","title-short":"cancensus","URL":"https://mountainmath.github.io/cancensus/","version":"0.6.1","author":[{"family":"Jens","given":"von Bergmann"},{"family":"Dmitry","given":"Shkolnik"},{"family":"Jacobs","given":"Aaron"}],"issued":{"date-parts":[["2026"]]}}}],"schema":"https://github.com/citation-style-language/schema/raw/master/csl-citation.json"}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(56)</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General Transit Feed Specification (GTFS) schedules published by transit agencies, OpenStreetMap road and pedestrian networks, and the Global Human Settlement Layer built-up surface. To enable consistent comparison, these inputs are harmonised onto a fine hexagonal grid; dasymetric interpolation, restricted to residential cells, apportions census population and attributes to each hexagon. Using the {r5r} routing engine </w:t>
      </w:r>
      <w:r>
        <w:fldChar w:fldCharType="begin"/>
      </w:r>
      <w:r>
        <w:rPr>
          <w:rFonts w:ascii="times new roman" w:hAnsi="times new roman" w:cs="Times New Roman"/>
        </w:rPr>
        <w:instrText xml:space="preserve">ADDIN ZOTERO_ITEM CSL_CITATION {"citationID":"Q73H8FA5","properties":{"unsorted":false,"formattedCitation":"(57)","plainCitation":"(57)","noteIndex":0},"citationItems":[{"id":923,"uris":["http://zotero.org/groups/6563173/items/2JH3V69D"],"itemData":{"id":923,"type":"article-journal","abstract":"Routing is a key step in transport planning and research. Nonetheless, researchers and practitioners often face challenges when performing this task due to long computation times and the cost of licensed software. R\n              5\n              is a multimodal transport network router that offers multiple routing features, such as calculating travel times over a time window and returning multiple itineraries for origin/destination pairs. This paper describes r5r, an open-source R package that leverages R\n              5\n              to efficiently compute travel time matrices and generate detailed itineraries between sets of origins and destinations at no expense using seamless parallel computing.","citation-key":"pereiraR5rRapidRealistic2021","container-title":"Findings","DOI":"10.32866/001c.21262","ISSN":"2652-8800","language":"en","license":"https://creativecommons.org/licenses/by-sa/4.0","source":"DOI.org (Crossref)","title":"r5r: Rapid Realistic Routing on Multimodal Transport Networks with R&lt;sup&gt;5&lt;/sup&gt; in R","title-short":"r5r","URL":"https://findingspress.org/article/21262-r5r-rapid-realistic-routing-on-multimodal-transport-networks-with-r-5-in-r","author":[{"family":"Pereira","given":"Rafael H. M."},{"family":"Saraiva","given":"Marcus"},{"family":"Herszenhut","given":"Daniel"},{"family":"Braga","given":"Carlos Kaue Vieira"},{"family":"Conway","given":"Matthew Wigginton"}],"accessed":{"date-parts":[["2026",9,12]]},"issued":{"date-parts":[["2021",3,4]]}}}],"schema":"https://github.com/citation-style-language/schema/raw/master/csl-citation.json"}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we then compute different measures of transportation accessibility. This includes walking travel times between populated hexagons and transit stops to estimate the population effectively served by each stop. Larger network accessibility analyses will also be conducted to capture how well the transit system enables individuals to reach key destination types, such as places of work or daily necessities, around each study area within a reasonable travel time.</w:t>
      </w:r>
    </w:p>
    <w:p xmlns:wp14="http://schemas.microsoft.com/office/word/2010/wordml" w14:paraId="7B452E49" wp14:textId="77777777">
      <w:pPr>
        <w:pStyle w:val="Normal"/>
        <w:rPr>
          <w:rFonts w:ascii="times new roman" w:hAnsi="times new roman"/>
        </w:rPr>
      </w:pPr>
      <w:r>
        <w:rPr>
          <w:rFonts w:ascii="times new roman" w:hAnsi="times new roman"/>
        </w:rPr>
        <w:t xml:space="preserve">Critically, the travel time and accessibility analyses will be conducted using ten-minute transit service intervals, which is done to capture how level of service (e.g. service frequency) varies through the day and expose temporal gaps that daily averages conceal. GTFS Realtime data, which captures actual transit vehicle movements rather than static schedules, offers a particularly interesting avenue to better understand how service levels and accessibilities are provided. Building on initial schedule-based analyses, we will expand our lens to incorporate realtime data over sampled time windows as the project progresses, making use of new computational tools like the {gtfsrealtime}  </w:t>
      </w:r>
      <w:r>
        <w:fldChar w:fldCharType="begin"/>
      </w:r>
      <w:r>
        <w:rPr>
          <w:rFonts w:ascii="times new roman" w:hAnsi="times new roman" w:cs="Times New Roman"/>
        </w:rPr>
        <w:instrText xml:space="preserve">ADDIN ZOTERO_ITEM CSL_CITATION {"citationID":"VZFSgkfW","properties":{"unsorted":false,"formattedCitation":"(58)","plainCitation":"(58)","noteIndex":0},"citationItems":[{"id":925,"uris":["http://zotero.org/groups/6563173/items/SRIDLI77"],"itemData":{"id":925,"type":"article-journal","abstract":"Many transit agencies publish real-time data on vehicle positions, arrival predictions, and service alerts in GTFS-realtime format. While these data provide a wealth of information, to date they have been underutilized in research. In part, this is due to a lack of tooling for reading the bespoke binary format into commonly-used research platforms. This article introduces the\n              {gtfsrealtime}\n              R package which allows reading GTFS-realtime into the R statistical programming environment.","citation-key":"bhagat-conwayGtfsrealtimePackageWorking2026","container-title":"Findings","DOI":"10.32866/001c.168472","ISSN":"2652-8800","language":"en","license":"https://creativecommons.org/licenses/by-sa/4.0","source":"DOI.org (Crossref)","title":"{gtfsrealtime}: a Package for Working with GTFS-Realtime Transit Data in R","title-short":"{gtfsrealtime}","URL":"https://findingspress.org/article/168472-gtfsrealtime-a-package-for-working-with-gtfs-realtime-transit-data-in-r","author":[{"family":"Bhagat-Conway","given":"Matthew"},{"family":"Palm","given":"Matthew"}],"accessed":{"date-parts":[["2026",9,12]]},"issued":{"date-parts":[["2026",8,31]]}}}],"schema":"https://github.com/citation-style-language/schema/raw/master/csl-citation.json"}</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r>
      <w:r>
        <w:rPr>
          <w:rFonts w:ascii="times new roman" w:hAnsi="times new roman" w:cs="Times New Roman"/>
        </w:rPr>
        <w:fldChar w:fldCharType="end"/>
      </w:r>
      <w:r>
        <w:rPr>
          <w:rFonts w:ascii="times new roman" w:hAnsi="times new roman"/>
        </w:rPr>
        <w:t xml:space="preserve"> package for R. From this, the transit accessibilities are disaggregated by income, race, gender, and immigration status, revealing inequities across both space and time. The complete workflow will be packaged as a reproducible analytical pipeline and an interactive dashboard, initially covering Canada's fourteen largest CMAs, with parameters, indicators, and presentation refined through stakeholder consultation.</w:t>
      </w:r>
    </w:p>
    <w:p xmlns:wp14="http://schemas.microsoft.com/office/word/2010/wordml" w14:paraId="514844CE" wp14:textId="77777777">
      <w:pPr>
        <w:pStyle w:val="Normal"/>
        <w:rPr>
          <w:rFonts w:ascii="times new roman" w:hAnsi="times new roman"/>
        </w:rPr>
      </w:pPr>
      <w:r>
        <w:rPr>
          <w:rFonts w:ascii="times new roman" w:hAnsi="times new roman"/>
          <w:b/>
          <w:bCs/>
        </w:rPr>
        <w:t>WP.4 Equity-informed transit planning and evaluation</w:t>
      </w:r>
      <w:r>
        <w:rPr>
          <w:rFonts w:ascii="times new roman" w:hAnsi="times new roman"/>
        </w:rPr>
        <w:t>: Transit planning is often planned on legacy routes and updated as population and urban geography expand. Then the service is packaged into a global universal standard: General Transit Feed Specification (GTFS). While the planning process itself is mathematically challenging, it is fundamentally developed under a cost-reduction framework, maximizing the utilization of resources, and balancing operation with political decision and budget constraints. The well-established four-step transit design model (e.g., routes, frequencies, fleet, and crew assignment) does not include socio-economic and demographic factors that capture the equity dimension users. We will develop two interventions enabling a novel implementation of equity transit planning.</w:t>
      </w:r>
    </w:p>
    <w:p xmlns:wp14="http://schemas.microsoft.com/office/word/2010/wordml" w14:paraId="0A2A201D" wp14:textId="77777777">
      <w:pPr>
        <w:pStyle w:val="Normal"/>
        <w:rPr>
          <w:rFonts w:ascii="times new roman" w:hAnsi="times new roman"/>
        </w:rPr>
      </w:pPr>
      <w:r>
        <w:rPr>
          <w:rFonts w:ascii="times new roman" w:hAnsi="times new roman"/>
        </w:rPr>
        <w:t>For existing network, a GTFS-based equity analytical model will be conceived, developed and deployed. The model will utilize equity indicator, geospatial data, and findings from the CODESIGN, and integrate them with GTFS files. Furthermore, Equity KPIs will be embedded in a GTFS-analytical model, enabling transit agencies, policymakers, and practitioners to evaluate the equity gaps in existing design. For new service design, the equity indicators will be integrated in the four-step transit model, offering a novel equity-based transit planning framework transferable to any context. Equity-indicators will be integrated in all four steps of the planning process. For example, frequency estimation is based on passenger flow/demand, wait-time, and fleet size (e.g., available resources). Although passenger flow/demand is an indirect indicator of equity, it remains ineffective of differentiating service provision for equity-deserving groups compared to other users.</w:t>
      </w:r>
    </w:p>
    <w:p xmlns:wp14="http://schemas.microsoft.com/office/word/2010/wordml" w14:paraId="53D5655C" wp14:textId="77777777">
      <w:pPr>
        <w:pStyle w:val="Normal"/>
        <w:spacing w:before="120" w:after="0"/>
        <w:rPr>
          <w:rFonts w:ascii="times new roman" w:hAnsi="times new roman"/>
        </w:rPr>
      </w:pPr>
      <w:r>
        <w:rPr>
          <w:rFonts w:ascii="times new roman" w:hAnsi="times new roman"/>
          <w:b/>
          <w:bCs/>
          <w:sz w:val="20"/>
          <w:szCs w:val="20"/>
        </w:rPr>
        <w:t>Table T1.</w:t>
      </w:r>
      <w:r>
        <w:rPr>
          <w:rFonts w:ascii="times new roman" w:hAnsi="times new roman"/>
          <w:sz w:val="20"/>
          <w:szCs w:val="20"/>
        </w:rPr>
        <w:t xml:space="preserve"> Project timeline with Work Packages and Tasks.</w:t>
      </w:r>
      <w:r>
        <w:rPr>
          <w:rFonts w:ascii="times new roman" w:hAnsi="times new roman"/>
        </w:rPr>
        <w:t xml:space="preserve"> </w:t>
      </w:r>
    </w:p>
    <w:p xmlns:wp14="http://schemas.microsoft.com/office/word/2010/wordml" w14:paraId="0A37501D" wp14:textId="77777777">
      <w:pPr>
        <w:pStyle w:val="Normal"/>
        <w:spacing w:before="120" w:after="0"/>
        <w:ind w:hanging="0"/>
        <w:rPr>
          <w:rFonts w:ascii="times new roman" w:hAnsi="times new roman"/>
        </w:rPr>
      </w:pPr>
      <w:r>
        <w:rPr>
          <w:rFonts w:ascii="times new roman" w:hAnsi="times new roman"/>
        </w:rPr>
        <w:object w:dxaOrig="9965" w:dyaOrig="4873" w14:anchorId="47F71FAB">
          <v:shapetype id="_x0000_tole_rId2" coordsize="21600,21600" filled="f" stroked="f" o:spt="ole_rId2"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ole_rId2" style="position:absolute;margin-left:0.2pt;margin-top:10.05pt;width:467.2pt;height:232.55pt;mso-wrap-distance-right:0pt;mso-position-horizontal-relative:text;mso-position-vertical-relative:text" filled="f" o:ole="" type="_x0000_tole_rId2">
            <v:imagedata o:title="" r:id="rId3"/>
            <w10:wrap type="square"/>
          </v:shape>
          <o:OLEObject Type="Embed" ProgID="Excel.Sheet.12" ShapeID="ole_rId2" DrawAspect="Content" ObjectID="_1921842739" r:id="rId2"/>
        </w:object>
      </w:r>
    </w:p>
    <w:p xmlns:wp14="http://schemas.microsoft.com/office/word/2010/wordml" w14:paraId="5DAB6C7B" wp14:textId="77777777">
      <w:pPr>
        <w:pStyle w:val="Normal"/>
        <w:ind w:hanging="0"/>
        <w:rPr>
          <w:rFonts w:ascii="times new roman" w:hAnsi="times new roman"/>
        </w:rPr>
      </w:pPr>
      <w:r>
        <w:rPr>
          <w:rFonts w:ascii="times new roman" w:hAnsi="times new roman"/>
        </w:rPr>
      </w:r>
      <w:r>
        <w:br w:type="page"/>
      </w:r>
    </w:p>
    <w:p xmlns:wp14="http://schemas.microsoft.com/office/word/2010/wordml" w14:paraId="6538E5CB" wp14:textId="77777777">
      <w:pPr>
        <w:pStyle w:val="Title"/>
        <w:spacing w:before="0" w:after="80"/>
        <w:contextualSpacing/>
        <w:rPr>
          <w:rFonts w:ascii="times new roman" w:hAnsi="times new roman"/>
        </w:rPr>
      </w:pPr>
      <w:r>
        <w:rPr>
          <w:rFonts w:ascii="times new roman" w:hAnsi="times new roman"/>
          <w:lang w:val="en-CA"/>
        </w:rPr>
        <w:t>Knowledge Mobilization Plan (max. 1 page)</w:t>
      </w:r>
    </w:p>
    <w:p xmlns:wp14="http://schemas.microsoft.com/office/word/2010/wordml" w14:paraId="4CF6D861" wp14:textId="77777777">
      <w:pPr>
        <w:pStyle w:val="Normal"/>
        <w:rPr>
          <w:rFonts w:ascii="times new roman" w:hAnsi="times new roman"/>
        </w:rPr>
      </w:pPr>
      <w:r>
        <w:rPr>
          <w:rFonts w:ascii="times new roman" w:hAnsi="times new roman"/>
        </w:rPr>
        <w:t xml:space="preserve">Appropriate Knowledge Mobilization (KM) strategies will be used to reach key audiences: 1) members of the public; 2) transportation planners and practitioners; and 3) academic and scientific peers. The creation of transparent, research-based tools will improve planning processes and outcomes, and support fluid participation in planning processes by a variety of stakeholders. </w:t>
      </w:r>
    </w:p>
    <w:p xmlns:wp14="http://schemas.microsoft.com/office/word/2010/wordml" w14:paraId="7078E58F" wp14:textId="77777777">
      <w:pPr>
        <w:pStyle w:val="Normal"/>
        <w:rPr>
          <w:rFonts w:ascii="times new roman" w:hAnsi="times new roman"/>
        </w:rPr>
      </w:pPr>
      <w:r>
        <w:rPr>
          <w:rFonts w:ascii="times new roman" w:hAnsi="times new roman"/>
          <w:b/>
          <w:bCs/>
        </w:rPr>
        <w:t>Public and practitioners (Years 1-5)</w:t>
      </w:r>
      <w:r>
        <w:rPr>
          <w:rFonts w:ascii="times new roman" w:hAnsi="times new roman"/>
        </w:rPr>
        <w:t xml:space="preserve">: A key aspect of the proposed work is the use of a codesign framework. In codesign there is a continuous and multilateral flow of knowledge during every step of the project. In addition to the involvement of members of the public and practitioners in this endeavor, we will expand the diffusion of this research by writing general reports in layperson language to facilitate knowledge transfer. These reports will take the form of policy briefs, user’s manuals, and sample case reports related to the release of the tools. These will be posted publicly via a website that will be hosted on GitHub Pages. Members of the research team have experience developing and releasing available materials for public use with this medium </w:t>
      </w:r>
      <w:r>
        <w:fldChar w:fldCharType="begin"/>
      </w:r>
      <w:r>
        <w:rPr>
          <w:rFonts w:ascii="times new roman" w:hAnsi="times new roman" w:eastAsia="Times New Roman" w:cs="Times New Roman"/>
          <w:color w:val="000000" w:themeColor="text1"/>
        </w:rPr>
        <w:instrText xml:space="preserve">ADDIN ZOTERO_ITEM CSL_CITATION {"citationID":"dKg6Lo5F","properties":{"unsorted":false,"formattedCitation":"(59,60)","plainCitation":"(59,60)","noteIndex":0},"citationItems":[{"id":855,"uris":["http://zotero.org/groups/6563173/items/VHC545ZX"],"itemData":{"id":855,"type":"article-journal","abstract":"This paper describes and visualises the data contained within the {TTS2016R} data package created in R, the statistical computing and graphics language. {TTS2016R} contains home-to-work commute information for the Greater Golden Horseshoe area in Canada retrieved from the 2016 Transportation Tomorrow Survey (TTS). Included are all Traffic Analysis Zones (TAZ), the number of people who are employed full-time per TAZ, the number of jobs per TAZ, the count of origin destination (OD) pairs and trips by mode per origin TAZ, calculated car travel time from TAZ OD centroid pairs and associated spatial boundaries to link TAZ to the Canadian Census. To illustrate how this information can be analysed to understand patterns in commuting, we estimate a distance-decay curve (i.e. impedance function) for the region. {TTS2016R} is a growing open data product built on R infrastructure that allows for the immediate access of home-to-work commuting data alongside complimentary objects from different sources. The package will continue expanding with additions by the authors and the community at-large by requests in the future. {TTS2016R} can be freely explored and downloaded in the associated Github repository where the documentation and code involved in data creation, manipulation and all open data products are detailed.","citation-key":"soukhovTTS2016RDataSet2023","container-title":"Environment and Planning B: Urban Analytics and City Science","DOI":"10.1177/23998083221146781","ISSN":"2399-8083, 2399-8091","issue":"2","journalAbbreviation":"Environment and Planning B: Urban Analytics and City Science","language":"en","page":"556-563","source":"DOI.org (Crossref)","title":"TTS2016R: A data set to study population and employment patterns from the 2016 Transportation Tomorrow Survey in the Greater Golden Horseshoe area, Ontario, Canada","title-short":"TTS2016R","volume":"50","author":[{"family":"Soukhov","given":"Anastasia"},{"family":"Páez","given":"Antonio"}],"issued":{"date-parts":[["2023",2]]}}},{"id":910,"uris":["http://zotero.org/groups/6563173/items/V288NZ2V"],"itemData":{"id":910,"type":"software","abstract":"Pre-release to obtain doi from Zenodo","citation-key":"paezPaezhaSpatialanalysisRPrerelease2021","DOI":"10.5281/ZENODO.5155983","license":"Open Access","publisher":"Zenodo","source":"DOI.org (Datacite)","title":"paezha/spatial-analysis-R: Pre-release to obtain doi from Zenodo","title-short":"paezha/spatial-analysis-R","URL":"https://zenodo.org/record/5155983","version":"v0.0.1","author":[{"family":"Paez","given":"Antonio"},{"family":"Robin","given":""}],"accessed":{"date-parts":[["2026",9,12]]},"issued":{"date-parts":[["2021",8,3]]}}}],"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r>
      <w:r>
        <w:rPr>
          <w:rFonts w:ascii="times new roman" w:hAnsi="times new roman" w:cs="Times New Roman"/>
        </w:rPr>
        <w:t>(59,60)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rPr>
        <w:t>. Communication with the public and practitioners will begin immediately through the codesign framework.</w:t>
      </w:r>
    </w:p>
    <w:p xmlns:wp14="http://schemas.microsoft.com/office/word/2010/wordml" w14:paraId="714A4C07" wp14:textId="77777777">
      <w:pPr>
        <w:pStyle w:val="Normal"/>
        <w:rPr>
          <w:rFonts w:ascii="times new roman" w:hAnsi="times new roman"/>
        </w:rPr>
      </w:pPr>
      <w:r>
        <w:rPr>
          <w:rFonts w:ascii="times new roman" w:hAnsi="times new roman"/>
          <w:b/>
          <w:bCs/>
        </w:rPr>
        <w:t>Academic (Years 2-5)</w:t>
      </w:r>
      <w:r>
        <w:rPr>
          <w:rFonts w:ascii="times new roman" w:hAnsi="times new roman"/>
        </w:rPr>
        <w:t xml:space="preserve">: This research proposal includes 4 research students (2 Master’s and 2 PhDs), two post-doctoral researchers, five professors, and one international collaborator. The goal is for each Master’s student to lead at least one paper for a national conference and then publish in an international peer-reviewed journal. PhD students will aim to publish three peer-reviewed journal articles. The post-doctoral fellows will lead one research paper each. Thus, 10 papers would be led by trainees. This project primarily has implications for planning in urban regions. Accordingly, target journals for this research include </w:t>
      </w:r>
      <w:r>
        <w:rPr>
          <w:rFonts w:ascii="times new roman" w:hAnsi="times new roman"/>
          <w:i/>
          <w:iCs/>
        </w:rPr>
        <w:t>Transportation Research A: Policy and Practice</w:t>
      </w:r>
      <w:r>
        <w:rPr>
          <w:rFonts w:ascii="times new roman" w:hAnsi="times new roman"/>
        </w:rPr>
        <w:t xml:space="preserve">; </w:t>
      </w:r>
      <w:r>
        <w:rPr>
          <w:rFonts w:ascii="times new roman" w:hAnsi="times new roman"/>
          <w:i/>
          <w:iCs/>
        </w:rPr>
        <w:t>Public Transportation</w:t>
      </w:r>
      <w:r>
        <w:rPr>
          <w:rFonts w:ascii="times new roman" w:hAnsi="times new roman"/>
        </w:rPr>
        <w:t xml:space="preserve">; </w:t>
      </w:r>
      <w:r>
        <w:rPr>
          <w:rFonts w:ascii="times new roman" w:hAnsi="times new roman"/>
          <w:i/>
          <w:iCs/>
        </w:rPr>
        <w:t>Transport Policy</w:t>
      </w:r>
      <w:r>
        <w:rPr>
          <w:rFonts w:ascii="times new roman" w:hAnsi="times new roman"/>
        </w:rPr>
        <w:t xml:space="preserve">; </w:t>
      </w:r>
      <w:r>
        <w:rPr>
          <w:rFonts w:ascii="times new roman" w:hAnsi="times new roman"/>
          <w:i/>
          <w:iCs/>
        </w:rPr>
        <w:t>Journal of Transport Geography</w:t>
      </w:r>
      <w:r>
        <w:rPr>
          <w:rFonts w:ascii="times new roman" w:hAnsi="times new roman"/>
        </w:rPr>
        <w:t xml:space="preserve">; and </w:t>
      </w:r>
      <w:r>
        <w:rPr>
          <w:rFonts w:ascii="times new roman" w:hAnsi="times new roman"/>
          <w:i/>
          <w:iCs/>
        </w:rPr>
        <w:t>Transportation</w:t>
      </w:r>
      <w:r>
        <w:rPr>
          <w:rFonts w:ascii="times new roman" w:hAnsi="times new roman"/>
        </w:rPr>
        <w:t>. Pre-print versions of papers will be published in their GitHub repositories. Conferences will target audiences with both researchers and practitioners. Further knowledge diffusion will be achieved via workshops in relevant conferences. Communication with academic audiences will begin in year 2 of the project when initial results can be reported.</w:t>
      </w:r>
    </w:p>
    <w:p xmlns:wp14="http://schemas.microsoft.com/office/word/2010/wordml" w14:paraId="614ECF8B" wp14:textId="77777777">
      <w:pPr>
        <w:pStyle w:val="Normal"/>
        <w:rPr/>
      </w:pPr>
      <w:r>
        <w:rPr>
          <w:rFonts w:ascii="times new roman" w:hAnsi="times new roman"/>
          <w:b/>
          <w:bCs/>
        </w:rPr>
        <w:t>Open-Science Statement</w:t>
      </w:r>
      <w:r>
        <w:rPr>
          <w:rFonts w:ascii="times new roman" w:hAnsi="times new roman"/>
        </w:rPr>
        <w:t xml:space="preserve">: The Tri-Council system in Canada (i.e., CIHR, NSERC, SSHRC) is currently phasing in an Open Access policy for the research it funds. Open Access of publications and data are only one facet of open science, since encouraging quality of work throughout the research process requires an effort to share the data-collection process, methodology, and analysis as well </w:t>
      </w:r>
      <w:hyperlink r:id="rId4">
        <w:r>
          <w:rPr>
            <w:rStyle w:val="ListLabel1"/>
            <w:rFonts w:ascii="times new roman" w:hAnsi="times new roman"/>
          </w:rPr>
          <w:t>(66)</w:t>
        </w:r>
      </w:hyperlink>
      <w:r>
        <w:rPr>
          <w:rFonts w:ascii="times new roman" w:hAnsi="times new roman"/>
        </w:rPr>
        <w:t xml:space="preserve">. Open science can encourage and increase engagement from members of the public regarding ongoing research and any relevant issues that can emerge </w:t>
      </w:r>
      <w:r>
        <w:fldChar w:fldCharType="begin"/>
      </w:r>
      <w:r>
        <w:rPr>
          <w:rFonts w:ascii="times new roman" w:hAnsi="times new roman"/>
        </w:rPr>
        <w:instrText xml:space="preserve">ADDIN ZOTERO_ITEM CSL_CITATION {"citationID":"91qesdwE","properties":{"unsorted":false,"formattedCitation":"(61)","plainCitation":"(61)","noteIndex":0},"citationItems":[{"id":852,"uris":["http://zotero.org/groups/6563173/items/K4YHCUKF"],"itemData":{"id":852,"type":"article-journal","citation-key":"bertramOpenScience2023","container-title":"Current Biology","DOI":"10.1016/j.cub.2023.05.036","ISSN":"09609822","issue":"15","journalAbbreviation":"Current Biology","language":"en","page":"R792-R797","source":"DOI.org (Crossref)","title":"Open science","volume":"33","author":[{"family":"Bertram","given":"Michael G."},{"family":"Sundin","given":"Josefin"},{"family":"Roche","given":"Dominique G."},{"family":"Sánchez-Tójar","given":"Alfredo"},{"family":"Thoré","given":"Eli S.J."},{"family":"Brodin","given":"Tomas"}],"issued":{"date-parts":[["2023",8]]}}}],"schema":"https://github.com/citation-style-language/schema/raw/master/csl-citation.json"}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(61)</w:t>
      </w:r>
      <w:r>
        <w:rPr>
          <w:rFonts w:ascii="times new roman" w:hAnsi="times new roman"/>
        </w:rPr>
      </w:r>
      <w:r>
        <w:rPr>
          <w:rFonts w:ascii="times new roman" w:hAnsi="times new roman"/>
        </w:rPr>
        <w:fldChar w:fldCharType="end"/>
      </w:r>
      <w:r>
        <w:rPr>
          <w:rFonts w:ascii="times new roman" w:hAnsi="times new roman"/>
        </w:rPr>
        <w:t xml:space="preserve">. In this respect, members of the research team have already a proven record of creating open, reproducible science, not only by publishing preprints publicly and sharing data, but by sharing every aspect of research, from the stage of data preparation and up to reproducible computational notebooks. Examples of data sharing by members of the research team include the creation of several open-data products </w:t>
      </w:r>
      <w:r>
        <w:fldChar w:fldCharType="begin"/>
      </w:r>
      <w:r>
        <w:rPr>
          <w:rFonts w:ascii="times new roman" w:hAnsi="times new roman"/>
        </w:rPr>
        <w:instrText xml:space="preserve">ADDIN ZOTERO_ITEM CSL_CITATION {"citationID":"s6dn3Hx4","properties":{"unsorted":false,"formattedCitation":"(62)","plainCitation":"(62)","noteIndex":0},"citationItems":[{"id":911,"uris":["http://zotero.org/groups/6563173/items/QRT4A8JL"],"itemData":{"id":911,"type":"article-journal","abstract":"Abstract\n            This paper develops the notion of “open data product”. We define an open data product as the open result of the processes through which a variety of data (open and not) are turned into accessible information through a service, infrastructure, analytics or a combination of all of them, where each step of development is designed to promote open principles. Open data products are born out of a (data) need and add value beyond simply publishing existing datasets. We argue that the process of adding value should adhere to the principles of open (geographic) data science, ensuring openness, transparency and reproducibility. We also contend that outreach, in the form of active communication and dissemination through dashboards, software and publication are key to engage end-users and ensure societal impact. Open data products have major benefits. First, they enable insights from highly sensitive, controlled and/or secure data which may not be accessible otherwise. Second, they can expand the use of commercial and administrative data for the public good leveraging on their high temporal frequency and geographic granularity. We also contend that there is a compelling need for open data products as we experience the current data revolution. New, emerging data sources are unprecedented in temporal frequency and geographical resolution, but they are large, unstructured, fragmented and often hard to access due to privacy and confidentiality concerns. By transforming raw (open or “closed”) data into ready to use open data products, new dimensions of human geographical processes can be captured and analysed, as we illustrate with existing examples. We conclude by arguing that several parallels exist between the role that open source software played in enabling research on spatial analysis in the 90 s and early 2000s, and the opportunities that open data products offer to unlock the potential of new forms of (geo-)data.","citation-key":"arribas-belOpenDataProductsA2021","container-title":"Journal of Geographical Systems","DOI":"10.1007/s10109-021-00363-5","ISSN":"1435-5930, 1435-5949","issue":"4","journalAbbreviation":"J Geogr Syst","language":"en","page":"497-514","source":"DOI.org (Crossref)","title":"Open data products-A framework for creating valuable analysis ready data","volume":"23","author":[{"family":"Arribas-Bel","given":"Dani"},{"family":"Green","given":"Mark"},{"family":"Rowe","given":"Francisco"},{"family":"Singleton","given":"Alex"}],"issued":{"date-parts":[["2021",10]]}}}],"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(62)</w:t>
      </w:r>
      <w:r>
        <w:rPr>
          <w:rFonts w:ascii="times new roman" w:hAnsi="times new roman"/>
        </w:rPr>
      </w:r>
      <w:r>
        <w:rPr>
          <w:rFonts w:ascii="times new roman" w:hAnsi="times new roman"/>
        </w:rPr>
        <w:fldChar w:fldCharType="end"/>
      </w:r>
      <w:r>
        <w:rPr>
          <w:rFonts w:ascii="times new roman" w:hAnsi="times new roman"/>
        </w:rPr>
        <w:t xml:space="preserve"> such as ActiveCA package </w:t>
      </w:r>
      <w:r>
        <w:fldChar w:fldCharType="begin"/>
      </w:r>
      <w:r>
        <w:rPr>
          <w:rFonts w:ascii="times new roman" w:hAnsi="times new roman"/>
        </w:rPr>
        <w:instrText xml:space="preserve">ADDIN ZOTERO_ITEM CSL_CITATION {"citationID":"a1e5rlcc4rv","properties":{"unsorted":false,"formattedCitation":"(63)","plainCitation":"(63)","noteIndex":0},"citationItems":[{"id":854,"uris":["http://zotero.org/groups/6563173/items/T6FM22LR"],"itemData":{"id":854,"type":"article-journal","abstract":"This paper describes {ActiveCA}, an open data product with Canadian time use data. {ActiveCA} is an R data package that contains analysis-ready data related to active travel spanning almost 40 years, extracted from Cycles 2 (1986), 7 (1992), 12 (1998), 19 (2005), 24 (2010), 29 (2015), and 34 (2022) of the Time Use Survey (TUS) from the General Social Survey (GSS). Active travel episodes are characterized by mode, with walking being part of every cycle and bicycling starting in 1992. The attributes of active trips are the types of locations of origins and destinations, the duration of trips, and episode weights for expanding the trips to population-wide estimates. Based on the year of the survey, a variety of locations are coded. In earlier cycles, these include home, work or school, and other’s home, whereas in later cycles these are augmented with locations such as grocery stores, restaurants, outdoor destinations, and others. The geographical resolution includes the province and whether the episode was in an urban or rural setting.","citation-key":"santosActiveCATimeUse2025","container-title":"Environment and Planning B: Urban Analytics and City Science","DOI":"10.1177/23998083251374724","ISSN":"2399-8083, 2399-8091","issue":"8","journalAbbreviation":"Environment and Planning B: Urban Analytics and City Science","language":"en","page":"2037-2047","source":"DOI.org (Crossref)","title":"ActiveCA: Time use data from the general social survey of Canada to study active travel","title-short":"ActiveCA","volume":"52","author":[{"family":"Santos","given":"Bruno Dias Dos"},{"family":"Moghadasi","given":"Mahdis"},{"family":"Páez","given":"Antonio"}],"issued":{"date-parts":[["2025",10]]}}}],"schema":"https://github.com/citation-style-language/schema/raw/master/csl-citation.json"}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(63)</w:t>
      </w:r>
      <w:r>
        <w:rPr>
          <w:rFonts w:ascii="times new roman" w:hAnsi="times new roman"/>
        </w:rPr>
      </w:r>
      <w:r>
        <w:rPr>
          <w:rFonts w:ascii="times new roman" w:hAnsi="times new roman"/>
        </w:rPr>
        <w:fldChar w:fldCharType="end"/>
      </w:r>
      <w:r>
        <w:rPr>
          <w:rFonts w:ascii="times new roman" w:hAnsi="times new roman"/>
        </w:rPr>
        <w:t xml:space="preserve">  and TTS2016R package </w:t>
      </w:r>
      <w:r>
        <w:fldChar w:fldCharType="begin"/>
      </w:r>
      <w:r>
        <w:rPr>
          <w:rFonts w:ascii="times new roman" w:hAnsi="times new roman"/>
        </w:rPr>
        <w:instrText xml:space="preserve">ADDIN ZOTERO_ITEM CSL_CITATION {"citationID":"a4prem66fp","properties":{"unsorted":false,"formattedCitation":"(59)","plainCitation":"(59)","noteIndex":0},"citationItems":[{"id":855,"uris":["http://zotero.org/groups/6563173/items/VHC545ZX"],"itemData":{"id":855,"type":"article-journal","abstract":"This paper describes and visualises the data contained within the {TTS2016R} data package created in R, the statistical computing and graphics language. {TTS2016R} contains home-to-work commute information for the Greater Golden Horseshoe area in Canada retrieved from the 2016 Transportation Tomorrow Survey (TTS). Included are all Traffic Analysis Zones (TAZ), the number of people who are employed full-time per TAZ, the number of jobs per TAZ, the count of origin destination (OD) pairs and trips by mode per origin TAZ, calculated car travel time from TAZ OD centroid pairs and associated spatial boundaries to link TAZ to the Canadian Census. To illustrate how this information can be analysed to understand patterns in commuting, we estimate a distance-decay curve (i.e. impedance function) for the region. {TTS2016R} is a growing open data product built on R infrastructure that allows for the immediate access of home-to-work commuting data alongside complimentary objects from different sources. The package will continue expanding with additions by the authors and the community at-large by requests in the future. {TTS2016R} can be freely explored and downloaded in the associated Github repository where the documentation and code involved in data creation, manipulation and all open data products are detailed.","citation-key":"soukhovTTS2016RDataSet2023","container-title":"Environment and Planning B: Urban Analytics and City Science","DOI":"10.1177/23998083221146781","ISSN":"2399-8083, 2399-8091","issue":"2","journalAbbreviation":"Environment and Planning B: Urban Analytics and City Science","language":"en","page":"556-563","source":"DOI.org (Crossref)","title":"TTS2016R: A data set to study population and employment patterns from the 2016 Transportation Tomorrow Survey in the Greater Golden Horseshoe area, Ontario, Canada","title-short":"TTS2016R","volume":"50","author":[{"family":"Soukhov","given":"Anastasia"},{"family":"Páez","given":"Antonio"}],"issued":{"date-parts":[["2023",2]]}}}],"schema":"https://github.com/citation-style-language/schema/raw/master/csl-citation.json"}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(59)</w:t>
      </w:r>
      <w:r>
        <w:rPr>
          <w:rFonts w:ascii="times new roman" w:hAnsi="times new roman"/>
        </w:rPr>
      </w:r>
      <w:r>
        <w:rPr>
          <w:rFonts w:ascii="times new roman" w:hAnsi="times new roman"/>
        </w:rPr>
        <w:fldChar w:fldCharType="end"/>
      </w:r>
      <w:r>
        <w:rPr>
          <w:rFonts w:ascii="times new roman" w:hAnsi="times new roman"/>
        </w:rPr>
        <w:t xml:space="preserve">. An example of equity-based research in transportation that illustrates the mode of sharing pre-prints along with reproducible notebooks is Desjardins et al. </w:t>
      </w:r>
      <w:r>
        <w:fldChar w:fldCharType="begin"/>
      </w:r>
      <w:r>
        <w:rPr>
          <w:rFonts w:ascii="times new roman" w:hAnsi="times new roman"/>
        </w:rPr>
        <w:instrText xml:space="preserve">ADDIN ZOTERO_ITEM CSL_CITATION {"citationID":"GxMduPEX","properties":{"unsorted":false,"formattedCitation":"(64)","plainCitation":"(64)","noteIndex":0},"citationItems":[{"id":"IdBEf4Ak/vY6Ff819","uris":["http://zotero.org/groups/6563173/items/YEW8XG4B"],"itemData":{"id":913,"type":"article-journal","citation-key":"desjardinsExaminingEquityAccessibility2022","container-title":"Transportation Research Part D: Transport and Environment","DOI":"10.1016/j.trd.2021.103091","ISSN":"13619209","journalAbbreviation":"Transportation Research Part D: Transport and Environment","language":"en","page":"103091","source":"DOI.org (Crossref)","title":"Examining equity in accessibility to bike share: A balanced floating catchment area approach","title-short":"Examining equity in accessibility to bike share","volume":"102","author":[{"family":"Desjardins","given":"Elise"},{"family":"Higgins","given":"Christopher D."},{"family":"Páez","given":"Antonio"}],"issued":{"date-parts":[["2022",1]]}}}],"schema":"https://github.com/citation-style-language/schema/raw/master/csl-citation.json"}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(64)</w:t>
      </w:r>
      <w:r>
        <w:rPr>
          <w:rFonts w:ascii="times new roman" w:hAnsi="times new roman"/>
        </w:rPr>
      </w:r>
      <w:r>
        <w:rPr>
          <w:rFonts w:ascii="times new roman" w:hAnsi="times new roman"/>
        </w:rPr>
        <w:fldChar w:fldCharType="end"/>
      </w:r>
      <w:r>
        <w:rPr>
          <w:rFonts w:ascii="times new roman" w:hAnsi="times new roman"/>
        </w:rPr>
        <w:t xml:space="preserve">. Materials such as this, shared publicly on websites like GitHub, allow for thorough verification of the research, to ensure it does not contain major errors that could impact the validity of the results </w:t>
      </w:r>
      <w:r>
        <w:fldChar w:fldCharType="begin"/>
      </w:r>
      <w:r>
        <w:rPr>
          <w:rFonts w:ascii="times new roman" w:hAnsi="times new roman"/>
        </w:rPr>
        <w:instrText xml:space="preserve">ADDIN ZOTERO_ITEM CSL_CITATION {"citationID":"33r8YeSL","properties":{"unsorted":false,"formattedCitation":"(65)","plainCitation":"(65)","noteIndex":0},"citationItems":[{"id":856,"uris":["http://zotero.org/groups/6563173/items/SYS4DUES"],"itemData":{"id":856,"type":"article-journal","citation-key":"paezOpenSpatialSciences2021","container-title":"Journal of Geographical Systems","DOI":"10.1007/s10109-021-00364-4","ISSN":"1435-5930, 1435-5949","issue":"4","journalAbbreviation":"J Geogr Syst","language":"en","page":"467-476","source":"DOI.org (Crossref)","title":"Open spatial sciences: an introduction","title-short":"Open spatial sciences","volume":"23","author":[{"family":"Páez","given":"Antonio"}],"issued":{"date-parts":[["2021",10]]}},"suppress-author":true}],"schema":"https://github.com/citation-style-language/schema/raw/master/csl-citation.json"}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(65)</w:t>
      </w:r>
      <w:r>
        <w:rPr>
          <w:rFonts w:ascii="times new roman" w:hAnsi="times new roman"/>
        </w:rPr>
      </w:r>
      <w:r>
        <w:rPr>
          <w:rFonts w:ascii="times new roman" w:hAnsi="times new roman"/>
        </w:rPr>
        <w:fldChar w:fldCharType="end"/>
      </w:r>
      <w:r>
        <w:rPr>
          <w:rFonts w:ascii="times new roman" w:hAnsi="times new roman"/>
        </w:rPr>
        <w:t>. Open-science practices like this also speed up the process of discovery, by making it easy for other researchers to access the base work and modify it to accomplish whatever is required for their own specific work. The members of the research team are experienced open-science researchers and are fully committed to following Tri-Agency policy on Open Access, and more broadly to continue producing high-quality research that is open, transparent, and reproducible.</w:t>
      </w:r>
      <w:r>
        <w:br w:type="page"/>
      </w:r>
    </w:p>
    <w:p xmlns:wp14="http://schemas.microsoft.com/office/word/2010/wordml" w14:paraId="5D81CBC6" wp14:textId="77777777">
      <w:pPr>
        <w:pStyle w:val="Title"/>
        <w:spacing w:before="0" w:after="80"/>
        <w:contextualSpacing/>
        <w:rPr>
          <w:rFonts w:ascii="times new roman" w:hAnsi="times new roman"/>
        </w:rPr>
      </w:pPr>
      <w:r>
        <w:rPr>
          <w:rFonts w:ascii="times new roman" w:hAnsi="times new roman"/>
          <w:lang w:val="en-CA"/>
        </w:rPr>
        <w:t>Research team, previous output and student training (max. 4 pages)</w:t>
      </w:r>
    </w:p>
    <w:p xmlns:wp14="http://schemas.microsoft.com/office/word/2010/wordml" w14:paraId="156699B3" wp14:textId="77777777">
      <w:pPr>
        <w:pStyle w:val="Heading1"/>
        <w:rPr>
          <w:rFonts w:ascii="times new roman" w:hAnsi="times new roman"/>
        </w:rPr>
      </w:pPr>
      <w:r>
        <w:rPr>
          <w:rFonts w:ascii="times new roman" w:hAnsi="times new roman"/>
        </w:rPr>
        <w:t>A. DESCRIPTION OF RESEARCH TEAM</w:t>
      </w:r>
    </w:p>
    <w:p xmlns:wp14="http://schemas.microsoft.com/office/word/2010/wordml" w14:paraId="021C90D6" wp14:textId="708C2F86">
      <w:pPr>
        <w:pStyle w:val="Normal"/>
        <w:rPr>
          <w:rFonts w:ascii="times new roman" w:hAnsi="times new roman"/>
        </w:rPr>
      </w:pPr>
      <w:r w:rsidRPr="75085503" w:rsidR="75085503">
        <w:rPr>
          <w:rFonts w:ascii="times new roman" w:hAnsi="times new roman"/>
        </w:rPr>
        <w:t xml:space="preserve">The theme of public transportation and equity is multifaceted and requires </w:t>
      </w:r>
      <w:r w:rsidRPr="75085503" w:rsidR="75085503">
        <w:rPr>
          <w:rFonts w:ascii="times new roman" w:hAnsi="times new roman"/>
        </w:rPr>
        <w:t>an appropriate mix</w:t>
      </w:r>
      <w:r w:rsidRPr="75085503" w:rsidR="75085503">
        <w:rPr>
          <w:rFonts w:ascii="times new roman" w:hAnsi="times new roman"/>
        </w:rPr>
        <w:t xml:space="preserve"> of skills and </w:t>
      </w:r>
      <w:r w:rsidRPr="75085503" w:rsidR="75085503">
        <w:rPr>
          <w:rFonts w:ascii="times new roman" w:hAnsi="times new roman"/>
        </w:rPr>
        <w:t>expertise</w:t>
      </w:r>
      <w:r w:rsidRPr="75085503" w:rsidR="75085503">
        <w:rPr>
          <w:rFonts w:ascii="times new roman" w:hAnsi="times new roman"/>
        </w:rPr>
        <w:t xml:space="preserve">. In response, this project gathers a group of researchers with complementary skills and perspectives. The research team is composed of one principal investigator, four co-investigators and one international collaborator, and includes scholars in the social sciences (Páez, Higgins, </w:t>
      </w:r>
      <w:r w:rsidRPr="75085503" w:rsidR="75085503">
        <w:rPr>
          <w:rFonts w:ascii="times new roman" w:hAnsi="times new roman"/>
        </w:rPr>
        <w:t>Ravensbergen</w:t>
      </w:r>
      <w:r w:rsidRPr="75085503" w:rsidR="75085503">
        <w:rPr>
          <w:rFonts w:ascii="times new roman" w:hAnsi="times new roman"/>
        </w:rPr>
        <w:t xml:space="preserve">, and Pereira), humanities (De Barros), and engineering (Páez and Mohamed). The principal investigator (Páez) and two of the co-investigators (Higgins and </w:t>
      </w:r>
      <w:r w:rsidRPr="75085503" w:rsidR="75085503">
        <w:rPr>
          <w:rFonts w:ascii="times new roman" w:hAnsi="times new roman"/>
        </w:rPr>
        <w:t>Ravensbergen</w:t>
      </w:r>
      <w:r w:rsidRPr="75085503" w:rsidR="75085503">
        <w:rPr>
          <w:rFonts w:ascii="times new roman" w:hAnsi="times new roman"/>
        </w:rPr>
        <w:t xml:space="preserve">) are alumni of the SSHRC-funded project Mobilizing Justice. One of the co-investigators (De Barros) is Director of McMaster’s Centre for Human Rights and Restorative Justice, and another (Mohamed) is Director of McMaster Institute for Transportation and Logistics. </w:t>
      </w:r>
      <w:r w:rsidRPr="75085503" w:rsidR="75085503">
        <w:rPr>
          <w:rFonts w:ascii="times new roman" w:hAnsi="times new roman"/>
        </w:rPr>
        <w:t>Profiles</w:t>
      </w:r>
      <w:r w:rsidRPr="75085503" w:rsidR="75085503">
        <w:rPr>
          <w:rFonts w:ascii="times new roman" w:hAnsi="times new roman"/>
        </w:rPr>
        <w:t xml:space="preserve"> and roles in the project are as follows.</w:t>
      </w:r>
    </w:p>
    <w:p xmlns:wp14="http://schemas.microsoft.com/office/word/2010/wordml" w14:paraId="7EC2485A" wp14:textId="77777777">
      <w:pPr>
        <w:pStyle w:val="Normal"/>
        <w:rPr>
          <w:rFonts w:ascii="times new roman" w:hAnsi="times new roman"/>
        </w:rPr>
      </w:pPr>
      <w:r>
        <w:rPr>
          <w:rFonts w:ascii="times new roman" w:hAnsi="times new roman"/>
          <w:b/>
          <w:bCs/>
          <w:u w:val="single"/>
        </w:rPr>
        <w:t>Juanita DE BARROS</w:t>
      </w:r>
      <w:r>
        <w:rPr>
          <w:rFonts w:ascii="times new roman" w:hAnsi="times new roman"/>
        </w:rPr>
        <w:t xml:space="preserve"> (co-applicant, relative contribution to project 15%, 15% of personal research time) is Professor of History at McMaster University and the director of the Centre for Human Rights and Restorative Justice. She is an internationally-recognized historian whose work explores the intersection of race, gender, and class in the construction of public policy, including in colonized urban spaces. This domain of knowledge is key to the project, as it combines social and government policy in ways that affect racialized and genderized people in urban spaces. De Barros expertise in discourse analysis and in the field of human rights is central to the aims of this project, where a clear understanding of stakeholders about the grounds for justice in public services is essential. For this project, she will lend her expertise and vision through the co-supervision of trainees.</w:t>
      </w:r>
    </w:p>
    <w:p xmlns:wp14="http://schemas.microsoft.com/office/word/2010/wordml" w14:paraId="77B3C560" wp14:textId="09914D96">
      <w:pPr>
        <w:pStyle w:val="Normal"/>
        <w:rPr>
          <w:rFonts w:ascii="times new roman" w:hAnsi="times new roman"/>
        </w:rPr>
      </w:pPr>
      <w:r w:rsidRPr="75085503" w:rsidR="75085503">
        <w:rPr>
          <w:rFonts w:ascii="times new roman" w:hAnsi="times new roman"/>
          <w:b w:val="1"/>
          <w:bCs w:val="1"/>
          <w:u w:val="single"/>
        </w:rPr>
        <w:t>Christopher D. HIGGINS</w:t>
      </w:r>
      <w:r w:rsidRPr="75085503" w:rsidR="75085503">
        <w:rPr>
          <w:rFonts w:ascii="times new roman" w:hAnsi="times new roman"/>
          <w:b w:val="1"/>
          <w:bCs w:val="1"/>
        </w:rPr>
        <w:t xml:space="preserve"> </w:t>
      </w:r>
      <w:r w:rsidRPr="75085503" w:rsidR="75085503">
        <w:rPr>
          <w:rFonts w:ascii="times new roman" w:hAnsi="times new roman"/>
        </w:rPr>
        <w:t xml:space="preserve">(co-applicant, relative contribution to project 15%, 15% of personal research time) is Associate Professor at the University of Toronto Scarborough in the Department of Human Geography and in the Department of Geography and Planning at the University of Toronto. He is among the world’s top 2% of researchers in the Elsevier-Stanford rankings and received the 2025 University of Toronto Scarborough’s New Scholar Award for exceptional research achievement and impact among early career faculty. He has experience working with public sector partners such as the City of Toronto, City of Hamilton, and Ontario Ministry of Transportation. His research uses geospatial analysis and accessibility measurement to examine how transportation systems shape access to housing, employment, and essential services, with particular attention to social equity. His work has been supported by SSHRC and NSERC, most recently through an NSERC Alliance Grant supporting the University of Toronto’s tri-campus Mobility Network Consortium. For </w:t>
      </w:r>
      <w:r w:rsidRPr="75085503" w:rsidR="75085503">
        <w:rPr>
          <w:rFonts w:ascii="times new roman" w:hAnsi="times new roman"/>
        </w:rPr>
        <w:t>EquiTransit</w:t>
      </w:r>
      <w:r w:rsidRPr="75085503" w:rsidR="75085503">
        <w:rPr>
          <w:rFonts w:ascii="times new roman" w:hAnsi="times new roman"/>
        </w:rPr>
        <w:t>, he will lead the development of geospatial analytics, reproducible data pipelines, and interactive analytical tools.</w:t>
      </w:r>
    </w:p>
    <w:p xmlns:wp14="http://schemas.microsoft.com/office/word/2010/wordml" w14:paraId="5223E2A6" wp14:textId="77777777">
      <w:pPr>
        <w:pStyle w:val="Normal"/>
        <w:rPr>
          <w:rFonts w:ascii="times new roman" w:hAnsi="times new roman"/>
        </w:rPr>
      </w:pPr>
      <w:r>
        <w:rPr>
          <w:rFonts w:ascii="times new roman" w:hAnsi="times new roman"/>
          <w:b/>
          <w:bCs/>
          <w:u w:val="single"/>
        </w:rPr>
        <w:t>Moataz MOHAMED</w:t>
      </w:r>
      <w:r>
        <w:rPr>
          <w:rFonts w:ascii="times new roman" w:hAnsi="times new roman"/>
          <w:b/>
          <w:bCs/>
        </w:rPr>
        <w:t xml:space="preserve"> </w:t>
      </w:r>
      <w:r>
        <w:rPr>
          <w:rFonts w:ascii="times new roman" w:hAnsi="times new roman"/>
        </w:rPr>
        <w:t xml:space="preserve">(co-applicant, relative contribution to project 15%, 15% of personal research time)  is associate Professor of Smart Systems and Transportation at McMaster University and Director of the McMaster Institute for Transportation and Logistics (MITL). He is the 2025 recipient of the Joseph Ip Distinguished Engineering Fellowship and is featured Elsevier-Stanford list of the world's top 2% of scientists. Mohamad is an experienced researcher, with more than 90 peer-reviewed articles and over $6 million in secured research funding to his credit. He has trained 57 highly qualified personnel, including 11 PhD students, 12 master's students, and 7 postdoctoral fellows. Since 2018, he has been principal investigator on a City of Hamilton-funded program to reenvision the city’s transit operator, Hamilton Street Railway (HSR). He is the principal developer of the AI-Transit Orchestrator, an $1.4M NRCan-funded fleet-planning toolkit co-developed with Halifax Transit, Calgary Transit, Niagara Region Transit, and ETUQ. On this proposal, he will lead the team’s work to integrate equity considerations in transit planning operations, translating multi-agency networks into a GTFS-based equity analytical model and equity-informed planning framework. </w:t>
      </w:r>
    </w:p>
    <w:p xmlns:wp14="http://schemas.microsoft.com/office/word/2010/wordml" w14:paraId="1E78B816" wp14:textId="77777777">
      <w:pPr>
        <w:pStyle w:val="Normal"/>
        <w:rPr>
          <w:rFonts w:ascii="times new roman" w:hAnsi="times new roman"/>
        </w:rPr>
      </w:pPr>
      <w:r>
        <w:rPr>
          <w:rFonts w:ascii="times new roman" w:hAnsi="times new roman" w:eastAsia="Times New Roman" w:cs="Times New Roman"/>
          <w:b/>
          <w:bCs/>
          <w:color w:val="000000" w:themeColor="text1"/>
          <w:u w:val="single"/>
        </w:rPr>
        <w:t>Antonio PÁEZ</w:t>
      </w:r>
      <w:r>
        <w:rPr>
          <w:rFonts w:ascii="times new roman" w:hAnsi="times new roman" w:eastAsia="Times New Roman" w:cs="Times New Roman"/>
          <w:color w:val="000000" w:themeColor="text1"/>
        </w:rPr>
        <w:t xml:space="preserve"> (principal applicant, relative contribution to project 30%, 80% of personal research time) is Professor of Transport Geography at McMaster University. He is a seasoned researcher who led the multi-institutional team that won the 2010 Meredith F. Burrill Award of the American Association of Geographers for exceptional work at the intersection of policy and basic research. He is also the recipient of the 2024 Edward L. Ullman Award of the American Association of Geographers for lifelong contributions to transportation geography. Páez has published widely, including over 170 peer-reviewed publications, three edited books, and a textbook. Páez is among the top 20 transportation researchers in the world whose careers started after 1999 according to Elsevier-Stanford's ranking, and is best known for his social science theory-informed quantitative research. This includes work on </w:t>
      </w:r>
      <w:r>
        <w:rPr>
          <w:rFonts w:ascii="times new roman" w:hAnsi="times new roman" w:eastAsia="Times New Roman" w:cs="Times New Roman"/>
          <w:i/>
          <w:iCs/>
          <w:color w:val="000000" w:themeColor="text1"/>
        </w:rPr>
        <w:t>normative accessibility</w:t>
      </w:r>
      <w:r>
        <w:rPr>
          <w:rFonts w:ascii="times new roman" w:hAnsi="times new roman" w:eastAsia="Times New Roman" w:cs="Times New Roman"/>
          <w:color w:val="000000" w:themeColor="text1"/>
        </w:rPr>
        <w:t xml:space="preserve"> and </w:t>
      </w:r>
      <w:r>
        <w:rPr>
          <w:rFonts w:ascii="times new roman" w:hAnsi="times new roman" w:eastAsia="Times New Roman" w:cs="Times New Roman"/>
          <w:i/>
          <w:iCs/>
          <w:color w:val="000000" w:themeColor="text1"/>
        </w:rPr>
        <w:t>relative accessibility</w:t>
      </w:r>
      <w:r>
        <w:rPr>
          <w:rFonts w:ascii="times new roman" w:hAnsi="times new roman" w:eastAsia="Times New Roman" w:cs="Times New Roman"/>
          <w:color w:val="000000" w:themeColor="text1"/>
        </w:rPr>
        <w:t>, which aimed at implementing equity ideals in accessibility analysis. He is also well-versed in theoretical and qualitative approaches. He will direct the project and will participate in research and supervision of graduate students across the project.</w:t>
      </w:r>
    </w:p>
    <w:p xmlns:wp14="http://schemas.microsoft.com/office/word/2010/wordml" w14:paraId="158B4A3E" wp14:textId="77777777">
      <w:pPr>
        <w:pStyle w:val="Normal"/>
        <w:rPr>
          <w:rFonts w:ascii="times new roman" w:hAnsi="times new roman"/>
        </w:rPr>
      </w:pPr>
      <w:r>
        <w:rPr>
          <w:rFonts w:ascii="times new roman" w:hAnsi="times new roman" w:eastAsia="Times New Roman" w:cs="Times New Roman"/>
          <w:b/>
          <w:bCs/>
          <w:color w:val="000000" w:themeColor="text1"/>
          <w:u w:val="single"/>
        </w:rPr>
        <w:t>Rafael H.M. PEREIRA</w:t>
      </w:r>
      <w:r>
        <w:rPr>
          <w:rFonts w:ascii="times new roman" w:hAnsi="times new roman" w:eastAsia="Times New Roman" w:cs="Times New Roman"/>
          <w:color w:val="000000" w:themeColor="text1"/>
        </w:rPr>
        <w:t xml:space="preserve"> (collaborator, relative contribution to project 10%, 5% of personal research time) is Director of Data Science at IPEA, Brazil’s federal economics research institute. His contributions to transportation justice are largely responsible for shaping the field </w:t>
      </w:r>
      <w:r>
        <w:fldChar w:fldCharType="begin"/>
      </w:r>
      <w:r>
        <w:rPr>
          <w:rFonts w:ascii="times new roman" w:hAnsi="times new roman" w:eastAsia="Times New Roman" w:cs="Times New Roman"/>
          <w:color w:val="000000" w:themeColor="text1"/>
        </w:rPr>
        <w:instrText xml:space="preserve">ADDIN ZOTERO_ITEM CSL_CITATION {"citationID":"OZXkQKqH","properties":{"unsorted":false,"formattedCitation":"(27,32,66,67)","plainCitation":"(27,32,66,67)","noteIndex":0},"citationItems":[{"id":"IdBEf4Ak/Qu1zBW1r","uris":["http://zotero.org/users/19371690/items/3P4W8ZCG"],"itemData":{"id":"nbpiqs6a/ginTr1gg","type":"article-journal","abstract":"Over the past decades, transport researchers and policy-makers have devoted increasing attention to questions about justice and equity. Nonetheless, there is still little engagement with theories in political philosophy to frame what justice means in the context of transport policies. This paper reviews key theories of justice (utilitarianism, libertarianism, intuitionism, Rawls' egalitarianism, and Capability Approaches (CAs)) and critically evaluates the insights they generate when applied to transport. Based on a combination of Rawlsian and CAs, we propose that distributive justice concerns over transport disadvantage and social exclusion should focus primarily on accessibility as a human capability. This means that, in policy evaluation, a detailed analysis of the distributional effects of transport policies should take account of the setting of minimum standards of accessibility to key destinations and the extent to which these policies respect individuals' rights and prioritise disadvantaged groups, reduce inequalities of opportunities, and mitigate transport externalities. A full account of justice in transportation requires a more complete understanding of accessibility than traditional approaches have been able to deliver to date.","container-title":"Transport Reviews","DOI":"10.1080/01441647.2016.1257660","ISSN":"0144-1647","issue":"2","language":"eng","page":"170–191","publisher":"Routledge","publisher-place":"Oxford","source":"mcmaster.primo.exlibrisgroup.com","title":"Distributive justice and equity in transportation","volume":"37","author":[{"family":"Pereira","given":"Rafael H. M."},{"family":"Schwanen","given":"Tim"},{"family":"Banister","given":"David"}],"issued":{"date-parts":[["2017"]]}}},{"id":782,"uris":["http://zotero.org/groups/6563173/items/WBM93U9I"],"itemData":{"id":782,"type":"article-journal","abstract":"Transportation systems play a pivotal role in facilitating access to out-of-home activities, enabling participation in various aspects of social life. But because of budgetary and physical limitations, they cannot provide equal access everywhere; inevitably, some locations will be better served than others. This realization gives rise to two fundamental concerns in transportation equity research and practice: (1) accessibility inequality and (2) accessibility poverty. Accessibility inequalities may rise to the level of injustice when some socioeconomic groups systematically have lower access to opportunities than others. Accessibility poverty occurs when people are unable to meet their daily needs and live a dignified and fulfilling life because of a lack of access to essential services and opportunities. In this paper, we review two of the most widely used approaches for evaluating transport justice concerns related to accessibility inequality and accessibility poverty: Gini coefficients/Lorenz curves and needs-gap/transit desert approaches, respectively. We discuss how their theoretical underpinnings are inconsistent with egalitarian and sufficientarian perspectives in transport justice and show how the underlying assumptions of these methods and their applications found in the transportation equity literature embody many previously unacknowledged limitations that severely limit their utility. We substantiate these concerns by analysing the equity impacts of Covid-19-related service cuts undertaken in Washington, D.C. during 2020. The paper also discusses how alternative methods for measuring transportation equity both better comport with the known impacts of such changes and are consistent with underlying moral concerns.","citation-key":"karnerAdvancesPitfallsMeasuring2025","container-title":"Transportation (Dordrecht)","DOI":"10.1007/s11116-023-10460-7","ISSN":"0049-4488","issue":"4","language":"eng","page":"1399–1427","publisher":"Springer US","publisher-place":"New York","source":"mcmaster.primo.exlibrisgroup.com","title":"Advances and pitfalls in measuring transportation equity","volume":"52","author":[{"family":"Karner","given":"Alex"},{"family":"Pereira","given":"Rafael H. M."},{"family":"Farber","given":"Steven"}],"issued":{"date-parts":[["2025"]]}}},{"id":728,"uris":["http://zotero.org/groups/6563173/items/W4647RZB"],"itemData":{"id":728,"type":"chapter","abstract":"Transportation equity is a way to frame distributive justice concerns in relation to how social, economic, and government institutions shape the distribution of transportation benefits and burdens in society. It focuses on the evaluative standards used to judge the differential impacts of policies and plans, asking who benefits from and is burdened by them and to what extent. Questions of transportation equity involve both sufficientarian and egalitarian concerns with both absolute levels of wellbeing, transport-related poverty and social exclusion as well as with relative levels of transport-related inequalities. Ultimately, the study of transport equity explores the multiple channels through which transport and land use policies can create conditions for more inclusive cities and transport systems that allow different people to flourish, to satisfy their basic needs and lead a meaningful life. Transportation equity issues broadly encompass how policy decisions shape societal levels of environmental externalities and what groups are more or less exposed to them, as well as how those decisions affect the lives of different groups in terms of their ability to access life-enhancing opportunities such as employment, healthcare, and education. Equity is a crucial part of a broader concern with transport and mobility justice. The call for transport justice goes beyond distributive concerns, and yet justice cannot be achieved withoutequity.","citation-key":"pereiraTransportationEquity2021","container-title":"International Encyclopedia of Transportation","DOI":"10.1016/B978-0-08-102671-7.10053-3","ISBN":"978-0-08-102672-4","page":"271-277","publisher":"Elsevier","publisher-place":"Oxford","source":"ScienceDirect","title":"Transportation Equity","URL":"https://www.sciencedirect.com/science/article/pii/B9780081026717100533","author":[{"family":"Pereira","given":"Rafael H. M."},{"family":"Karner","given":"Alex"}],"editor":[{"family":"Vickerman","given":"Roger"}],"accessed":{"date-parts":[["2024",9,24]]},"issued":{"date-parts":[["2021",1,1]]}}},{"id":973,"uris":["http://zotero.org/groups/6563173/items/HYI2NU38"],"itemData":{"id":973,"type":"article-journal","abstract":"Transport inequality analyses are often informed by accessibility estimates based solely on travel time impedance, ignoring other elements that might hinder access to activities, such as the monetary cost of a trip. This paper examines how and to what extent simultaneously incorporating both time and monetary costs into accessibility measures may impact transport inequality assessment. We calculate job accessibility by transit in the city of Rio de Janeiro, Brazil, using cumulative opportunity measures under distinct combinations of temporal and monetary thresholds, and compare how inequality levels vary across different scenarios. We find that the most common research practice of disregarding monetary costs tends to overestimate accessibility levels. However, stricter monetary constraints do not necessarily result in more unequal scenarios. How accessibility inequality is affected by monetary costs is highly dependent on what combinations of temporal and monetary cut-offs are considered in the analysis. In the case of Rio, opting for lower monetary thresholds when looking at shorter trips leads to inequality levels lower than those found in the no monetary threshold scenario, but results in higher inequality levels when allowing for longer trips. We find that the impact of monetary costs on transport inequality estimates depend on a complex interaction between fare policies, the spatial organization and operational characteristics of transit systems, and the spatial co-distribution of opportunities and residential locations. The paper thus highlights that conclusions and policy recommendations derived from transport inequality analyses can be affected in non-intuitive ways by the interplay between temporal and monetary constraints. Future research should investigate how different combinations of travel time and monetary costs thresholds affect inequality estimates in different contexts.","citation-key":"herszenhutImpactTransitMonetary2022","container-title":"Journal of Transport Geography","DOI":"10.1016/j.jtrangeo.2022.103309","ISSN":"0966-6923","journalAbbreviation":"Journal of Transport Geography","page":"103309","source":"ScienceDirect","title":"The impact of transit monetary costs on transport inequality","volume":"99","author":[{"family":"Herszenhut","given":"Daniel"},{"family":"Pereira","given":"Rafael H. M."},{"family":"Portugal","given":"Licinio da Silva"},{"family":"Oliveira","given":"Matheus Henrique de Sousa"}],"issued":{"date-parts":[["2022",2,1]]}}}],"schema":"https://github.com/citation-style-language/schema/raw/master/csl-citation.json"}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t>(27,32,66,67)</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eastAsia="Times New Roman" w:cs="Times New Roman"/>
          <w:color w:val="000000" w:themeColor="text1"/>
        </w:rPr>
        <w:t xml:space="preserve">, while his contributions to numerous publicly available </w:t>
      </w:r>
      <w:r>
        <w:rPr>
          <w:rFonts w:ascii="times new roman" w:hAnsi="times new roman" w:eastAsia="Times New Roman" w:cs="Times New Roman"/>
          <w:i/>
          <w:iCs/>
          <w:color w:val="000000" w:themeColor="text1"/>
        </w:rPr>
        <w:t>R</w:t>
      </w:r>
      <w:r>
        <w:rPr>
          <w:rFonts w:ascii="times new roman" w:hAnsi="times new roman" w:eastAsia="Times New Roman" w:cs="Times New Roman"/>
          <w:color w:val="000000" w:themeColor="text1"/>
        </w:rPr>
        <w:t xml:space="preserve"> and </w:t>
      </w:r>
      <w:r>
        <w:rPr>
          <w:rFonts w:ascii="times new roman" w:hAnsi="times new roman" w:eastAsia="Times New Roman" w:cs="Times New Roman"/>
          <w:i/>
          <w:iCs/>
          <w:color w:val="000000" w:themeColor="text1"/>
        </w:rPr>
        <w:t>Python</w:t>
      </w:r>
      <w:r>
        <w:rPr>
          <w:rFonts w:ascii="times new roman" w:hAnsi="times new roman" w:eastAsia="Times New Roman" w:cs="Times New Roman"/>
          <w:color w:val="000000" w:themeColor="text1"/>
        </w:rPr>
        <w:t xml:space="preserve"> packages have been hugely influential in changing the practice of transportation research and planning. Open-source software such as {r5r} </w:t>
      </w:r>
      <w:r>
        <w:fldChar w:fldCharType="begin"/>
      </w:r>
      <w:r>
        <w:rPr>
          <w:rFonts w:ascii="times new roman" w:hAnsi="times new roman" w:eastAsia="Times New Roman" w:cs="Times New Roman"/>
          <w:color w:val="000000" w:themeColor="text1"/>
        </w:rPr>
        <w:instrText xml:space="preserve">ADDIN ZOTERO_ITEM CSL_CITATION {"citationID":"eN4ZXFlp","properties":{"unsorted":false,"formattedCitation":"(57)","plainCitation":"(57)","noteIndex":0},"citationItems":[{"id":923,"uris":["http://zotero.org/groups/6563173/items/2JH3V69D"],"itemData":{"id":923,"type":"article-journal","abstract":"Routing is a key step in transport planning and research. Nonetheless, researchers and practitioners often face challenges when performing this task due to long computation times and the cost of licensed software. R\n              5\n              is a multimodal transport network router that offers multiple routing features, such as calculating travel times over a time window and returning multiple itineraries for origin/destination pairs. This paper describes r5r, an open-source R package that leverages R\n              5\n              to efficiently compute travel time matrices and generate detailed itineraries between sets of origins and destinations at no expense using seamless parallel computing.","citation-key":"pereiraR5rRapidRealistic2021","container-title":"Findings","DOI":"10.32866/001c.21262","ISSN":"2652-8800","language":"en","license":"https://creativecommons.org/licenses/by-sa/4.0","source":"DOI.org (Crossref)","title":"r5r: Rapid Realistic Routing on Multimodal Transport Networks with R&lt;sup&gt;5&lt;/sup&gt; in R","title-short":"r5r","URL":"https://findingspress.org/article/21262-r5r-rapid-realistic-routing-on-multimodal-transport-networks-with-r-5-in-r","author":[{"family":"Pereira","given":"Rafael H. M."},{"family":"Saraiva","given":"Marcus"},{"family":"Herszenhut","given":"Daniel"},{"family":"Braga","given":"Carlos Kaue Vieira"},{"family":"Conway","given":"Matthew Wigginton"}],"accessed":{"date-parts":[["2026",9,12]]},"issued":{"date-parts":[["2021",3,4]]}}}],"schema":"https://github.com/citation-style-language/schema/raw/master/csl-citation.json"}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t>(57)</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eastAsia="Times New Roman" w:cs="Times New Roman"/>
          <w:color w:val="000000" w:themeColor="text1"/>
        </w:rPr>
        <w:t xml:space="preserve"> and {r5py} </w:t>
      </w:r>
      <w:r>
        <w:fldChar w:fldCharType="begin"/>
      </w:r>
      <w:r>
        <w:rPr>
          <w:rFonts w:ascii="times new roman" w:hAnsi="times new roman" w:eastAsia="Times New Roman" w:cs="Times New Roman"/>
          <w:color w:val="000000" w:themeColor="text1"/>
        </w:rPr>
        <w:instrText xml:space="preserve">ADDIN ZOTERO_ITEM CSL_CITATION {"citationID":"fMO86pQw","properties":{"unsorted":false,"formattedCitation":"(68)","plainCitation":"(68)","noteIndex":0},"citationItems":[{"id":927,"uris":["http://zotero.org/groups/6563173/items/E9BZAA5Z"],"itemData":{"id":927,"type":"software","abstract":"&lt;strong&gt;R5py&lt;/strong&gt; is a Python library for rapid realistic routing on multimodal transport networks (walk, bike, public transport and car). It provides a simple and friendly interface to R&lt;sup&gt;5&lt;/sup&gt;, the Rapid Realistic Routing on Real-world and Reimagined networks, the routing engine developed by Conveyal. &lt;code&gt;r5py&lt;/code&gt; is inspired by r5r, a wrapper for R, and the library is designed to interact with GeoPandas GeoDataFrames. &lt;code&gt;R5py&lt;/code&gt; offers a simple way to run R5 locally with Python, allowing the users to calculate travel time matrices and accessibility by different travel modes. To get started, see a detailed demonstration of the &lt;code&gt;r5py&lt;/code&gt; in action from the Usage -section. Over time, &lt;code&gt;r5py&lt;/code&gt; will be expanded to incorporate other functionalities from R5.","citation-key":"finkR5pyRapidRealistic2022","DOI":"10.5281/ZENODO.7060438","license":"MIT License, Open Access","publisher":"Zenodo","source":"DOI.org (Datacite)","title":"r5py: Rapid Realistic Routing with R5 in Python","title-short":"r5py","URL":"https://zenodo.org/record/7060438","version":"0.0.4","author":[{"family":"Fink","given":"Christoph"},{"family":"Klumpenhouwer","given":"Willem"},{"family":"Saraiva","given":"Marcus"},{"family":"Pereira","given":"Rafael"},{"family":"Tenkanen","given":"Henrikki"}],"accessed":{"date-parts":[["2026",9,12]]},"issued":{"date-parts":[["2022",9,9]]}}}],"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t>(68)</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eastAsia="Times New Roman" w:cs="Times New Roman"/>
          <w:color w:val="000000" w:themeColor="text1"/>
        </w:rPr>
        <w:t xml:space="preserve"> (which collectively have over a million downloads) are now routinely used by community planners, geographic researchers, and other members of the public for the purpose of simulating routing by different transportation modes. He has also worked on several packages for working with general transit feed specification data such as {gtfstools} </w:t>
      </w:r>
      <w:r>
        <w:fldChar w:fldCharType="begin"/>
      </w:r>
      <w:r>
        <w:rPr>
          <w:rFonts w:ascii="times new roman" w:hAnsi="times new roman" w:eastAsia="Times New Roman" w:cs="Times New Roman"/>
          <w:color w:val="000000" w:themeColor="text1"/>
        </w:rPr>
        <w:instrText xml:space="preserve">ADDIN ZOTERO_ITEM CSL_CITATION {"citationID":"RpVEszon","properties":{"unsorted":false,"formattedCitation":"(68)","plainCitation":"(68)","noteIndex":0},"citationItems":[{"id":927,"uris":["http://zotero.org/groups/6563173/items/E9BZAA5Z"],"itemData":{"id":927,"type":"software","abstract":"&lt;strong&gt;R5py&lt;/strong&gt; is a Python library for rapid realistic routing on multimodal transport networks (walk, bike, public transport and car). It provides a simple and friendly interface to R&lt;sup&gt;5&lt;/sup&gt;, the Rapid Realistic Routing on Real-world and Reimagined networks, the routing engine developed by Conveyal. &lt;code&gt;r5py&lt;/code&gt; is inspired by r5r, a wrapper for R, and the library is designed to interact with GeoPandas GeoDataFrames. &lt;code&gt;R5py&lt;/code&gt; offers a simple way to run R5 locally with Python, allowing the users to calculate travel time matrices and accessibility by different travel modes. To get started, see a detailed demonstration of the &lt;code&gt;r5py&lt;/code&gt; in action from the Usage -section. Over time, &lt;code&gt;r5py&lt;/code&gt; will be expanded to incorporate other functionalities from R5.","citation-key":"finkR5pyRapidRealistic2022","DOI":"10.5281/ZENODO.7060438","license":"MIT License, Open Access","publisher":"Zenodo","source":"DOI.org (Datacite)","title":"r5py: Rapid Realistic Routing with R5 in Python","title-short":"r5py","URL":"https://zenodo.org/record/7060438","version":"0.0.4","author":[{"family":"Fink","given":"Christoph"},{"family":"Klumpenhouwer","given":"Willem"},{"family":"Saraiva","given":"Marcus"},{"family":"Pereira","given":"Rafael"},{"family":"Tenkanen","given":"Henrikki"}],"accessed":{"date-parts":[["2026",9,12]]},"issued":{"date-parts":[["2022",9,9]]}}}],"schema":"https://github.com/citation-style-language/schema/raw/master/csl-citation.json"}</w:instrTex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separate"/>
      </w:r>
      <w:r>
        <w:rPr>
          <w:rFonts w:ascii="times new roman" w:hAnsi="times new roman" w:eastAsia="Times New Roman" w:cs="Times New Roman"/>
          <w:color w:val="000000" w:themeColor="text1"/>
        </w:rPr>
        <w:t>(68)</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fldChar w:fldCharType="end"/>
      </w:r>
      <w:r>
        <w:rPr>
          <w:rFonts w:ascii="times new roman" w:hAnsi="times new roman" w:eastAsia="Times New Roman" w:cs="Times New Roman"/>
          <w:color w:val="000000" w:themeColor="text1"/>
        </w:rPr>
        <w:t>. His role will be to provide advice on the theory and practice of transportation justice, and he will also lend his considerable expertise to the development of open-source tools.</w:t>
      </w:r>
    </w:p>
    <w:p xmlns:wp14="http://schemas.microsoft.com/office/word/2010/wordml" w14:paraId="3B8A5DC7" wp14:textId="77777777">
      <w:pPr>
        <w:pStyle w:val="Normal"/>
        <w:rPr>
          <w:rFonts w:ascii="times new roman" w:hAnsi="times new roman"/>
        </w:rPr>
      </w:pPr>
      <w:r>
        <w:rPr>
          <w:rFonts w:ascii="times new roman" w:hAnsi="times new roman"/>
          <w:b/>
          <w:bCs/>
          <w:u w:val="single"/>
        </w:rPr>
        <w:t>Léa RAVENSBERGEN</w:t>
      </w:r>
      <w:r>
        <w:rPr>
          <w:rFonts w:ascii="times new roman" w:hAnsi="times new roman"/>
        </w:rPr>
        <w:t xml:space="preserve"> </w:t>
      </w:r>
      <w:r>
        <w:rPr>
          <w:rFonts w:ascii="times new roman" w:hAnsi="times new roman" w:eastAsia="Times New Roman" w:cs="Times New Roman"/>
          <w:color w:val="000000" w:themeColor="text1"/>
        </w:rPr>
        <w:t xml:space="preserve">(co-applicant, relative contribution to project 15%, </w:t>
      </w:r>
      <w:r>
        <w:rPr>
          <w:rFonts w:ascii="times new roman" w:hAnsi="times new roman"/>
        </w:rPr>
        <w:t>15% of personal research time</w:t>
      </w:r>
      <w:r>
        <w:rPr>
          <w:rFonts w:ascii="times new roman" w:hAnsi="times new roman" w:eastAsia="Times New Roman" w:cs="Times New Roman"/>
          <w:color w:val="000000" w:themeColor="text1"/>
        </w:rPr>
        <w:t>)</w:t>
      </w:r>
      <w:r>
        <w:rPr>
          <w:rFonts w:ascii="times new roman" w:hAnsi="times new roman"/>
        </w:rPr>
        <w:t xml:space="preserve"> is an early career researcher of equity in sustainable urban mobility. She is a mixed-methods researcher who has led multiple qualitative research projects focused on transportation users’ experiences, including two that utilized a Codesign framework. In 2025, she led a series of Codesign focus groups with older adults on how best to design mobility reporting to encourage active lifestyles (currently under review in Journal of Aging and Physical Activity). In 2026, she worked with the Hamilton’s transit operator Hamilton Street Railway (HSR) to Codesign how best to deliver paratransit as the City of Hamilton moves toward integrated transit. Ravensbergen will lead the Codesign component of the project.</w:t>
      </w:r>
    </w:p>
    <w:p xmlns:wp14="http://schemas.microsoft.com/office/word/2010/wordml" w14:paraId="4D410002" wp14:textId="77777777">
      <w:pPr>
        <w:pStyle w:val="Heading1"/>
        <w:rPr>
          <w:rFonts w:ascii="times new roman" w:hAnsi="times new roman"/>
        </w:rPr>
      </w:pPr>
      <w:r>
        <w:rPr>
          <w:rFonts w:ascii="times new roman" w:hAnsi="times new roman"/>
        </w:rPr>
        <w:t>B. DESCRIPTION OF PREVIOUS AND ONGOING RESULTS</w:t>
      </w:r>
    </w:p>
    <w:p xmlns:wp14="http://schemas.microsoft.com/office/word/2010/wordml" w14:paraId="3F99B8B1" wp14:textId="77777777">
      <w:pPr>
        <w:pStyle w:val="Normal"/>
        <w:rPr>
          <w:rFonts w:ascii="times new roman" w:hAnsi="times new roman"/>
        </w:rPr>
      </w:pPr>
      <w:r>
        <w:rPr>
          <w:rFonts w:ascii="times new roman" w:hAnsi="times new roman"/>
          <w:b/>
          <w:bCs/>
          <w:u w:val="single"/>
        </w:rPr>
        <w:t>Juanita DE BARROS</w:t>
      </w:r>
      <w:r>
        <w:rPr>
          <w:rFonts w:ascii="times new roman" w:hAnsi="times new roman"/>
          <w:b w:val="false"/>
          <w:bCs w:val="false"/>
        </w:rPr>
        <w:t>’s</w:t>
      </w:r>
      <w:r>
        <w:rPr>
          <w:rFonts w:ascii="times new roman" w:hAnsi="times new roman"/>
        </w:rPr>
        <w:t xml:space="preserve"> main field of research is into human rights and justice, with a focus on the political and social factors that shaped policies dealing with the intersection of health and the law in the past, their impact on the lived experience of women and children especially, and the longer-term impact of these policies. Her research projects include a sole-authored monograph on gender and reproductive health in the Caribbean </w:t>
      </w:r>
      <w:r>
        <w:fldChar w:fldCharType="begin"/>
      </w:r>
      <w:r>
        <w:rPr>
          <w:rFonts w:ascii="times new roman" w:hAnsi="times new roman" w:eastAsia="Times New Roman" w:cs="Times New Roman"/>
          <w:color w:val="212121"/>
        </w:rPr>
        <w:instrText xml:space="preserve">ADDIN ZOTERO_ITEM CSL_CITATION {"citationID":"BsPHbRBC","properties":{"unsorted":false,"formattedCitation":"(75)","plainCitation":"(75)","noteIndex":0},"citationItems":[{"id":971,"uris":["http://zotero.org/groups/6563173/items/2K6TH3VB"],"itemData":{"id":971,"type":"book","abstract":"This innovative book traces the history of ideas and policymaking concerning population growth and infant and maternal welfare in Caribbean colonies wrestling with the aftermath of slavery. Focusing on Jamaica, Guyana, and Barbados from the nineteenth century through the 1930s, when violent labor protests swept the region, Juanita De Barros takes a comparative approach in analyzing the struggles among former slaves and masters attempting to determine the course of their societies after emancipation. Invested in the success of the \"great experiment\" of slave emancipation, colonial officials developed new social welfare and health policies. Concerns about the health and size of ex-slave populations were expressed throughout the colonial world during this period. In the Caribbean, an emergent black middle class, rapidly increasing immigration, and new attitudes toward medicine and society were crucial factors. While hemispheric and diasporic trends influenced the new policies, De Barros shows that local physicians, philanthropists, midwives, and the impoverished mothers who were the targets of this official concern helped shape and implement efforts to ensure the health and reproduction of Caribbean populations in the decades before independence.","citation-key":"debarrosReproducingBritishCaribbean2014","ISBN":"978-1-4696-1606-3","publisher":"University of North Carolina Press","publisher-place":"Chapel Hill, UNITED STATES","source":"ProQuest Ebook Central","title":"Reproducing the British Caribbean: Sex, Gender, and Population Politics after Slavery","title-short":"Reproducing the British Caribbean","URL":"http://ebookcentral.proquest.com/lib/mcmu/detail.action?docID=1693182","author":[{"family":"De Barros","given":"Juanita"}],"accessed":{"date-parts":[["2026",9,20]]},"issued":{"date-parts":[["2014"]]}}}],"schema":"https://github.com/citation-style-language/schema/raw/master/csl-citation.json"}</w:instrText>
      </w:r>
      <w:r>
        <w:rPr>
          <w:rFonts w:ascii="times new roman" w:hAnsi="times new roman" w:eastAsia="Times New Roman" w:cs="Times New Roman"/>
          <w:color w:val="212121"/>
        </w:rPr>
      </w:r>
      <w:r>
        <w:rPr>
          <w:rFonts w:ascii="times new roman" w:hAnsi="times new roman" w:eastAsia="Times New Roman" w:cs="Times New Roman"/>
          <w:color w:val="212121"/>
        </w:rPr>
        <w:fldChar w:fldCharType="separate"/>
      </w:r>
      <w:r>
        <w:rPr>
          <w:rFonts w:ascii="times new roman" w:hAnsi="times new roman" w:eastAsia="Times New Roman" w:cs="Times New Roman"/>
          <w:color w:val="212121"/>
        </w:rPr>
      </w:r>
      <w:r>
        <w:rPr>
          <w:rFonts w:ascii="times new roman" w:hAnsi="times new roman" w:cs="Times New Roman"/>
        </w:rPr>
        <w:t>(75)</w:t>
      </w:r>
      <w:r>
        <w:rPr>
          <w:rFonts w:ascii="times new roman" w:hAnsi="times new roman" w:eastAsia="Times New Roman" w:cs="Times New Roman"/>
          <w:color w:val="212121"/>
        </w:rPr>
      </w:r>
      <w:r>
        <w:rPr>
          <w:rFonts w:ascii="times new roman" w:hAnsi="times new roman" w:eastAsia="Times New Roman" w:cs="Times New Roman"/>
          <w:color w:val="212121"/>
        </w:rPr>
        <w:fldChar w:fldCharType="end"/>
      </w:r>
      <w:r>
        <w:rPr>
          <w:rFonts w:ascii="times new roman" w:hAnsi="times new roman"/>
        </w:rPr>
        <w:t xml:space="preserve">, a forthcoming co-written article on urban vagrancy laws in late nineteenth-century Guyana, and a multidisciplinary co-edited essay collection (with McGill-Queens University Press). This latter project addresses child protection policies and discourse from the nineteenth to the early twenty-first centuries and the varied ways that these policies served adult institutional and political interests, often resulting in the forced labour and incarceration of children. This project is De Barros first foray into transportation-related research, and we believe that her historian's eye, in addition to her expertise in human rights and justice, will be an asset to the proposed work. Historical perspectives on transportation remain rare despite their value </w:t>
      </w:r>
      <w:r>
        <w:fldChar w:fldCharType="begin"/>
      </w:r>
      <w:r>
        <w:rPr>
          <w:rFonts w:ascii="times new roman" w:hAnsi="times new roman" w:eastAsia="Times New Roman" w:cs="Times New Roman"/>
          <w:color w:val="212121"/>
        </w:rPr>
        <w:instrText xml:space="preserve">ADDIN ZOTERO_ITEM CSL_CITATION {"citationID":"S4N2VU01","properties":{"unsorted":false,"formattedCitation":"(76,77)","plainCitation":"(76,77)","noteIndex":0},"citationItems":[{"id":970,"uris":["http://zotero.org/groups/6563173/items/LYTLC5UE"],"itemData":{"id":970,"type":"article-journal","abstract":"Problem: When the First National Conference on City Planning took place in Washington, DC, 100 ago, the delegates failed to foresee the consequences of automobility and suburbanization, but in other ways they were remarkably prescient. They stressed the importance of the linkage between transportation and land use, understood that transportation facilities must be harmoniously embedded in the urban fabric, and viewed transportation investment as a way to direct growth, revitalize flagging areas, and link jobs and housing. Since transportation planners in subsequent decades kept this vision alive, envisioning a network of context-sensitive urban freeways fully integrated into the urban milieu, why is this not what was built? Purpose: We consider the history of U.S. urban transportation planning over the past 100 years, to explain the evolution and legacy of the single most important transportation development of the past century save automobility itself: the emergence of the urban freeway. Methods: We reviewed primary and secondary material, including plans, manuscripts, newspaper accounts, and scholarly articles and books. Results and conclusions: We argue that the method used to fund interstate highway development put federal and state highway engineers in charge, and this affected highways' location and design. State highway engineers imposed a narrow, traffic-service-oriented vision on metropolitan freeways that focused on maximizing vehicle throughput and largely ignored other urban concerns. With too little advance thought, overbuilt, sparse, ring-radial networks were routed through neighborhoods in cities around the country, often at great social and environmental cost. Though the system has undeniably conferred great benefits in terms of enhanced mobility, the costs have been high as well. Recent years have seen a return to the early planners' perspective, stressing the social, environmental, and aesthetic impacts of transportation facilities and interactions with land use. Takeaway for practice: A century-old vision of coordinated transportation and land use planning has resurfaced in practice, but in the meantime politically expedient decisions about public finance have had unanticipated, but profound and long-lasting effects on projects, travel, and urban form. Research support: Portions of this research were funded by the University of California Transportation Center and the University of California, Los Angeles Academic Senate.","citation-key":"brownPlanningCarsCities2009","container-title":"Journal of the American Planning Association","DOI":"10.1080/01944360802640016","ISSN":"0194-4363","issue":"2","language":"English","page":"161-177","title":"Planning for Cars in Cities: Planners, Engineers, and Freeways in the 20th Century","volume":"75","author":[{"family":"Brown","given":"J. R."},{"family":"Morris","given":"E. A."},{"family":"Taylor","given":"B. D."}],"issued":{"date-parts":[["2009"]]}}},{"id":969,"uris":["http://zotero.org/groups/6563173/items/QIFS97CX"],"itemData":{"id":969,"type":"report","citation-key":"gevaMissedConnectionsLocating2025","publisher":"Infrastructure Institute, University of Toronto","title":"Missed Connections: Locating equity in Toronto’s transportation history","URL":"https://infrastructureinstitute.ca/missed-connections/","author":[{"family":"Geva","given":"Yinnon"},{"family":"Lambropolous","given":"Alexandra"},{"family":"Mendita","given":"Isaac"},{"family":"Siemiatycki","given":"Matti"}],"issued":{"date-parts":[["2025"]]}}}],"schema":"https://github.com/citation-style-language/schema/raw/master/csl-citation.json"}</w:instrText>
      </w:r>
      <w:r>
        <w:rPr>
          <w:rFonts w:ascii="times new roman" w:hAnsi="times new roman" w:eastAsia="Times New Roman" w:cs="Times New Roman"/>
          <w:color w:val="212121"/>
        </w:rPr>
      </w:r>
      <w:r>
        <w:rPr>
          <w:rFonts w:ascii="times new roman" w:hAnsi="times new roman" w:eastAsia="Times New Roman" w:cs="Times New Roman"/>
          <w:color w:val="212121"/>
        </w:rPr>
        <w:fldChar w:fldCharType="separate"/>
      </w:r>
      <w:r>
        <w:rPr>
          <w:rFonts w:ascii="times new roman" w:hAnsi="times new roman" w:eastAsia="Times New Roman" w:cs="Times New Roman"/>
          <w:color w:val="212121"/>
        </w:rPr>
      </w:r>
      <w:r>
        <w:rPr>
          <w:rFonts w:ascii="times new roman" w:hAnsi="times new roman" w:cs="Times New Roman"/>
        </w:rPr>
        <w:t>(76,77)</w:t>
      </w:r>
      <w:r>
        <w:rPr>
          <w:rFonts w:ascii="times new roman" w:hAnsi="times new roman" w:eastAsia="Times New Roman" w:cs="Times New Roman"/>
          <w:color w:val="212121"/>
        </w:rPr>
      </w:r>
      <w:r>
        <w:rPr>
          <w:rFonts w:ascii="times new roman" w:hAnsi="times new roman" w:eastAsia="Times New Roman" w:cs="Times New Roman"/>
          <w:color w:val="212121"/>
        </w:rPr>
        <w:fldChar w:fldCharType="end"/>
      </w:r>
      <w:r>
        <w:rPr>
          <w:rFonts w:ascii="times new roman" w:hAnsi="times new roman"/>
        </w:rPr>
        <w:t xml:space="preserve"> and collaboration between historians and transportation scholars is a unique aspect of the project.</w:t>
      </w:r>
    </w:p>
    <w:p xmlns:wp14="http://schemas.microsoft.com/office/word/2010/wordml" w14:paraId="4F207FA6" wp14:textId="77777777">
      <w:pPr>
        <w:pStyle w:val="Normal"/>
        <w:spacing w:line="240" w:lineRule="auto"/>
        <w:rPr>
          <w:rFonts w:ascii="times new roman" w:hAnsi="times new roman"/>
        </w:rPr>
      </w:pPr>
      <w:r>
        <w:rPr>
          <w:rFonts w:ascii="times new roman" w:hAnsi="times new roman"/>
          <w:b/>
          <w:bCs/>
          <w:u w:val="single"/>
        </w:rPr>
        <w:t>Christopher D. HIGGINS</w:t>
      </w:r>
      <w:r>
        <w:rPr>
          <w:rFonts w:ascii="times new roman" w:hAnsi="times new roman"/>
        </w:rPr>
        <w:t xml:space="preserve"> has done research with conceptual, methodological, and applied outputs that are relevant to the proposed work. This includes the development of place-based/person-based </w:t>
      </w:r>
      <w:r>
        <w:fldChar w:fldCharType="begin"/>
      </w:r>
      <w:r>
        <w:rPr>
          <w:rFonts w:ascii="times new roman" w:hAnsi="times new roman"/>
        </w:rPr>
        <w:instrText xml:space="preserve">ADDIN ZOTERO_ITEM CSL_CITATION {"citationID":"dVTvPHDx","properties":{"unsorted":false,"formattedCitation":"(69)","plainCitation":"(69)","noteIndex":0},"citationItems":[{"id":1043,"uris":["http://zotero.org/groups/6563173/items/7QQQRIYM"],"itemData":{"id":1043,"type":"article-journal","abstract":"Accessibility is the potential to interact with opportunities. Place-based measures of accessibility, such as gravity-type measures, have been widely applied to compute the opportunities accessible when traveling from a given origin and reflect aggregate geographic patterns of access across a city or region. Despite this, place-based measures are criticized for lacking a consideration of individual-level space-time constraints, which can result in inaccurate estimates of the potential for interaction at the destination, particularly due to the insufficient consideration of available time. In contrast, people-based measures rooted in time geography, such as space-time prisms (STPs), can compute both accessible opportunities and potential time to spend at each opportunity for individuals, given their travel modes and travel budgets. However, it can be difficult to represent person-based accessibility at spatially aggregate levels, limiting their application in planning practice. This study bridges place- and people-based accessibility by proposing person-based aggregate space-time accessibility (PASTA), a novel measure that starts by calculating voxel-based STPs. The discretized spatial and temporal dimensions enable further aggregations of the multidimensional arrays to return place-based measures of access whose units are measured in minutes of potential dwell time. From this, the PASTA-based approach can map potential dwell time across a city or region for many individuals or, with the incorporation of person weights, the entire population. Moreover, the aggregation can be conducted along different dimensions, making it easy to compare PASTA across space and time, as well as across travelers with different mode choices and socioeconomic characteristics. Comparisons with traditional place-based measures of market potential accessibility find positive and non-linear relationships between PASTA and gravity-type accessibility for transit and car, but more significant disparities between potential dwell time and walking and cycling access. Overall, PASTA bridges the concepts of population time and interaction potential. When paired with the underlying computational advances, this approach facilitates bringing people back into place-based accessibility analysis.","citation-key":"higginsPersonbasedAggregateSpacetime2026","container-title":"Journal of Transport Geography","DOI":"10.1016/j.jtrangeo.2026.104602","ISSN":"0966-6923","journalAbbreviation":"Journal of Transport Geography","page":"104602","source":"ScienceDirect","title":"Person-based aggregate space-time accessibility (PASTA): Bridging the gap between place- and person-based accessibility","title-short":"Person-based aggregate space-time accessibility (PASTA)","volume":"132","author":[{"family":"Higgins","given":"Christopher D."},{"family":"Li","given":"Chunjiang"},{"family":"Páez","given":"Antonio"}],"issued":{"date-parts":[["2026",4,1]]}}}],"schema":"https://github.com/citation-style-language/schema/raw/master/csl-citation.json"}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(69)</w:t>
      </w:r>
      <w:r>
        <w:rPr>
          <w:rFonts w:ascii="times new roman" w:hAnsi="times new roman"/>
        </w:rPr>
      </w:r>
      <w:r>
        <w:rPr>
          <w:rFonts w:ascii="times new roman" w:hAnsi="times new roman"/>
        </w:rPr>
        <w:fldChar w:fldCharType="end"/>
      </w:r>
      <w:r>
        <w:rPr>
          <w:rFonts w:ascii="times new roman" w:hAnsi="times new roman"/>
        </w:rPr>
        <w:t xml:space="preserve">, as well as competitive accessibility measures </w:t>
      </w:r>
      <w:r>
        <w:fldChar w:fldCharType="begin"/>
      </w:r>
      <w:r>
        <w:rPr>
          <w:rFonts w:ascii="times new roman" w:hAnsi="times new roman"/>
        </w:rPr>
        <w:instrText xml:space="preserve">ADDIN ZOTERO_ITEM CSL_CITATION {"citationID":"47cO4TzT","properties":{"unsorted":false,"formattedCitation":"(43,70)","plainCitation":"(43,70)","noteIndex":0},"citationItems":[{"id":802,"uris":["http://zotero.org/groups/6563173/items/IVDPED4H"],"itemData":{"id":802,"type":"article-journal","abstract":"Transportation planning has long prioritized the efficiency of movement. However, the concept of accessibility represents a more comprehensive evolution, shifting focus from movement (i.e., trips) to the potential to spatially interact with desired destinations. Despite growing recognition of accessibility-based planning approaches, the concept remains fragmented, with inconsistent definitions and unclear interpretations. To this end, this paper makes a methodological contribution by specifying a family of accessibility measures that are grounded in the shared ‘gravity-based’ theoretical roots of spatial interaction models, particularly their balancing factors. From this foundation, we outline four members of the family: the ‘unconstrained’ measure (i.e., Hansen-type accessibility), the ‘total-constrained’ measure (i.e., a constrained version of the Hansen-type accessibility), the ‘singly-constrained’ measure (i.e., related to the popular two-step floating catchment approach – 2SFCA), and the ‘doubly-constrained’ measure representing realized access (i.e., equal to the doubly-constrained spatial interaction model). These measures can be interpreted as either the number of accessible opportunities or accessible population (i.e., market potential). A toy example illustrates how they produce interpretable unit-based values, offering a clearer and more coherent basis for accessibility analysis.","citation-key":"soukhovFamilyAccessibilityMeasures2025","container-title":"PLOS ONE","DOI":"10.1371/journal.pone.0335951","ISSN":"1932-6203","issue":"11","journalAbbreviation":"PLOS ONE","language":"en","page":"e0335951","publisher":"Public Library of Science","source":"PLoS Journals","title":"A family of accessibility measures derived from spatial interaction principles","volume":"20","author":[{"family":"Soukhov","given":"Anastasia"},{"family":"Pereira","given":"Rafael H. M."},{"family":"Higgins","given":"Christopher D."},{"family":"Páez","given":"Antonio"}],"issued":{"date-parts":[["2025",11,14]]}}},{"id":978,"uris":["http://zotero.org/groups/6563173/items/KXIK5WFU"],"itemData":{"id":978,"type":"article-journal","citation-key":"Accessibility","container-title":"Plos One","DOI":"10.1371/journal.pone.0278468","ISSN":"1932-6203","issue":"1","page":"e0278468","title":"Introducing spatial availability, a singly-constrained measure of competitive accessibility","volume":"18","author":[{"family":"Soukhov","given":"Anastasia"},{"family":"Páez","given":"Antonio"},{"family":"Higgins","given":"Christopher D."},{"family":"Mohamed","given":"Moataz"}],"issued":{"date-parts":[["2023"]]}}}],"schema":"https://github.com/citation-style-language/schema/raw/master/csl-citation.json"}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(43,70)</w:t>
      </w:r>
      <w:r>
        <w:rPr>
          <w:rFonts w:ascii="times new roman" w:hAnsi="times new roman"/>
        </w:rPr>
      </w:r>
      <w:r>
        <w:rPr>
          <w:rFonts w:ascii="times new roman" w:hAnsi="times new roman"/>
        </w:rPr>
        <w:fldChar w:fldCharType="end"/>
      </w:r>
      <w:r>
        <w:rPr>
          <w:rFonts w:ascii="times new roman" w:hAnsi="times new roman"/>
        </w:rPr>
        <w:t xml:space="preserve"> that improve our understanding of who can reach destinations using the transportation network. His applied studies have incorporated equity into route-level transit performance measurement and examined disparities affecting the access of low-income residents, and essential workers to health and social services </w:t>
      </w:r>
      <w:r>
        <w:fldChar w:fldCharType="begin"/>
      </w:r>
      <w:r>
        <w:rPr>
          <w:rFonts w:ascii="times new roman" w:hAnsi="times new roman"/>
        </w:rPr>
        <w:instrText xml:space="preserve">ADDIN ZOTERO_ITEM CSL_CITATION {"citationID":"q3wImRJk","properties":{"unsorted":false,"formattedCitation":"(38,71,72)","plainCitation":"(38,71,72)","noteIndex":0},"citationItems":[{"id":207,"uris":["http://zotero.org/users/13222595/items/T7MLAY56"],"itemData":{"id":207,"type":"article-journal","abstract":"Marginalized communities usually experience inadequate public transport services in North America. Within these communities, buses play a vital role in everyday activity participation. Unfortunately, transport services that may advance equity by improving coverage and service for disadvantaged population groups and areas are often overlooked in transit planning since they usually underperform in ridership-based metrics. To address this problem, the Toronto Transit Commission (TTC) introduced an equity service policy in 2019 to enhance bus services in vulnerable neighbourhoods known as Neighbourhood Improvement Areas (NIAs). This policy involves augmenting observed ridership counts for buses serving NIAs to improve or protect services for these communities. Although this proposed measure can improve bus services in NIAs, its current form might exclude other equity-deserving riders (EDRs) living outside NIAs, increasing their accessibility barriers. Our study uses quantitative and spatial analytical methods to better understand the equity impacts of this service policy change. We propose moving from the aggregate neighbourhood-based approach using NIAs to a more comprehensive and disaggregated person-based approach. First, we create an alternate method that identifies EDRs at the bus stop level using a fusion of census and travel survey data. We then explore the differences in augmented ridership levels created by the two approaches and evaluate whether the augmented ridership levels are likely to result in meaningful service changes using existing TTC service standards. We found that 2 out of 3 transit riders in Toronto are equity-deserving, with 72% residing outside NIAs. Our approach reveals increased ridership on routes with many EDRs, which receive minimal augmentation under the NIA-based method. Conversely, if all riders in NIAs are considered EDRs, our approach shows a 19% ridership overestimation equivalent to 35,245 users. Based on these results, we recommend creating a dedicated equity tool with an individual-centric focus, identifying areas with low transit service and high EDR percentages. This tool could then be integrated as an equity perspective into annual bus service planning.","citation-key":"tabascioIncorporatingEquityTransit2024","container-title":"Case Studies on Transport Policy","DOI":"10.1016/j.cstp.2024.101256","ISSN":"2213-624X","journalAbbreviation":"Case Studies on Transport Policy","page":"101256","source":"ScienceDirect","title":"Incorporating equity into transit performance measures: A disaggregated bus route level approach","title-short":"Incorporating equity into transit performance measures","volume":"17","author":[{"family":"Tabascio","given":"Alexander"},{"family":"Tiznado-Aitken","given":"Ignacio"},{"family":"Higgins","given":"Christopher"},{"family":"Farber","given":"Steven"}],"issued":{"date-parts":[["2024",9,1]]}}},{"id":1053,"uris":["http://zotero.org/groups/6563173/items/EG4ZNM73"],"itemData":{"id":1053,"type":"article-journal","abstract":"In recent decades, transit ridership plateaued in Canadian cities, and the COVID-19 pandemic further altered public transit patterns. Understanding how changes in transit services affect democratic access to essential amenities is the first step in building a transportation system that enables access for all. This paper reports changes in public transit service in Canada’s 12 largest census metro areas (CMAs) from 2019 to 2023. We assess transit accessibility to jobs and groceries and show spatial changes and changes by income level. The resulting changes in accessibility were not uniform across metropolitan areas. Some remained largely unchanged, while others had greater accessibility in 2023. Toronto, Montreal, and Vancouver experienced greater losses in public transit accessibility, while areas in urban peripheries tended to see gains. Lower-income households were disproportionately affected by reduced accessibility. Differences between metropolitan regions point to the importance of municipal policy.","citation-key":"pargaDemocraticAccessOur2025","language":"en_CA","publisher":"School of Cities","source":"utoronto.scholaris.ca","title":"Democratic Access to our Cities: The impacts of recent changes to transit services in major Canadian metropolitan areas","title-short":"Democratic Access to our Cities","URL":"https://hdl.handle.net/1807/152158","author":[{"family":"Parga","given":"João Pedro Figueira Amorim"},{"family":"Soukhov","given":"Anastasia"},{"family":"Arku","given":"Robert Nutifafa"},{"family":"Higgins","given":"Christopher D."},{"family":"Páez","given":"Antonio"}],"accessed":{"date-parts":[["2026",9,23]]},"issued":{"date-parts":[["2025",1]]}}},{"id":1048,"uris":["http://zotero.org/groups/6563173/items/UME7EIMP"],"itemData":{"id":1048,"type":"article-journal","abstract":"In this paper we analyze the changes in accessibility to emergency and community food services before and during the COVID-19 pandemic in the City of Hamilton, Ontario. Many of these food services are the last line of support for households facing food insecurity; as such, their relevance cannot be ignored in the midst of the economic upheaval caused by the pandemic. Our analysis is based on the application of balanced floating catchment areas and concentrates on households with lower incomes (&lt;CAD40,000, approximately the Low Income Cutoff Value for a city of Hamilton's size). We find that accessibility was low to begin with in suburban and exurban parts of the city; furthermore, about 14% of locations originally available in Hamilton closed during the pandemic, further reducing accessibility. The impact of closures on the level of service of the remaining facilities, and on accessibility, was disproportionate, with system-wide losses exceeding 39%. Those losses were geographically and demographically uneven. While every part of the city faced a reduction in accessibility, inner suburbs fared worse in terms of loss of accessibility. As well, children (age ≤18) appear to have been impacted the most.","citation-key":"higginsChangesAccessibilityEmergency2021","container-title":"Social Science &amp; Medicine","DOI":"https://doi.org/10.1016/j.socscimed.2021.114442","ISSN":"0277-9536","page":"114442","title":"Changes in accessibility to emergency and community food services during COVID-19 and implications for low income populations in Hamilton, Ontario","volume":"291","author":[{"family":"Higgins","given":"Christopher D."},{"family":"Páez","given":"Antonio"},{"family":"Kim","given":"Gyoorie"},{"family":"Wang","given":"Jue"}],"issued":{"date-parts":[["2021",12,1]]}}}],"schema":"https://github.com/citation-style-language/schema/raw/master/csl-citation.json"}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(38,71,72)</w:t>
      </w:r>
      <w:r>
        <w:rPr>
          <w:rFonts w:ascii="times new roman" w:hAnsi="times new roman"/>
        </w:rPr>
      </w:r>
      <w:r>
        <w:rPr>
          <w:rFonts w:ascii="times new roman" w:hAnsi="times new roman"/>
        </w:rPr>
        <w:fldChar w:fldCharType="end"/>
      </w:r>
      <w:r>
        <w:rPr>
          <w:rFonts w:ascii="times new roman" w:hAnsi="times new roman"/>
        </w:rPr>
        <w:t xml:space="preserve">. Complementary research has assessed relationships among transit accessibility, residential location, and housing prices within individual metropolitan regions and across Canada </w:t>
      </w:r>
      <w:r>
        <w:fldChar w:fldCharType="begin"/>
      </w:r>
      <w:r>
        <w:rPr>
          <w:rFonts w:ascii="times new roman" w:hAnsi="times new roman"/>
        </w:rPr>
        <w:instrText xml:space="preserve">ADDIN ZOTERO_ITEM CSL_CITATION {"citationID":"HcKByWXA","properties":{"unsorted":false,"formattedCitation":"(73)","plainCitation":"(73)","noteIndex":0},"citationItems":[{"id":1051,"uris":["http://zotero.org/groups/6563173/items/LKHECR4D"],"itemData":{"id":1051,"type":"article-journal","abstract":"Most research interested in understanding the causal impacts of transit investments on property prices approach the topic through the lens of proximity. However, recent research highlights the networked nature of accessibility impacts. This presents challenges in causal research, particularly in mapping accessibility impacts, defining treatment and control groups, and estimating property price effects. Using the Evergreen Extension in Metro Vancouver, this research examines how proximity to new stations and changes in accessibility over time are capitalized into property prices, disentangling their distinct and combined effects. As commonly applied in the literature, the proximity-based measures identify treated properties based on their distance to the nearest station. For the accessibility-based approach, we measure changes in gravity-based scores over time to capture regional accessibility effects and treatment intensities along an ordered continuum, identifying areas experiencing accessibility gains, losses or stability. Results show that the spatial distribution of accessibility-based effects extend beyond conventionally-defined proximity catchments, suggesting an accessibility-based approach can better capture potential treatment effects associated with network spillovers. Next, fixed-effects models, using repeat sales, are then estimated to causally identify price premiums associated with both the proximity-based and accessibility-based measures. First, we find that, in line with urban economic theory, 1) proximity to new stations is positively valued, 2) increases in network access and regional connectivity to employment yield larger positive price effects, and 3) there is a combined premium placed on both proximity-based and accessibility-based benefits. Second, while proximity effects align with expectations, where treatment properties closer to the new stations command higher price premiums than those farther away, accessibility-based price effects do not. Specifically, higher treatment levels in the accessibility-based models do not consistently yield the highest premiums. This prompts an important perceptual question on whether homebuyers view proximity as a more intuitive signal of accessibility than broader regional network connectivity, which may be more intangible. We contribute knowledge through a dynamic approach that captures accessibility impacts for causal estimations, moving beyond the limitations of proximity-based measures in transit impact research.","citation-key":"arkuUntanglingProximityAccessibility2025","container-title":"Transport Policy","DOI":"10.1016/j.tranpol.2025.103852","ISSN":"0967-070X","journalAbbreviation":"Transport Policy","page":"103852","source":"ScienceDirect","title":"Untangling proximity and accessibility effects of transit on property prices","volume":"174","author":[{"family":"Arku","given":"Robert Nutifafa"},{"family":"Higgins","given":"Christopher D."},{"family":"Farber","given":"Steven"}],"issued":{"date-parts":[["2025",12,1]]}}}],"schema":"https://github.com/citation-style-language/schema/raw/master/csl-citation.json"}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(73)</w:t>
      </w:r>
      <w:r>
        <w:rPr>
          <w:rFonts w:ascii="times new roman" w:hAnsi="times new roman"/>
        </w:rPr>
      </w:r>
      <w:r>
        <w:rPr>
          <w:rFonts w:ascii="times new roman" w:hAnsi="times new roman"/>
        </w:rPr>
        <w:fldChar w:fldCharType="end"/>
      </w:r>
      <w:r>
        <w:rPr>
          <w:rFonts w:ascii="times new roman" w:hAnsi="times new roman"/>
        </w:rPr>
        <w:t xml:space="preserve">. His ongoing research extends these approaches to the joint analysis of equity in accessibility and housing affordability. Further, Higgins brings a commitment to open, replicable, and reproducible research as evidenced through the development of the {pycnogrid} package </w:t>
      </w:r>
      <w:r>
        <w:fldChar w:fldCharType="begin"/>
      </w:r>
      <w:r>
        <w:rPr>
          <w:rFonts w:ascii="times new roman" w:hAnsi="times new roman"/>
        </w:rPr>
        <w:instrText xml:space="preserve">ADDIN ZOTERO_ITEM CSL_CITATION {"citationID":"d4lAnXs0","properties":{"unsorted":false,"formattedCitation":"(74)","plainCitation":"(74)","noteIndex":0},"citationItems":[{"id":932,"uris":["http://zotero.org/groups/6563173/items/2UEKTML7"],"itemData":{"id":932,"type":"software","abstract":"Pycnophylactic Interpolation to Discrete Global and Local Grids","citation-key":"higginsHiggicdPycnogrid2026","genre":"R","note":"original-date: 2026-05-08T20:19:00Z","source":"GitHub","title":"pycnogrid","URL":"https://github.com/higgicd/pycnogrid","author":[{"family":"Higgins","given":"Christopher D."}],"accessed":{"date-parts":[["2026",9,12]]},"issued":{"date-parts":[["2026",9,6]]}}}],"schema":"https://github.com/citation-style-language/schema/raw/master/csl-citation.json"}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(74)</w:t>
      </w:r>
      <w:r>
        <w:rPr>
          <w:rFonts w:ascii="times new roman" w:hAnsi="times new roman"/>
        </w:rPr>
      </w:r>
      <w:r>
        <w:rPr>
          <w:rFonts w:ascii="times new roman" w:hAnsi="times new roman"/>
        </w:rPr>
        <w:fldChar w:fldCharType="end"/>
      </w:r>
      <w:r>
        <w:rPr>
          <w:rFonts w:ascii="times new roman" w:hAnsi="times new roman"/>
        </w:rPr>
        <w:t xml:space="preserve"> and his work on a forthcoming open access book “Advanced Accessibility Analysis with R”. These skills mean that EquiTransit is well-grounded for developing theoretically-informed equity indicators, for conducting comparable analyses across Canadian metropolitan areas, and for communicating complex patterns through accessible analytical tools.</w:t>
      </w:r>
    </w:p>
    <w:p xmlns:wp14="http://schemas.microsoft.com/office/word/2010/wordml" w14:paraId="3F885C59" wp14:textId="77777777">
      <w:pPr>
        <w:pStyle w:val="Normal"/>
        <w:rPr>
          <w:rFonts w:ascii="times new roman" w:hAnsi="times new roman"/>
        </w:rPr>
      </w:pPr>
      <w:r>
        <w:rPr>
          <w:rFonts w:ascii="times new roman" w:hAnsi="times new roman" w:eastAsia="Times New Roman" w:cs="Times New Roman"/>
          <w:b/>
          <w:bCs/>
          <w:u w:val="single"/>
        </w:rPr>
        <w:t>Moataz MOHAMED</w:t>
      </w:r>
      <w:r>
        <w:rPr>
          <w:rFonts w:ascii="times new roman" w:hAnsi="times new roman" w:eastAsia="Times New Roman" w:cs="Times New Roman"/>
        </w:rPr>
        <w:t xml:space="preserve"> is an expert in developing and evaluating indicators of transit service performance and quality from both operator and rider perspectives </w:t>
      </w:r>
      <w:r>
        <w:fldChar w:fldCharType="begin"/>
      </w:r>
      <w:r>
        <w:rPr>
          <w:rFonts w:ascii="times new roman" w:hAnsi="times new roman" w:eastAsia="Times New Roman" w:cs="Times New Roman"/>
        </w:rPr>
        <w:instrText xml:space="preserve">ADDIN ZOTERO_ITEM CSL_CITATION {"citationID":"QAGWsVRo","properties":{"unsorted":false,"formattedCitation":"(78\\uc0\\u8211{}80)","plainCitation":"(78–80)","noteIndex":0},"citationItems":[{"id":965,"uris":["http://zotero.org/groups/6563173/items/CQNMIXES"],"itemData":{"id":965,"type":"article-journal","abstract":"The bus quality-management process continues to be a key area of investigation for all stakeholders. There is a clear imperative for developing comprehensive quality-monitoring schemes in order to improve service quality with sufficient appeal to attract more users and reduce car dependency. However, one of the main obstacles in the quality-management process is the identification of a concise set of quality indicators that captures the multidimensionality of the service quality (subjective and objective) and considers the perspectives of all stakeholders. Therefore, this paper develops an integrated set of bus quality indicators that considers the perspectives of all stakeholders and combines both subjective and objective parameters of the service quality. The paper uses the data of 456 questionnaires distributed across the UK, and the final list of quality indicators is derived through multi-perspective analysis of the perspectives of academics, local authorities, operators, current users and potential users towards the relevance to application of a wide range of indicators. The results of the paper provide policy makers and operators with clear indications for the desired quality indicators that can readily be implemented for quality monitoring and benchmarking.","citation-key":"mahmoudStakeholdersPerspectivesBus2014","container-title":"Proceedings of the Institution of Civil Engineers - Transport","DOI":"10.1680/tran.11.00083","ISSN":"0965-092X, 1751-7710","issue":"3","journalAbbreviation":"Proceedings of the Institution of Civil Engineers - Transport","language":"en","page":"156-177","source":"DOI.org (Crossref)","title":"Stakeholders' perspectives towards bus quality indicators","volume":"167","author":[{"family":"Mahmoud","given":"Moataz"},{"family":"Hine","given":"Julian"},{"family":"Kashyap","given":"Anil"}],"issued":{"date-parts":[["2014",6]]}}},{"id":967,"uris":["http://zotero.org/groups/6563173/items/LI74968W"],"itemData":{"id":967,"type":"article-journal","citation-key":"tasnimFixedrouteDemandresponsiveTransit2026","container-title":"Journal of Public Transportation","DOI":"10.1016/j.jpubtr.2026.100161","ISSN":"1077291X","journalAbbreviation":"Journal of Public Transportation","language":"en","page":"100161","source":"DOI.org (Crossref)","title":"Fixed-route or demand-responsive transit? An evaluation framework for transit service structures using dual-perspective indicators","title-short":"Fixed-route or demand-responsive transit?","volume":"28","author":[{"family":"Tasnim","given":"Sadia"},{"family":"Mohamed","given":"Moataz"}],"issued":{"date-parts":[["2026"]]}}},{"id":966,"uris":["http://zotero.org/groups/6563173/items/4NZXE4WE"],"itemData":{"id":966,"type":"article-journal","citation-key":"eldeebConsumersOrientedInvestments2022","container-title":"Research in Transportation Economics","DOI":"10.1016/j.retrec.2021.101175","ISSN":"07398859","journalAbbreviation":"Research in Transportation Economics","language":"en","page":"101175","source":"DOI.org (Crossref)","title":"Consumers oriented investments in transit service quality improvements: The best bang for your buck","title-short":"Consumers oriented investments in transit service quality improvements","volume":"94","author":[{"family":"Eldeeb","given":"Gamal"},{"family":"Mohamed","given":"Moataz"}],"issued":{"date-parts":[["2022",9]]}}}],"schema":"https://github.com/citation-style-language/schema/raw/master/csl-citation.json"}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kern w:val="0"/>
        </w:rPr>
        <w:t>(78–80)</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He has led qualitative and mixed-methods investigations into the needs of current and potential riders of transit, including grounded-theory studies of the barriers travelers face </w:t>
      </w:r>
      <w:r>
        <w:fldChar w:fldCharType="begin"/>
      </w:r>
      <w:r>
        <w:rPr>
          <w:rFonts w:ascii="times new roman" w:hAnsi="times new roman" w:eastAsia="Times New Roman" w:cs="Times New Roman"/>
        </w:rPr>
        <w:instrText xml:space="preserve">ADDIN ZOTERO_ITEM CSL_CITATION {"citationID":"o3FHSuPB","properties":{"unsorted":false,"formattedCitation":"(81,82)","plainCitation":"(81,82)","noteIndex":0},"citationItems":[{"id":963,"uris":["http://zotero.org/groups/6563173/items/XJY8PTTE"],"itemData":{"id":963,"type":"article-journal","citation-key":"eldeebWhatUsersWant2023","container-title":"Transportation Research Part A: Policy and Practice","DOI":"10.1016/j.tra.2023.103649","ISSN":"09658564","journalAbbreviation":"Transportation Research Part A: Policy and Practice","language":"en","page":"103649","source":"DOI.org (Crossref)","title":"What do users want from transit? Qualitative analysis of current and potential users' perceptions","title-short":"What do users want from transit?","volume":"171","author":[{"family":"Eldeeb","given":"Gamal"},{"family":"Sears","given":"Sean"},{"family":"Mohamed","given":"Moataz"}],"issued":{"date-parts":[["2023",5]]}}},{"id":974,"uris":["http://zotero.org/groups/6563173/items/YEDPE48L"],"itemData":{"id":974,"type":"article-journal","abstract":"This paper investigates stakeholder’s perspectives about freight congestion in Canada’s major metropolitan regions. Interviews with 28 Canadian stakeholders from different sectors are analyzed using Strauss/Corbin extended approach of symbolic interactionism with the objective of producing an explanatory theory to identify barriers to freight in Canada. By integrating emergent categories with a structured framework of theoretical propositions, we are able to offer insights to understand the perceived barriers to goods movement in the Canadian landscape, as well as to detail a framework of interventions to improve freight mobility. In total, 50 themes emerged as barriers to the movement of goods, which were grouped into nine subcategories, and four overarching categories which broadly frame the issues of goods movements as relating to high infrastructure utilization (Infrastructure Demand Outstripping Supply), the cost impacts of diminishing reliability of distribution (Physical Distribution Headwinds Impeding Commerce), rapidly growing regions and ineffective or absent policy support (Urgent Regulatory Encumbrances), and a lack of a robust data collection, analysis, and information sharing framework (Information and Data Management Complexities). These categories were considered in the frame of addressing goods movement barriers and were argued to be influenced by factors of cost, political risk, implement-ability, and maintainability. A framework was developed identifying four high-level interventions: data and knowledge mobilization; public-private collaborative freight evaluations; government funding and political support; and, capacity alterations: improvements and expansions. The key concepts of the framework are to collect and analyze data to inform public-private stakeholder evaluations of policy interventions, with government funding to support both knowledge generation efforts, policy actions and capacity investments. There is a significant need to expand data collection and information sharing, focus infrastructure investments on public transit and intermodal accessibility, and integrated policy development towards transportation and land use planning to address the physical and policy barriers affecting freight mobility and congestion. The emergent theory is contrasted with selected global regions to assess generalizability and the relevance of international perspectives to the Canadian environment.","citation-key":"searsPerceivedBarriersMovement2022","container-title":"Transportation Research Part A: Policy and Practice","DOI":"https://doi.org/10.1016/j.tra.2022.05.011","ISSN":"0965-8564","page":"27-45","title":"Perceived barriers to the movement of goods in Canada: A grounded theory investigation","volume":"162","author":[{"family":"Sears","given":"Sean"},{"family":"Moataz","given":"Mohamed"},{"family":"Ferguson","given":"Mark"},{"family":"Razavi","given":"Saiedeh"},{"family":"Páez","given":"Antonio"}],"issued":{"date-parts":[["2022",8,1]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(81,82)</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As well, he has studied the satisfaction of transit users among population with distinct mobility needs </w:t>
      </w:r>
      <w:r>
        <w:fldChar w:fldCharType="begin"/>
      </w:r>
      <w:r>
        <w:rPr>
          <w:rFonts w:ascii="times new roman" w:hAnsi="times new roman" w:eastAsia="Times New Roman" w:cs="Times New Roman"/>
        </w:rPr>
        <w:instrText xml:space="preserve">ADDIN ZOTERO_ITEM CSL_CITATION {"citationID":"EiZeekDr","properties":{"unsorted":false,"formattedCitation":"(83)","plainCitation":"(83)","noteIndex":0},"citationItems":[{"id":962,"uris":["http://zotero.org/groups/6563173/items/ET5WUFLW"],"itemData":{"id":962,"type":"article-journal","abstract":"Public transit may be a low-cost and environmentally friendly way for older adults to maintain independent mobility as they age, and yet little is known about older adults’ transit travel behaviours or travel satisfaction. To address this research gap, this paper explores older people’s (60+) responses to a travel survey on the Hamilton Street Railway (HSR). Distributed in 2019 to residents of Hamilton, Ontario, 5844 people responded to the survey, 1002 of which were aged 60 years or older. Descriptive statistics were conducted to assess older adults’ responses, as well as to compare these responses to respondents aged 18–59 years. A thematic analysis of responses to an open-ended question was also completed. The results indicate that older adults are more frequently occasional transit users (monthly, annually) than younger people who more frequently use the bus daily. Older adults are also more satisfied with the transit service than those aged 18–59 years. Older respondents were least satisfied with comfort amenities at bus stops and shelters and bus crowdedness. However, their satisfaction with these aspects of the service is not statistically significantly different from younger adults. From the thematic analysis, the top barrier shared by older adults is related to accessing the transit service. Across older adults, women, employed people, and those without a car or a driver’s license were more likely to be frequent transit riders. Taken together, this paper sheds light on an understudied population’s transit experiences and can be used to inform policy on how to make public transit more age-friendly.","citation-key":"ravensbergenMixedmethodsInvestigationOlder2023","container-title":"Travel Behaviour and Society","DOI":"10.1016/j.tbs.2023.100577","ISSN":"2214-367X","journalAbbreviation":"Travel Behaviour and Society","page":"100577","source":"ScienceDirect","title":"A mixed-methods investigation of older adults’ public transit use and travel satisfaction","volume":"32","author":[{"family":"Ravensbergen","given":"Léa"},{"family":"Varickanickal","given":"Joann"},{"family":"Newbold","given":"K. Bruce"},{"family":"Mohamed","given":"Moataz"}],"issued":{"date-parts":[["2023",7,1]]}}}],"schema":"https://github.com/citation-style-language/schema/raw/master/csl-citation.json"}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(83)</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Mohamed is an expert in travel behaviour and preference heterogeneity across rider personas and generational cohorts </w:t>
      </w:r>
      <w:r>
        <w:fldChar w:fldCharType="begin"/>
      </w:r>
      <w:r>
        <w:rPr>
          <w:rFonts w:ascii="times new roman" w:hAnsi="times new roman" w:eastAsia="Times New Roman" w:cs="Times New Roman"/>
        </w:rPr>
        <w:instrText xml:space="preserve">ADDIN ZOTERO_ITEM CSL_CITATION {"citationID":"0ALrJMiv","properties":{"unsorted":false,"formattedCitation":"(84\\uc0\\u8211{}86)","plainCitation":"(84–86)","noteIndex":0},"citationItems":[{"id":959,"uris":["http://zotero.org/groups/6563173/items/DRJKFSAP"],"itemData":{"id":959,"type":"article-journal","abstract":"The study aims at utilizing a persona-based approach in understanding, and further quantifying, the preferences of the key transit market groups and estimating their willingness to pay (WTP) for service improvements. The study adopted an Error Component (EC) interaction choice model to investigate personas’ preferences in a bus service desired quality choice experiment. Seven personas were developed based on four primary characteristics: travel behaviour, employment status, geographical distribution, and Perceived Behavioural Control (PBC). The study utilized a dataset of 5238 participants elicited from the Hamilton Street Railway Public Engagement Survey, Ontario, Canada. The results show that all personas, albeit significantly different in magnitude, are negatively affected by longer journey times, higher trip fares, longer service headways, while positively affected by reducing the number of transfers per trip and real-time information provision. The WTP estimates show that, in general, potential users are more likely to have higher WTP values compared to current users except for at-stop real-time information provision. Also, there is no consensus within current users nor potential users on the WTP estimates for service improvements. Finally, shared and unique preferences for service attributes among personas were identified to help transit agencies tailor their marketing/improvement plans based on the targeted segments.","citation-key":"eldeebUnderstandingTransitMarket2020","container-title":"Sustainability","DOI":"10.3390/su12093863","ISSN":"2071-1050","issue":"9","language":"en","license":"https://creativecommons.org/licenses/by/3.0/","publisher":"Multidisciplinary Digital Publishing Institute","source":"www.mdpi.com","title":"Understanding the Transit Market: A Persona-Based Approach for Preferences Quantification","title-short":"Understanding the Transit Market","URL":"https://www.mdpi.com/2071-1050/12/9/3863","volume":"12","author":[{"family":"Eldeeb","given":"Gamal"},{"family":"Mohamed","given":"Moataz"}],"accessed":{"date-parts":[["2026",9,21]]},"issued":{"date-parts":[["2020",5,8]]}}},{"id":961,"uris":["http://zotero.org/groups/6563173/items/KSFEXUVK"],"itemData":{"id":961,"type":"article-journal","abstract":"The study aims at quantifying the influence of subjective psychological factors on shaping customers’ preferences towards transit service attributes. In addition, the study examines the association between customers’ subjective psychological tendencies and socioeconomic characteristics. A dataset of 1,241 potential transit users is explored through an Error Components (EC) logit model with systematic taste variations and multivariate analysis of variance (MANOVA). The results quantified the influence of subjective psychological aspects on customers’ preferences towards various transit service attributes and concluded the power of psychological aspects in explaining preference heterogeneity. For instance, environmentally conscious customers are more tolerant towards walking time to/from bus stops and have a higher appreciation of at-stop real-time information provision than others. Further, the multivariate analysis of variance highlighted that customers’ psychological factors vary significantly across their socioeconomic characteristics. For example, young customers are more environmentally conscious and have higher perceived behaviour control and social norms towards transit than old and middle-aged customers. Overall, the findings provide research-based evidence to practitioners and policymakers on the dire need to jointly considering both psychological and utilitarian aspects in evaluating the desired quality from public transit.","citation-key":"eldeebHowPsychologicalFactors2022","container-title":"Case Studies on Transport Policy","DOI":"10.1016/j.cstp.2022.03.003","ISSN":"2213-624X","issue":"2","journalAbbreviation":"Case Studies on Transport Policy","page":"905-914","source":"ScienceDirect","title":"How do psychological factors sway customers' preferences towards transit service attributes?","volume":"10","author":[{"family":"Eldeeb","given":"Gamal"},{"family":"Mohamed","given":"Moataz"}],"issued":{"date-parts":[["2022",6,1]]}}},{"id":960,"uris":["http://zotero.org/groups/6563173/items/HYZI5M8K"],"itemData":{"id":960,"type":"article-journal","abstract":"This study aims at quantifying preference heterogeneity in transit service desired quality to better-informing service quality improvements. The analysis is performed using a validated dataset elicited from 906 respondents through an online survey. An unlabelled Stated Preference (SP) experiment was utilized in a Latent class Choice Model (LCM), and an Error Components interaction model. The results of the EC interaction model revealed preference heterogeneity due to differences in respondents’ socioeconomic and behavioural characteristics. While the results of the LCM untapped vital information that has not been reported previously in the transit service quality literature. Unlike the traditional user type classification, our study classifies respondents into three segments: Direct Trip Enthusiastic (DTE), Cost-Sensitive (CS), and Real-time Information Supporter (RIS). Each segment exhibits different preferences for transit service attributes, and their willingness to pay for service improvements is distinctly different. Further, the LCM indicates that the heterogeneity of users’ preferences is not explicit in their usage pattern nor accessibility to different travel modes; instead, it is a bundle of various parameters.","citation-key":"eldeebQuantifyingPreferenceHeterogeneity2020","container-title":"Transportation Research Part A: Policy and Practice","DOI":"10.1016/j.tra.2020.07.006","ISSN":"0965-8564","journalAbbreviation":"Transportation Research Part A: Policy and Practice","page":"119-133","source":"ScienceDirect","title":"Quantifying preference heterogeneity in transit service desired quality using a latent class choice model","volume":"139","author":[{"family":"Eldeeb","given":"Gamal"},{"family":"Mohamed","given":"Moataz"}],"issued":{"date-parts":[["2020",9,1]]}}}],"schema":"https://github.com/citation-style-language/schema/raw/master/csl-citation.json"}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kern w:val="0"/>
        </w:rPr>
        <w:t>(84–86)</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and in the development of accessibility and spatial-analysis measures for transportation </w:t>
      </w:r>
      <w:r>
        <w:fldChar w:fldCharType="begin"/>
      </w:r>
      <w:r>
        <w:rPr>
          <w:rFonts w:ascii="times new roman" w:hAnsi="times new roman" w:eastAsia="Times New Roman" w:cs="Times New Roman"/>
        </w:rPr>
        <w:instrText xml:space="preserve">ADDIN ZOTERO_ITEM CSL_CITATION {"citationID":"9Yy8hGqw","properties":{"unsorted":false,"formattedCitation":"(70,87,88)","plainCitation":"(70,87,88)","noteIndex":0},"citationItems":[{"id":958,"uris":["http://zotero.org/groups/6563173/items/GL7GKN5R"],"itemData":{"id":958,"type":"article-journal","citation-key":"eldeebBuiltActiveTravel2021","container-title":"Journal of Transport Geography","DOI":"10.1016/j.jtrangeo.2021.103158","ISSN":"09666923","journalAbbreviation":"Journal of Transport Geography","language":"en","page":"103158","source":"DOI.org (Crossref)","title":"Built for active travel? Investigating the contextual effects of the built environment on transportation mode choice","title-short":"Built for active travel?","volume":"96","author":[{"family":"Eldeeb","given":"Gamal"},{"family":"Mohamed","given":"Moataz"},{"family":"Páez","given":"Antonio"}],"issued":{"date-parts":[["2021",10]]}}},{"id":957,"uris":["http://zotero.org/groups/6563173/items/NQRLSSNH"],"itemData":{"id":957,"type":"article-journal","citation-key":"higginsAccessibilityAirPollution2018","page":"177-191","publisher":"Land Use Policy","title":"Accessibility, Air Pollution, and Net Land Value Uplift from Highway Infrastructure","volume":"84","author":[{"family":"Higgins","given":"Christopher D"},{"family":"Adams","given":"Matthew D"},{"family":"Réquia","given":"Weeberb"},{"family":"Mohamed","given":"Moataz"}],"issued":{"date-parts":[["2018"]]}}},{"id":978,"uris":["http://zotero.org/groups/6563173/items/KXIK5WFU"],"itemData":{"id":978,"type":"article-journal","citation-key":"Accessibility","container-title":"Plos One","DOI":"10.1371/journal.pone.0278468","ISSN":"1932-6203","issue":"1","page":"e0278468","title":"Introducing spatial availability, a singly-constrained measure of competitive accessibility","volume":"18","author":[{"family":"Soukhov","given":"Anastasia"},{"family":"Páez","given":"Antonio"},{"family":"Higgins","given":"Christopher D."},{"family":"Mohamed","given":"Moataz"}],"issued":{"date-parts":[["2023"]]}}}],"schema":"https://github.com/citation-style-language/schema/raw/master/csl-citation.json"}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(70,87,88)</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He has direct experience translating research into open, web-based decision-support tools for public agencies and practitioners, including work applying open-source data and machine learning to inform transportation decision-making </w:t>
      </w:r>
      <w:r>
        <w:fldChar w:fldCharType="begin"/>
      </w:r>
      <w:r>
        <w:rPr>
          <w:rFonts w:ascii="times new roman" w:hAnsi="times new roman" w:eastAsia="Times New Roman" w:cs="Times New Roman"/>
        </w:rPr>
        <w:instrText xml:space="preserve">ADDIN ZOTERO_ITEM CSL_CITATION {"citationID":"f6lXPwa5","properties":{"unsorted":false,"formattedCitation":"(89)","plainCitation":"(89)","noteIndex":0},"citationItems":[{"id":950,"uris":["http://zotero.org/groups/6563173/items/I7P2KLSZ"],"itemData":{"id":950,"type":"article-journal","citation-key":"shehabeldeenFactorsInfluencingElectric2026","DOI":"https://doi.org/10.1177/03611981251368317","issue":"2","page":"948-966","publisher":"Transportation Research Record: Journal of the Transportation Research Board","title":"Factors Influencing Electric Vehicle Adoption: Coupling Machine Learning Models and Open-Source Data - Ali Shehabeldeen, Moataz Mohamed, 2026","volume":"2680","author":[{"family":"Shehabeldeen","given":"Ali"},{"family":"Mohamed","given":"Moataz"}],"issued":{"date-parts":[["2026"]]}}}],"schema":"https://github.com/citation-style-language/schema/raw/master/csl-citation.json"}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(89)</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He has developed public-facing tools for the Ontario Ministry of Transportation. Currently, Mohamed is Director of the McMaster Institute for Transportation &amp; Logistics and PI/Co-PI on a portfolio of NSERC-, NRCan-, and municipally funded projects on electric and zero-emission transit system planning, resilience, and equitable transit service design.</w:t>
      </w:r>
    </w:p>
    <w:p xmlns:wp14="http://schemas.microsoft.com/office/word/2010/wordml" w14:paraId="37F9E6B4" wp14:textId="77777777">
      <w:pPr>
        <w:pStyle w:val="Normal"/>
        <w:spacing w:line="240" w:lineRule="auto"/>
        <w:rPr>
          <w:rFonts w:ascii="times new roman" w:hAnsi="times new roman"/>
        </w:rPr>
      </w:pPr>
      <w:r>
        <w:rPr>
          <w:rFonts w:ascii="times new roman" w:hAnsi="times new roman"/>
          <w:b/>
          <w:bCs/>
          <w:u w:val="single"/>
        </w:rPr>
        <w:t>Antonio PÁEZ</w:t>
      </w:r>
      <w:r>
        <w:rPr>
          <w:rFonts w:ascii="times new roman" w:hAnsi="times new roman"/>
        </w:rPr>
        <w:t xml:space="preserve"> (Principal Investigator) has extensive experience with the study of the transportation challenges faced by transport-poor populations, including older adults </w:t>
      </w:r>
      <w:r>
        <w:fldChar w:fldCharType="begin"/>
      </w:r>
      <w:r>
        <w:rPr>
          <w:rFonts w:ascii="times new roman" w:hAnsi="times new roman"/>
        </w:rPr>
        <w:instrText xml:space="preserve">ADDIN ZOTERO_ITEM CSL_CITATION {"citationID":"YOoOHzU8","properties":{"unsorted":false,"formattedCitation":"(90\\uc0\\u8211{}93)","plainCitation":"(90–93)","noteIndex":0},"citationItems":[{"id":991,"uris":["http://zotero.org/groups/6563173/items/DF4XBXDP"],"itemData":{"id":991,"type":"article-journal","abstract":"The objective of this paper is to investigate the attributes of walkable environments from the perspective of seniors in the Island of Montreal in Quebec, Canada. The research is based on a combination of statistical analysis of travel diary data and field work to conduct walkability audits. The approach follows a sequence of logical steps. The first step involves the estimation of a travel behavior model walking by seniors (people 65 years or older). The results of this model, in combination with cluster analysis, are used to identify sites where the model systematically under- or over-predicts walking. Subsequently, sites are targeted for walkability audits. It then becomes possible to assess the presence or absence of attributes of built environments where walking is more or less common than other factors would predict. A walkability audit of 403 street segments was used to proof the concept in this paper. The audited items were summarized in contingency tables and tested with the chi-squared test of independence to identify streetscape elements that correlate with walking for transportation. (C) 2015 Elsevier Ltd. All rights reserved.","citation-key":"moniruzzamanInvestigationAttributesWalkable2016","container-title":"Journal of Transport Geography","DOI":"10.1016/j.jtrangeo.2015.12.001","ISSN":"0966-6923","language":"English","page":"85-96","title":"An investigation of the attributes of walkable environments from the perspective of seniors in Montreal","volume":"51","author":[{"family":"Moniruzzaman","given":"M."},{"family":"Paez","given":"A."}],"issued":{"date-parts":[["2016",2]]}}},{"id":990,"uris":["http://zotero.org/groups/6563173/items/9E6DVFME"],"itemData":{"id":990,"type":"article-journal","abstract":"With the graying of populations across the world, the travel behavior of seniors has become a topic of growing interest in planning and research. Most attention in the field of transportation has been devoted to motorized travel. However, the use of various modes of transportation, including nonmotorized travel, remains to be fully investigated. In this paper the multimodal trip generation of seniors in Montreal Island is studied. Personal, mobility tools, neighborhood, and accessibility variables are considered in a trivariate ordered probit model of three modes: car, transit, and walking. Geographical analysis of the walking component of the model helps to identify locations within the region where walking is more or less prevalent among older adults.","citation-key":"moniruzzamanTripGenerationSeniors2015","container-title":"Environment and Planning A","DOI":"10.1068/a130070p","ISSN":"0308-518X","issue":"4","language":"English","page":"957-976","title":"Trip generation of seniors and the geography of walking in Montreal","volume":"47","author":[{"family":"Moniruzzaman","given":"M."},{"family":"Paez","given":"A."},{"family":"Scott","given":"D."},{"family":"Morency","given":"C."}],"issued":{"date-parts":[["2015"]]}}},{"id":989,"uris":["http://zotero.org/groups/6563173/items/NXTDMD9J"],"itemData":{"id":989,"type":"article-journal","abstract":"BACKGROUND:Geographical access to health care facilities is known to influence health services usage. As societies age, accessibility to health care becomes an increasingly acute public health concern. It is known that seniors tend to have lower mobility levels, and it is possible that this may negatively affect their ability to reach facilities and services. Therefore, it becomes important to examine the mobility situation of seniors vis-a-vis the spatial distribution of health care facilities, to identify areas where accessibility is low and interventions may be required.METHODS:Accessibility is implemented using a cumulative opportunities measure. Instead of assuming a fixed bandwidth (i.e. a distance threshold) for measuring accessibility, in this paper the bandwidth is defined using model-based estimates of average trip length. Average trip length is an all-purpose indicator of individual mobility and geographical reach. Adoption of a spatial modelling approach allows us to tailor these estimates of travel behaviour to specific locations and person profiles. Replacing a fixed bandwidth with these estimates permits us to calculate customized location- and person-based accessibility measures that allow inter-personal as well as geographical comparisons. Data The case study is Montreal Island. Geo-coded travel behaviour data, specifically average trip length, and relevant traveller's attributes are obtained from the Montreal Household Travel Survey. These data are complemented with information from the Census. Health care facilities, also geo-coded, are extracted from a comprehensive business point database. Health care facilities are selected based on Standard Industrial Classification codes 8011-21 (Medical Doctors and Dentists).RESULTS:Model-based estimates of average trip length show that travel behaviour varies widely across space. With the exception of seniors in the downtown area, older residents of Montreal Island tend to be significantly less mobile than people of other age cohorts. The combination of average trip length estimates with the spatial distribution of health care facilities indicates that despite being more mobile, suburban residents tend to have lower levels of accessibility compared to central city residents. The effect is more marked for seniors. Furthermore, the results indicate that accessibility calculated using a fixed bandwidth would produce patterns of exposure to health care facilities that would be difficult to achieve for suburban seniors given actual mobility patterns.CONCLUSIONS:The analysis shows large disparities in accessibility between seniors and non-seniors, between urban and suburban seniors, and between vehicle owning and non-owning seniors. This research was concerned with potential accessibility levels. Follow up research could consider the results reported here to select case studies of actual access and usage of health care facilities, and related health outcomes","citation-key":"paezAccessibilityHealthCare2010","container-title":"International Journal of Health Geographics","issue":"52","page":"1-9","title":"Accessibility to health care facilities in Montreal Island: An application of relative accessibility indicators from the perspective of senior and non-senior residents","volume":"9","author":[{"family":"Páez","given":"Antonio"},{"family":"Mercado","given":"Ruben"},{"family":"Farber","given":"Steven"},{"family":"Morency","given":"Catherine"},{"family":"Roorda","given":"Matthew"}],"issued":{"date-parts":[["2010"]]}}},{"id":994,"uris":["http://zotero.org/groups/6563173/items/LXWZ8BTF"],"itemData":{"id":994,"type":"article-journal","abstract":"Recent interest in the urban transport challenges posed by the demographic outlook of ageing societies has prompted a growing body of scholarship on the subject. The focus of this paper is on the topic of elderly trip generation and the development of models to help formalise some important relationships between trip-making behaviour and personal, household and contextual variables (such as location). The case study is the Hamilton Metropolitan Area-an important functional component of Greater Toronto, itself one of the regions in Canada where the impact of ageing is expected to be most strongly felt. Using data from Toronto's Transport Tomorrow Survey and mixed ordered probit models, the study investigates the question of spatial and demographic variability in trip-making behaviour. The results support the proposition that trip-making propensity decreases with age. However, it is also found that this behaviour is not spatially homogeneous and in fact exhibits a large degree of variability-a finding that highlights both the challenges of planning transport for the elderly and the potential of spatial analytical approaches to improve transport modelling practice.","citation-key":"paezElderlyMobilityDemographic2007","container-title":"Urban Studies","DOI":"10.1080/00420980601023885","ISSN":"0042-0980","issue":"1","page":"123-146","title":"Elderly mobility: Demographic and spatial analysis of trip making in the Hamilton CMA, Canada","volume":"44","author":[{"family":"Paez","given":"A."},{"family":"Scott","given":"D."},{"family":"Potoglou","given":"D."},{"family":"Kanaroglou","given":"P."},{"family":"Newbold","given":"K. B."}],"issued":{"date-parts":[["2007",1]]}}}],"schema":"https://github.com/citation-style-language/schema/raw/master/csl-citation.json"}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kern w:val="0"/>
        </w:rPr>
        <w:t>(90–93)</w:t>
      </w:r>
      <w:r>
        <w:rPr>
          <w:rFonts w:ascii="times new roman" w:hAnsi="times new roman"/>
        </w:rPr>
      </w:r>
      <w:r>
        <w:rPr>
          <w:rFonts w:ascii="times new roman" w:hAnsi="times new roman"/>
        </w:rPr>
        <w:fldChar w:fldCharType="end"/>
      </w:r>
      <w:r>
        <w:rPr>
          <w:rFonts w:ascii="times new roman" w:hAnsi="times new roman"/>
        </w:rPr>
        <w:t xml:space="preserve">, single parents </w:t>
      </w:r>
      <w:r>
        <w:fldChar w:fldCharType="begin"/>
      </w:r>
      <w:r>
        <w:rPr>
          <w:rFonts w:ascii="times new roman" w:hAnsi="times new roman"/>
        </w:rPr>
        <w:instrText xml:space="preserve">ADDIN ZOTERO_ITEM CSL_CITATION {"citationID":"GGC7xUTW","properties":{"unsorted":false,"formattedCitation":"(94,95)","plainCitation":"(94,95)","noteIndex":0},"citationItems":[{"id":993,"uris":["http://zotero.org/groups/6563173/items/VEQBHTSM"],"itemData":{"id":993,"type":"article-journal","abstract":"This paper provides an analysis of trip generation of three vulnerable groups: single-parent families, low income households, and the elderly. It compares the mobility of these groups to that of the general population in three Canadian urban areas of Hamilton, Montreal and Toronto, based on data from large-sample metropolitan transport surveys. An ordered probit model with spatially expanded coefficients is used for the analysis. Spatial expansion shows that there are spatial mobility trends for elderly populations and low-income populations even after socio-economic attributes are accounted for. Such spatial differences are not generally found for single parent families. This novel spatial analysis provides clues as to where vulnerable populations may experience greater degrees of social exclusion. It provides information to help prioritize transportation infrastructure projects or other social programs to take into account the needs of vulnerable populations with the lowest levels of mobility.","citation-key":"roordaTripGenerationVulnerable2010","container-title":"Transportation","DOI":"10.1007/s11116-010-9263-3","ISSN":"0049-4488","issue":"3","page":"525-548","title":"Trip generation of vulnerable populations in three Canadian cities: a spatial ordered probit approach","volume":"37","author":[{"family":"Roorda","given":"M. J."},{"family":"Paez","given":"A."},{"family":"Morency","given":"C."},{"family":"Mercado","given":"R."},{"family":"Farber","given":"S."}],"issued":{"date-parts":[["2010",5]]}}},{"id":992,"uris":["http://zotero.org/groups/6563173/items/HDZ92R3M"],"itemData":{"id":992,"type":"article-journal","abstract":"In this article, we undertake an analysis of accessibility to jobs from the perspective of single-parent household members. Individuals in this demographic segment are of interest due to the fact they often face the double burden of household and employment responsibilities. A case study of the city of Toronto in Canada, an urban area that has seen an increase in absolute and relative numbers of single-parent households in recent years, is presented. Analysis is based on the application of relative accessibility deprivation indicators (RADI), which are calculated using model-based estimates of distance traveled for various population segments, as well as employment data for the city and its surroundings. The results of the analysis indicate that there are substantial differences in the levels of accessibility to jobs between members of single-parent households, in particular females, and members of other types of households.","citation-key":"paezJobsSingleParent2013","container-title":"Urban Geography","DOI":"10.1080/02723638.2013.778600","ISSN":"0272-3638","issue":"6","page":"815-842","publisher":"Routledge","source":"Taylor and Francis+NEJM","title":"Jobs and the Single Parent: An Analysis of Accessibility to Employment in Toronto","title-short":"Jobs and the Single Parent","volume":"34","author":[{"family":"Páez","given":"Antonio"},{"family":"Farber","given":"Steven"},{"family":"Mercado","given":"Ruben"},{"family":"Roorda","given":"Matthew"},{"family":"Morency","given":"Catherine"}],"issued":{"date-parts":[["2013",9,1]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(94,95)</w:t>
      </w:r>
      <w:r>
        <w:rPr>
          <w:rFonts w:ascii="times new roman" w:hAnsi="times new roman"/>
        </w:rPr>
      </w:r>
      <w:r>
        <w:rPr>
          <w:rFonts w:ascii="times new roman" w:hAnsi="times new roman"/>
        </w:rPr>
        <w:fldChar w:fldCharType="end"/>
      </w:r>
      <w:r>
        <w:rPr>
          <w:rFonts w:ascii="times new roman" w:hAnsi="times new roman"/>
        </w:rPr>
        <w:t xml:space="preserve">, and children </w:t>
      </w:r>
      <w:r>
        <w:fldChar w:fldCharType="begin"/>
      </w:r>
      <w:r>
        <w:rPr>
          <w:rFonts w:ascii="times new roman" w:hAnsi="times new roman"/>
        </w:rPr>
        <w:instrText xml:space="preserve">ADDIN ZOTERO_ITEM CSL_CITATION {"citationID":"62vkpcOf","properties":{"unsorted":false,"formattedCitation":"(96\\uc0\\u8211{}98)","plainCitation":"(96–98)","noteIndex":0},"citationItems":[{"id":988,"uris":["http://zotero.org/groups/6563173/items/3UM24YHI"],"itemData":{"id":988,"type":"article-journal","abstract":"Parks are elemental components of urban landscapes that provide environmental and social function value. In particular, urban parks provide spaces for open-air physical activity. In order to enjoy the opportunities for activities in parks, users must have reasonable access to these resources. A starting point for inquiries about utilization and potential benefits of urban green spaces is an assessment of their geographical accessibility. Of particular interest, in terms of potential users of parks, are children, whose geographical range is limited by their ability to traverse space using nonmotorized modes of transportation, or by their dependence on adults for common forms of motorized mobility. The objective of this paper is to measure accessibility to urban parks from the perspective of children traveling by walking in Montreal, Canada. Implementation of accessibility measures is supported by statistical analysis of trip length using Montreal's 2008 Household Travel Surveys database. Estimates of trip length based on attributes such as age, gender, income class, family structure, as well as geographical location are used to calculate accessibility to urban parks. We evaluate the relationship between the distribution of children population and conditions of accessibility to urban parks to understand the potential for use and possible spatial disparities in the distribution of urban parks. This research contributes to the assessment of the distribution of access to urban parks by children, and can assist planners and policy makers to improve the supply of parks, while accounting for the mobility patterns of children. (C) 2014 Elsevier B.V. All rights reserved.","citation-key":"Accessibility","container-title":"Landscape and Urban Planning","DOI":"10.1016/j.landurbplan.2014.02.002","ISSN":"0169-2046","language":"English","page":"38-47","title":"Walking accessibility to urban parks by children: A case study of Montreal","volume":"125","author":[{"family":"Reyes","given":"M."},{"family":"Paez","given":"A."},{"family":"Morency","given":"C."}],"issued":{"date-parts":[["2014",5]]}}},{"id":987,"uris":["http://zotero.org/groups/6563173/items/L3IJUVVQ"],"itemData":{"id":987,"type":"article-journal","abstract":"Children are often overlooked in transportation decision-making processes, which typically prioritize adult needs and capacities. Adult-exclusive modes (motor vehicles) limit children’s independent accessibility as they create traffic danger. The objective of this study is to estimate children’s (aged 8–12) walking accessibility to child-relevant destinations when traffic danger is accounted for. Accessibility to child-relevant destinations is estimated without taking into account traffic danger and when traffic danger is considered. The results find that due to traffic danger, children’s walking accessibility is estimated to be reduced by at least 75 %. When traffic danger is accounted for, the median value for access to public transport is 0 and social destinations is 1. Children’s accessibility is likely considerably reduced by the danger imposed on them by adult-exclusive modes, motor vehicles, highlighting an environmental injustice. The tool can be used to target interventions to limit traffic danger to facilitate children’s independent mobility.","citation-key":"tavakoliTrafficDangersPotential2024","container-title":"Transportation Research Part D: Transport and Environment","DOI":"10.1016/j.trd.2024.104370","ISSN":"1361-9209","journalAbbreviation":"Transportation Research Part D: Transport and Environment","page":"104370","source":"ScienceDirect","title":"Traffic danger’s potential impact on children’s accessibility","volume":"135","author":[{"family":"Tavakoli","given":"Zahra"},{"family":"Abdollahi","given":"Shabnam"},{"family":"Waygood","given":"E. Owen D."},{"family":"Páez","given":"Antonio"},{"family":"Boisjoly","given":"Geneviève"}],"issued":{"date-parts":[["2024",10,1]]}}},{"id":986,"uris":["http://zotero.org/groups/6563173/items/NDBF3MGK"],"itemData":{"id":986,"type":"article-journal","abstract":"Zahra Tavakoli, Owen Waygood, Shabnam Abdollahi, Antonio Paez","citation-key":"tavakoliWhereChildrenGo2024","container-title":"Urban Planning","DOI":"10.17645/up.8478","ISSN":"2183-7635","issue":"0","language":"en","source":"www.cogitatiopress.com","title":"“Where Do Children Go?”: Exploring Children’s Daily Destinations With Children, Parents, and Experts","title-short":"“Where Do Children Go?","URL":"https://www.cogitatiopress.com/urbanplanning/article/view/8478","volume":"9","author":[{"family":"Tavakoli","given":"Zahra"},{"family":"Waygood","given":"Owen"},{"family":"Abdollahi","given":"Shabnam"},{"family":"Paez","given":"Antonio"}],"accessed":{"date-parts":[["2026",9,18]]},"issued":{"date-parts":[["2024",10,31]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kern w:val="0"/>
        </w:rPr>
        <w:t>(96–98)</w:t>
      </w:r>
      <w:r>
        <w:rPr>
          <w:rFonts w:ascii="times new roman" w:hAnsi="times new roman"/>
        </w:rPr>
      </w:r>
      <w:r>
        <w:rPr>
          <w:rFonts w:ascii="times new roman" w:hAnsi="times new roman"/>
        </w:rPr>
        <w:fldChar w:fldCharType="end"/>
      </w:r>
      <w:r>
        <w:rPr>
          <w:rFonts w:ascii="times new roman" w:hAnsi="times new roman"/>
        </w:rPr>
        <w:t xml:space="preserve">. His longstanding interest in the implications of social science theory and policy on methodology is illustrated by his research on normative accessibility </w:t>
      </w:r>
      <w:r>
        <w:fldChar w:fldCharType="begin"/>
      </w:r>
      <w:r>
        <w:rPr>
          <w:rFonts w:ascii="times new roman" w:hAnsi="times new roman"/>
        </w:rPr>
        <w:instrText xml:space="preserve">ADDIN ZOTERO_ITEM CSL_CITATION {"citationID":"XFZMaoUi","properties":{"unsorted":false,"formattedCitation":"(99)","plainCitation":"(99)","noteIndex":0},"citationItems":[{"id":807,"uris":["http://zotero.org/groups/6563173/items/UDBCRV6R"],"itemData":{"id":807,"type":"article-journal","abstract":"Accessibility is a concept of continuing relevance in transportation research. A number of different measures of accessibility, defined as the potential to reach spatially dispersed opportunities, have been proposed in the literature, and used to address various substantive planning and policy questions. Our objective in this paper is to conduct a review of various commonly used measures of accessibility, with a particular view to clarifying their normative (i.e. prescriptive), as well as positive (i.e. descriptive) aspects. This is a distinction that has seldom been made in the literature and that helps to better understand the meaning of alternative ways to implement the concept of accessibility. Our discussion of the positive and normative aspects of accessibility measurements is illustrated using the city of Montreal, Canada, as a case study. The example highlights the differences in the measured levels of accessibility depending on implementation. Comparison of the two by means of a relative indicator of accessibility helps to identify the gap between desired (as normative defined) and actual (as revealed) accessibility levels.","citation-key":"paezMeasuringAccessibilityPositive2012","collection-title":"Special Section on Accessibility and Socio-Economic Activities: Methodological and Empirical Aspects","container-title":"Journal of Transport Geography","DOI":"10.1016/j.jtrangeo.2012.03.016","ISSN":"0966-6923","journalAbbreviation":"Journal of Transport Geography","page":"141-153","source":"ScienceDirect","title":"Measuring accessibility: positive and normative implementations of various accessibility indicators","title-short":"Measuring accessibility","volume":"25","author":[{"family":"Páez","given":"Antonio"},{"family":"Scott","given":"Darren M."},{"family":"Morency","given":"Catherine"}],"issued":{"date-parts":[["2012",11,1]]}}}],"schema":"https://github.com/citation-style-language/schema/raw/master/csl-citation.json"}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(99)</w:t>
      </w:r>
      <w:r>
        <w:rPr>
          <w:rFonts w:ascii="times new roman" w:hAnsi="times new roman"/>
        </w:rPr>
      </w:r>
      <w:r>
        <w:rPr>
          <w:rFonts w:ascii="times new roman" w:hAnsi="times new roman"/>
        </w:rPr>
        <w:fldChar w:fldCharType="end"/>
      </w:r>
      <w:r>
        <w:rPr>
          <w:rFonts w:ascii="times new roman" w:hAnsi="times new roman"/>
        </w:rPr>
        <w:t xml:space="preserve"> and relative accessibility </w:t>
      </w:r>
      <w:r>
        <w:fldChar w:fldCharType="begin"/>
      </w:r>
      <w:r>
        <w:rPr>
          <w:rFonts w:ascii="times new roman" w:hAnsi="times new roman"/>
        </w:rPr>
        <w:instrText xml:space="preserve">ADDIN ZOTERO_ITEM CSL_CITATION {"citationID":"0MdmsvO1","properties":{"unsorted":false,"formattedCitation":"(100)","plainCitation":"(100)","noteIndex":0},"citationItems":[{"id":983,"uris":["http://zotero.org/groups/6563173/items/8G53BNHL"],"itemData":{"id":983,"type":"article-journal","abstract":"Accessibility research, within the context of the social exclusion dimensions of transport, has provided valuable tools to understand the potential of people to reach daily life activity locations. In this paper, model-based estimates of distance travelled are used to calculate a cumulative opportunities measure of accessibility. Multivariate, spatially expanded models produce estimates of distance travelled that are specific to both geographical location and type of individual. Opportunity landscapes obtained based on these estimates are used for comparative accessibility analysis by means of what are termed relative accessibility deprivation indicators. The indicators proposed are demonstrated with a case study of food deserts in the city of Montreal, Canada. The results of the analysis illustrate the variations in accessibility between individuals in low-income households and the reference group, and the effect of vehicle ownership for accessibility to food services, thus highlighting the social exclusion implications of these factors.","citation-key":"paezRelativeAccessibilityDeprivation2010","container-title":"Urban Studies","DOI":"10.1177/0042098009353626","ISSN":"0042-0980","issue":"7","language":"EN","page":"1415-1438","publisher":"SAGE Publications Ltd","source":"SAGE Journals","title":"Relative Accessibility Deprivation Indicators for Urban Settings: Definitions and Application to Food Deserts in Montreal","title-short":"Relative Accessibility Deprivation Indicators for Urban Settings","volume":"47","author":[{"family":"Páez","given":"Antonio"},{"family":"Gertes Mercado","given":"Ruben"},{"family":"Farber","given":"Steven"},{"family":"Morency","given":"Catherine"},{"family":"Roorda","given":"Matthew"}],"issued":{"date-parts":[["2010",6,1]]}}}],"schema":"https://github.com/citation-style-language/schema/raw/master/csl-citation.json"}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(100)</w:t>
      </w:r>
      <w:r>
        <w:rPr>
          <w:rFonts w:ascii="times new roman" w:hAnsi="times new roman"/>
        </w:rPr>
      </w:r>
      <w:r>
        <w:rPr>
          <w:rFonts w:ascii="times new roman" w:hAnsi="times new roman"/>
        </w:rPr>
        <w:fldChar w:fldCharType="end"/>
      </w:r>
      <w:r>
        <w:rPr>
          <w:rFonts w:ascii="times new roman" w:hAnsi="times new roman"/>
        </w:rPr>
        <w:t xml:space="preserve">, work initially motivated by the policy needs of Human Resources and Social Development Canada (an agency of Canada’s federal government). His interests now encompass broader issues of equity and justice in transportation </w:t>
      </w:r>
      <w:r>
        <w:fldChar w:fldCharType="begin"/>
      </w:r>
      <w:r>
        <w:rPr>
          <w:rFonts w:ascii="times new roman" w:hAnsi="times new roman"/>
        </w:rPr>
        <w:instrText xml:space="preserve">ADDIN ZOTERO_ITEM CSL_CITATION {"citationID":"MENq4UMJ","properties":{"unsorted":false,"formattedCitation":"(64,71,101)","plainCitation":"(64,71,101)","noteIndex":0},"citationItems":[{"id":"IdBEf4Ak/vY6Ff819","uris":["http://zotero.org/groups/6563173/items/YEW8XG4B"],"itemData":{"id":"yY3CXOGJ/iAySsQ6V","type":"article-journal","citation-key":"desjardinsExaminingEquityAccessibility2022","container-title":"Transportation Research Part D: Transport and Environment","DOI":"10.1016/j.trd.2021.103091","ISSN":"13619209","journalAbbreviation":"Transportation Research Part D: Transport and Environment","language":"en","page":"103091","source":"DOI.org (Crossref)","title":"Examining equity in accessibility to bike share: A balanced floating catchment area approach","title-short":"Examining equity in accessibility to bike share","volume":"102","author":[{"family":"Desjardins","given":"Elise"},{"family":"Higgins","given":"Christopher D."},{"family":"Páez","given":"Antonio"}],"issued":{"date-parts":[["2022",1]]}}},{"id":1053,"uris":["http://zotero.org/groups/6563173/items/EG4ZNM73"],"itemData":{"id":1053,"type":"article-journal","abstract":"In recent decades, transit ridership plateaued in Canadian cities, and the COVID-19 pandemic further altered public transit patterns. Understanding how changes in transit services affect democratic access to essential amenities is the first step in building a transportation system that enables access for all. This paper reports changes in public transit service in Canada’s 12 largest census metro areas (CMAs) from 2019 to 2023. We assess transit accessibility to jobs and groceries and show spatial changes and changes by income level. The resulting changes in accessibility were not uniform across metropolitan areas. Some remained largely unchanged, while others had greater accessibility in 2023. Toronto, Montreal, and Vancouver experienced greater losses in public transit accessibility, while areas in urban peripheries tended to see gains. Lower-income households were disproportionately affected by reduced accessibility. Differences between metropolitan regions point to the importance of municipal policy.","citation-key":"pargaDemocraticAccessOur2025","language":"en_CA","publisher":"School of Cities","source":"utoronto.scholaris.ca","title":"Democratic Access to our Cities: The impacts of recent changes to transit services in major Canadian metropolitan areas","title-short":"Democratic Access to our Cities","URL":"https://hdl.handle.net/1807/152158","author":[{"family":"Parga","given":"João Pedro Figueira Amorim"},{"family":"Soukhov","given":"Anastasia"},{"family":"Arku","given":"Robert Nutifafa"},{"family":"Higgins","given":"Christopher D."},{"family":"Páez","given":"Antonio"}],"accessed":{"date-parts":[["2026",9,23]]},"issued":{"date-parts":[["2025",1]]}}},{"id":980,"uris":["http://zotero.org/groups/6563173/items/M48K2DZP"],"itemData":{"id":980,"type":"article-journal","abstract":"The goal of this study is to develop and apply a new method for assessing social equity impacts of distance-based public transit fares. Shifting to a distance-based fare structure can disproportionately favor or penalize different subgroups of a population based on variations in settlement patterns, travel needs, and most importantly, transit use. According to federal law, such disparities must be evaluated by the transit agency, but the area-based techniques identified by the Federal Transit Authority for assessing discrimination fail to account for disparities in distances travelled by transit users. This means that transit agencies currently lack guidelines for assessing the social equity impacts of replacing flat fare with distance-based fare structures. Our solution is to incorporate a joint ordinal/continuous model of trip generation and distance travelled into a GIS Decision Support System. The system enables a transit planner to visualize and compare distance travelled and transit-cost maps for different population profiles and fare structures. We apply the method to a case study in the Wasatch Front, Utah, where the Utah Transit Authority is exploring a switch to a distance-based fare structure. The analysis reveals that overall distance-based fares benefit low-income, elderly, and non-white populations. However, the effect is geographically uneven, and may be negative for members of these groups living on the urban fringe. (C) 2014 The Authors. Published by Elsevier Ltd. This is an open access article under the CC BY-NC-ND license (http://creativecommons.org/licenses/by-nc-nd/3.0/).","citation-key":"farberAssessingSocialEquity2014","container-title":"Transportation Research Part A-Policy and Practice","DOI":"10.1016/j.tra.2014.07.013","ISSN":"0965-8564","language":"English","page":"291-303","title":"Assessing social equity in distance based transit fares using a model of travel behavior","volume":"67","author":[{"family":"Farber","given":"S."},{"family":"Bartholomew","given":"K."},{"family":"Li","given":"X."},{"family":"Paez","given":"A."},{"family":"Habib","given":"K. M. N."}],"issued":{"date-parts":[["2014",9]]}}}],"schema":"https://github.com/citation-style-language/schema/raw/master/csl-citation.json"}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(64,71,101)</w:t>
      </w:r>
      <w:r>
        <w:rPr>
          <w:rFonts w:ascii="times new roman" w:hAnsi="times new roman"/>
        </w:rPr>
      </w:r>
      <w:r>
        <w:rPr>
          <w:rFonts w:ascii="times new roman" w:hAnsi="times new roman"/>
        </w:rPr>
        <w:fldChar w:fldCharType="end"/>
      </w:r>
      <w:r>
        <w:rPr>
          <w:rFonts w:ascii="times new roman" w:hAnsi="times new roman"/>
        </w:rPr>
        <w:t xml:space="preserve">. As a member of the SSHRC-funded project Mobilizing Justice, his research led to novel tools for the analysis of accessibility </w:t>
      </w:r>
      <w:r>
        <w:fldChar w:fldCharType="begin"/>
      </w:r>
      <w:r>
        <w:rPr>
          <w:rFonts w:ascii="times new roman" w:hAnsi="times new roman"/>
        </w:rPr>
        <w:instrText xml:space="preserve">ADDIN ZOTERO_ITEM CSL_CITATION {"citationID":"gZHR0aWe","properties":{"unsorted":false,"formattedCitation":"(43,70,102)","plainCitation":"(43,70,102)","noteIndex":0},"citationItems":[{"id":802,"uris":["http://zotero.org/groups/6563173/items/IVDPED4H"],"itemData":{"id":802,"type":"article-journal","abstract":"Transportation planning has long prioritized the efficiency of movement. However, the concept of accessibility represents a more comprehensive evolution, shifting focus from movement (i.e., trips) to the potential to spatially interact with desired destinations. Despite growing recognition of accessibility-based planning approaches, the concept remains fragmented, with inconsistent definitions and unclear interpretations. To this end, this paper makes a methodological contribution by specifying a family of accessibility measures that are grounded in the shared ‘gravity-based’ theoretical roots of spatial interaction models, particularly their balancing factors. From this foundation, we outline four members of the family: the ‘unconstrained’ measure (i.e., Hansen-type accessibility), the ‘total-constrained’ measure (i.e., a constrained version of the Hansen-type accessibility), the ‘singly-constrained’ measure (i.e., related to the popular two-step floating catchment approach – 2SFCA), and the ‘doubly-constrained’ measure representing realized access (i.e., equal to the doubly-constrained spatial interaction model). These measures can be interpreted as either the number of accessible opportunities or accessible population (i.e., market potential). A toy example illustrates how they produce interpretable unit-based values, offering a clearer and more coherent basis for accessibility analysis.","citation-key":"soukhovFamilyAccessibilityMeasures2025","container-title":"PLOS ONE","DOI":"10.1371/journal.pone.0335951","ISSN":"1932-6203","issue":"11","journalAbbreviation":"PLOS ONE","language":"en","page":"e0335951","publisher":"Public Library of Science","source":"PLoS Journals","title":"A family of accessibility measures derived from spatial interaction principles","volume":"20","author":[{"family":"Soukhov","given":"Anastasia"},{"family":"Pereira","given":"Rafael H. M."},{"family":"Higgins","given":"Christopher D."},{"family":"Páez","given":"Antonio"}],"issued":{"date-parts":[["2025",11,14]]}}},{"id":978,"uris":["http://zotero.org/groups/6563173/items/KXIK5WFU"],"itemData":{"id":978,"type":"article-journal","citation-key":"Accessibility","container-title":"Plos One","DOI":"10.1371/journal.pone.0278468","ISSN":"1932-6203","issue":"1","page":"e0278468","title":"Introducing spatial availability, a singly-constrained measure of competitive accessibility","volume":"18","author":[{"family":"Soukhov","given":"Anastasia"},{"family":"Páez","given":"Antonio"},{"family":"Higgins","given":"Christopher D."},{"family":"Mohamed","given":"Moataz"}],"issued":{"date-parts":[["2023"]]}}},{"id":977,"uris":["http://zotero.org/groups/6563173/items/V453WWJL"],"itemData":{"id":977,"type":"article-journal","citation-key":"soukhovMultimodalSpatialAvailability2024","container-title":"PLOS ONE","DOI":"10.1371/journal.pone.0299077","ISSN":"1932-6203","issue":"2","journalAbbreviation":"PLOS ONE","page":"e0299077","publisher":"Public Library of Science (PLoS)","title":"Multimodal spatial availability: A singly-constrained measure of accessibility considering multiple modes","volume":"19","author":[{"family":"Soukhov","given":"Anastasia"},{"family":"Tarriño-Ortiz","given":"Javier"},{"family":"Soria-Lara","given":"Julio A."},{"family":"Páez","given":"Antonio"}],"issued":{"date-parts":[["2024"]]}}}],"schema":"https://github.com/citation-style-language/schema/raw/master/csl-citation.json"}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(43,70,102)</w:t>
      </w:r>
      <w:r>
        <w:rPr>
          <w:rFonts w:ascii="times new roman" w:hAnsi="times new roman"/>
        </w:rPr>
      </w:r>
      <w:r>
        <w:rPr>
          <w:rFonts w:ascii="times new roman" w:hAnsi="times new roman"/>
        </w:rPr>
        <w:fldChar w:fldCharType="end"/>
      </w:r>
      <w:r>
        <w:rPr>
          <w:rFonts w:ascii="times new roman" w:hAnsi="times new roman"/>
        </w:rPr>
        <w:t xml:space="preserve">, clearer theoretical foundations for developing standards of equity </w:t>
      </w:r>
      <w:r>
        <w:fldChar w:fldCharType="begin"/>
      </w:r>
      <w:r>
        <w:rPr>
          <w:rFonts w:ascii="times new roman" w:hAnsi="times new roman"/>
        </w:rPr>
        <w:instrText xml:space="preserve">ADDIN ZOTERO_ITEM CSL_CITATION {"citationID":"AtW9G9Lb","properties":{"unsorted":false,"formattedCitation":"(45)","plainCitation":"(45)","noteIndex":0},"citationItems":[{"id":809,"uris":["http://zotero.org/groups/6563173/items/K4XPP4PV"],"itemData":{"id":809,"type":"report","citation-key":"palmDevelopingDataDriven2023","language":"English","number":"1","page":"26","publisher":"Mobilizing Justice","title":"Developing Data Driven Equity Standards: Stakeholder Perspectives","URL":"https://mobilizingjustice.ca/wp-content/uploads/2023/06/Developing_Data_Driven_Standards_FINAL_2023_06_06.pdf","author":[{"family":"Palm","given":"Matthew"},{"family":"Teel","given":"Siobhan"},{"family":"Tiznado-Aitken","given":"Ignacio"},{"family":"Soukhov","given":"Anastasia"},{"family":"Paez","given":"Antonio"},{"family":"Farber","given":"Steven"},{"family":"Hain","given":"Michael"}],"accessed":{"date-parts":[["2023",12,12]]},"issued":{"date-parts":[["2023",5]]}}}],"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(45)</w:t>
      </w:r>
      <w:r>
        <w:rPr>
          <w:rFonts w:ascii="times new roman" w:hAnsi="times new roman"/>
        </w:rPr>
      </w:r>
      <w:r>
        <w:rPr>
          <w:rFonts w:ascii="times new roman" w:hAnsi="times new roman"/>
        </w:rPr>
        <w:fldChar w:fldCharType="end"/>
      </w:r>
      <w:r>
        <w:rPr>
          <w:rFonts w:ascii="times new roman" w:hAnsi="times new roman"/>
        </w:rPr>
        <w:t xml:space="preserve">, and the role of human dignity in transportation </w:t>
      </w:r>
      <w:r>
        <w:fldChar w:fldCharType="begin"/>
      </w:r>
      <w:r>
        <w:rPr>
          <w:rFonts w:ascii="times new roman" w:hAnsi="times new roman"/>
        </w:rPr>
        <w:instrText xml:space="preserve">ADDIN ZOTERO_ITEM CSL_CITATION {"citationID":"593wpW82","properties":{"unsorted":false,"formattedCitation":"(103)","plainCitation":"(103)","noteIndex":0},"citationItems":[{"id":933,"uris":["http://zotero.org/groups/6563173/items/9EV89ELP"],"itemData":{"id":933,"type":"document","citation-key":"zotero-item-909","title":"Dignity in Transportation: A Scoping Review and Theoretical Framework","title-short":"Dignity in Transportation","author":[{"family":"Dos Santos","given":"Bruno Dias"},{"literal":"Trevor Hanson"},{"literal":"Antonio Páez"}],"issued":{"date-parts":[["2026"]]}}}],"schema":"https://github.com/citation-style-language/schema/raw/master/csl-citation.json"}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(103)</w:t>
      </w:r>
      <w:r>
        <w:rPr>
          <w:rFonts w:ascii="times new roman" w:hAnsi="times new roman"/>
        </w:rPr>
      </w:r>
      <w:r>
        <w:rPr>
          <w:rFonts w:ascii="times new roman" w:hAnsi="times new roman"/>
        </w:rPr>
        <w:fldChar w:fldCharType="end"/>
      </w:r>
      <w:r>
        <w:rPr>
          <w:rFonts w:ascii="times new roman" w:hAnsi="times new roman"/>
        </w:rPr>
        <w:t xml:space="preserve">. Páez is an expert in the development and application of spatial analysis tools with a focus on transportation </w:t>
      </w:r>
      <w:r>
        <w:fldChar w:fldCharType="begin"/>
      </w:r>
      <w:r>
        <w:rPr>
          <w:rFonts w:ascii="times new roman" w:hAnsi="times new roman"/>
        </w:rPr>
        <w:instrText xml:space="preserve">ADDIN ZOTERO_ITEM CSL_CITATION {"citationID":"W7Bl4Uvm","properties":{"unsorted":false,"formattedCitation":"(87,94,104)","plainCitation":"(87,94,104)","noteIndex":0},"citationItems":[{"id":958,"uris":["http://zotero.org/groups/6563173/items/GL7GKN5R"],"itemData":{"id":958,"type":"article-journal","citation-key":"eldeebBuiltActiveTravel2021","container-title":"Journal of Transport Geography","DOI":"10.1016/j.jtrangeo.2021.103158","ISSN":"09666923","journalAbbreviation":"Journal of Transport Geography","language":"en","page":"103158","source":"DOI.org (Crossref)","title":"Built for active travel? Investigating the contextual effects of the built environment on transportation mode choice","title-short":"Built for active travel?","volume":"96","author":[{"family":"Eldeeb","given":"Gamal"},{"family":"Mohamed","given":"Moataz"},{"family":"Páez","given":"Antonio"}],"issued":{"date-parts":[["2021",10]]}}},{"id":993,"uris":["http://zotero.org/groups/6563173/items/VEQBHTSM"],"itemData":{"id":993,"type":"article-journal","abstract":"This paper provides an analysis of trip generation of three vulnerable groups: single-parent families, low income households, and the elderly. It compares the mobility of these groups to that of the general population in three Canadian urban areas of Hamilton, Montreal and Toronto, based on data from large-sample metropolitan transport surveys. An ordered probit model with spatially expanded coefficients is used for the analysis. Spatial expansion shows that there are spatial mobility trends for elderly populations and low-income populations even after socio-economic attributes are accounted for. Such spatial differences are not generally found for single parent families. This novel spatial analysis provides clues as to where vulnerable populations may experience greater degrees of social exclusion. It provides information to help prioritize transportation infrastructure projects or other social programs to take into account the needs of vulnerable populations with the lowest levels of mobility.","citation-key":"roordaTripGenerationVulnerable2010","container-title":"Transportation","DOI":"10.1007/s11116-010-9263-3","ISSN":"0049-4488","issue":"3","page":"525-548","title":"Trip generation of vulnerable populations in three Canadian cities: a spatial ordered probit approach","volume":"37","author":[{"family":"Roorda","given":"M. J."},{"family":"Paez","given":"A."},{"family":"Morency","given":"C."},{"family":"Mercado","given":"R."},{"family":"Farber","given":"S."}],"issued":{"date-parts":[["2010",5]]}}},{"id":982,"uris":["http://zotero.org/groups/6563173/items/HTEUWX77"],"itemData":{"id":982,"type":"article-journal","abstract":"A majority of statistical methods used in the analysis of land use and transportation systems implicitly carry the assumption that relationships are constant across locations or individuals, thus ignoring contextual variation due to geographical or socio-economic heterogeneity. In some cases, where the assumption of constant relationships is questionable, market segmentation procedures are used to study varying relationships. More recently, methodological developments, and a greater awareness of the importance of geography, have led to increasingly sophisticated ways to explore varying relationships in land use and transportation modeling. The objective of this paper is to propose a simple probit model to explore contextual variability in continuous-space. Some conceptual and technical issues are discussed, and an example is presented that reanalyzes land use change using data from California’s BART system. The results of the example suggest that considerable parametric variation exists across geographical space, and thus underlines the relevance of contextual effects.","citation-key":"paezExploringContextualVariations2006","container-title":"Journal of Transport Geography","DOI":"10.1016/j.jtrangeo.2005.11.002","ISSN":"0966-6923","issue":"3","journalAbbreviation":"Journal of Transport Geography","page":"167-176","source":"ScienceDirect","title":"Exploring contextual variations in land use and transport analysis using a probit model with geographical weights","volume":"14","author":[{"family":"Páez","given":"Antonio"}],"issued":{"date-parts":[["2006",5,1]]}}}],"schema":"https://github.com/citation-style-language/schema/raw/master/csl-citation.json"}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(87,94,104)</w:t>
      </w:r>
      <w:r>
        <w:rPr>
          <w:rFonts w:ascii="times new roman" w:hAnsi="times new roman"/>
        </w:rPr>
      </w:r>
      <w:r>
        <w:rPr>
          <w:rFonts w:ascii="times new roman" w:hAnsi="times new roman"/>
        </w:rPr>
        <w:fldChar w:fldCharType="end"/>
      </w:r>
      <w:r>
        <w:rPr>
          <w:rFonts w:ascii="times new roman" w:hAnsi="times new roman"/>
        </w:rPr>
        <w:t xml:space="preserve"> and the development of web-based tools for public use </w:t>
      </w:r>
      <w:r>
        <w:fldChar w:fldCharType="begin"/>
      </w:r>
      <w:r>
        <w:rPr>
          <w:rFonts w:ascii="times new roman" w:hAnsi="times new roman"/>
        </w:rPr>
        <w:instrText xml:space="preserve">ADDIN ZOTERO_ITEM CSL_CITATION {"citationID":"X53yi6JG","properties":{"unsorted":false,"formattedCitation":"(105,106)","plainCitation":"(105,106)","noteIndex":0},"citationItems":[{"id":985,"uris":["http://zotero.org/groups/6563173/items/B52ACQQN"],"itemData":{"id":985,"type":"article-journal","abstract":"A mixture of modes is considered a key element towards sustainable transportation. New technologies that provide information about various modes and environments can help to inform choices regarding travel and accessibility. In this paper we describe the development of a web-based accessibility calculator prototype for the Greater Montreal Area in Canada. The core of this tool is a statistical model of trip length developed using the spatial expansion method. The model is used to obtain estimates of trip length for a desired profile, based on attributes such as age, gender, family structure, and mode of travel, as well as geographical location. These estimates are used to calculate a cumulative opportunities accessibility measure to different types of essential destinations. Travel behavior information is drawn from Montreal’s 2008 Household Travel Surveys. Geocoded information about trip origins and destinations is used to calculate trip length. A broad array of covariates related to individual and household attributes, and urban form are used. A geocoded business point database is used for the calculation of cumulative opportunities. To simplify the use of the accessibility calculator, the model is implemented in a user-friendly way using Google Maps API v3 and a convenient interface. Different possible uses of the accessibility calculator are illustrated in the paper. The accessibility calculator can be used by members of the public or planners/policy makers to measure the level of accessibility for a specific address and personal profile by various modes of transportation.","citation-key":"paezDevelopingWebbasedAccessibility2013","container-title":"Transportation Research Part A: Policy and Practice","DOI":"10.1016/j.tra.2013.10.020","ISSN":"0965-8564","journalAbbreviation":"Transportation Research Part A: Policy and Practice","page":"103-115","source":"ScienceDirect","title":"Developing a web-based accessibility calculator prototype for the Greater Montreal Area","volume":"58","author":[{"family":"Páez","given":"Antonio"},{"family":"Moniruzzaman","given":"Md."},{"family":"Bourbonnais","given":"Pierre-Leo"},{"family":"Morency","given":"Catherine"}],"issued":{"date-parts":[["2013",12,1]]}}},{"id":984,"uris":["http://zotero.org/groups/6563173/items/DMDC442X"],"itemData":{"id":984,"type":"article-journal","abstract":"Given the aging demographic landscape, the concept of walkable neighborhoods has emerged as a topic of interest, especially during the last decade. However, we know very little about whether walkable neighborhoods promote walking among older adults, particularly those with lower incomes. Therefore in this paper we: (i) examine the relation between trip distance and socio-demographic attributes and accessibility features of lower income older adults in Metro Vancouver; and, (ii) implement a web-based application to calculate the accessibility of lower income older adults in Metro Vancouver based on their travel behavior. We use multilevel linear regression to estimate the determinants of trip length. We find that in this population distance traveled is associated with gender, living arrangements, and dog ownership. Furthermore, significant geographical variations (measured using a trend surface) were also found. To better visualize the impact of travel behavior on accessibility by personal profile and location, we also implemented a web-based calculator that generates an Accessibility (A)-score using Google Maps API v3 that can be used to evaluate the accessibility of neighborhoods from the perspective of older adults.","citation-key":"moniruzzamanTravelBehaviorLow2015","container-title":"Journal of Transport &amp; Health","DOI":"10.1016/j.jth.2015.02.006","ISSN":"2214-1405","issue":"2","journalAbbreviation":"Journal of Transport &amp; Health","page":"257-268","source":"ScienceDirect","title":"Travel behavior of low income older adults and implementation of an accessibility calculator","volume":"2","author":[{"family":"Moniruzzaman","given":"Md"},{"family":"Chudyk","given":"Anna"},{"family":"Páez","given":"Antonio"},{"family":"Winters","given":"Meghan"},{"family":"Sims-Gould","given":"Joanie"},{"family":"McKay","given":"Heather"}],"issued":{"date-parts":[["2015",6,1]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(105,106)</w:t>
      </w:r>
      <w:r>
        <w:rPr>
          <w:rFonts w:ascii="times new roman" w:hAnsi="times new roman"/>
        </w:rPr>
      </w:r>
      <w:r>
        <w:rPr>
          <w:rFonts w:ascii="times new roman" w:hAnsi="times new roman"/>
        </w:rPr>
        <w:fldChar w:fldCharType="end"/>
      </w:r>
      <w:r>
        <w:rPr>
          <w:rFonts w:ascii="times new roman" w:hAnsi="times new roman"/>
        </w:rPr>
        <w:t xml:space="preserve">, and he is also fluent in the use of qualitative methods </w:t>
      </w:r>
      <w:r>
        <w:fldChar w:fldCharType="begin"/>
      </w:r>
      <w:r>
        <w:rPr>
          <w:rFonts w:ascii="times new roman" w:hAnsi="times new roman"/>
        </w:rPr>
        <w:instrText xml:space="preserve">ADDIN ZOTERO_ITEM CSL_CITATION {"citationID":"no95GhFj","properties":{"unsorted":false,"formattedCitation":"(82,107)","plainCitation":"(82,107)","noteIndex":0},"citationItems":[{"id":974,"uris":["http://zotero.org/groups/6563173/items/YEDPE48L"],"itemData":{"id":974,"type":"article-journal","abstract":"This paper investigates stakeholder’s perspectives about freight congestion in Canada’s major metropolitan regions. Interviews with 28 Canadian stakeholders from different sectors are analyzed using Strauss/Corbin extended approach of symbolic interactionism with the objective of producing an explanatory theory to identify barriers to freight in Canada. By integrating emergent categories with a structured framework of theoretical propositions, we are able to offer insights to understand the perceived barriers to goods movement in the Canadian landscape, as well as to detail a framework of interventions to improve freight mobility. In total, 50 themes emerged as barriers to the movement of goods, which were grouped into nine subcategories, and four overarching categories which broadly frame the issues of goods movements as relating to high infrastructure utilization (Infrastructure Demand Outstripping Supply), the cost impacts of diminishing reliability of distribution (Physical Distribution Headwinds Impeding Commerce), rapidly growing regions and ineffective or absent policy support (Urgent Regulatory Encumbrances), and a lack of a robust data collection, analysis, and information sharing framework (Information and Data Management Complexities). These categories were considered in the frame of addressing goods movement barriers and were argued to be influenced by factors of cost, political risk, implement-ability, and maintainability. A framework was developed identifying four high-level interventions: data and knowledge mobilization; public-private collaborative freight evaluations; government funding and political support; and, capacity alterations: improvements and expansions. The key concepts of the framework are to collect and analyze data to inform public-private stakeholder evaluations of policy interventions, with government funding to support both knowledge generation efforts, policy actions and capacity investments. There is a significant need to expand data collection and information sharing, focus infrastructure investments on public transit and intermodal accessibility, and integrated policy development towards transportation and land use planning to address the physical and policy barriers affecting freight mobility and congestion. The emergent theory is contrasted with selected global regions to assess generalizability and the relevance of international perspectives to the Canadian environment.","citation-key":"searsPerceivedBarriersMovement2022","container-title":"Transportation Research Part A: Policy and Practice","DOI":"https://doi.org/10.1016/j.tra.2022.05.011","ISSN":"0965-8564","page":"27-45","title":"Perceived barriers to the movement of goods in Canada: A grounded theory investigation","volume":"162","author":[{"family":"Sears","given":"Sean"},{"family":"Moataz","given":"Mohamed"},{"family":"Ferguson","given":"Mark"},{"family":"Razavi","given":"Saiedeh"},{"family":"Páez","given":"Antonio"}],"issued":{"date-parts":[["2022",8,1]]}}},{"id":975,"uris":["http://zotero.org/groups/6563173/items/HQVNPHIN"],"itemData":{"id":975,"type":"article-journal","abstract":"As cities make concerted efforts to become more bicycle-friendly through policy changes and infrastructure, it is important that such efforts ultimately support people who currently bicycle and remove barriers that may prevent more people from bicycling. Travel surveys can reveal the nature and distribution of bicycling trips, but perceptions and behaviours of bicyclists are better understood through qualitative methods. In particular, developing cycling cities are unique settings to examine how the built environment supports bicycling as changes are made to increase bicycling levels. Through semi-structured interviews, this research explores the case of Hamilton, Ontario and the factors that influence route choice from the perspective of regular bicyclists. Major themes were identified using thematic analysis: (i) exclusion from road space; (ii) infrastructure; and (iii) streetscape. Bicyclists highly value infrastructure and seek routes that minimize interactions with cars, while avoiding many arterial roads that prioritize motorists. Routes that appear to be more human-oriented or that have nature are also attractive. Many regular bicyclists report that current bicycle infrastructure does not meet their preferences. Despite building nearly half of the planned infrastructure network, our findings suggest the built environment is not perceived to be oriented to bicycling. This study provides policy and practice recommendations for developing cycling cities in North America as they transition towards established cycling cities.","citation-key":"desjardinsGoingLittleBit2021","container-title":"Transportation Research Part F: Traffic Psychology and Behaviour","DOI":"https://doi.org/10.1016/j.trf.2021.06.005","ISSN":"1369-8478","page":"431-444","title":"“Going through a little bit of growing pains”: A qualitative study of the factors that influence the route choice of regular bicyclists in a developing cycling city","volume":"81","author":[{"family":"Desjardins","given":"Elise"},{"family":"Apatu","given":"Emma"},{"family":"Razavi","given":"S. Donya"},{"family":"Higgins","given":"Christopher D."},{"family":"Scott","given":"Darren M."},{"family":"Páez","given":"Antonio"}],"issued":{"date-parts":[["2021",8,1]]}}}],"schema":"https://github.com/citation-style-language/schema/raw/master/csl-citation.json"}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(82,107)</w:t>
      </w:r>
      <w:r>
        <w:rPr>
          <w:rFonts w:ascii="times new roman" w:hAnsi="times new roman"/>
        </w:rPr>
      </w:r>
      <w:r>
        <w:rPr>
          <w:rFonts w:ascii="times new roman" w:hAnsi="times new roman"/>
        </w:rPr>
        <w:fldChar w:fldCharType="end"/>
      </w:r>
      <w:r>
        <w:rPr>
          <w:rFonts w:ascii="times new roman" w:hAnsi="times new roman"/>
        </w:rPr>
        <w:t>. His breadth of knowledge and expertise is an asset for this project, in his role as PI and transversal conduit between the various work packages.</w:t>
      </w:r>
    </w:p>
    <w:p xmlns:wp14="http://schemas.microsoft.com/office/word/2010/wordml" w14:paraId="25588D93" wp14:textId="77777777">
      <w:pPr>
        <w:pStyle w:val="Normal"/>
        <w:rPr>
          <w:rFonts w:ascii="times new roman" w:hAnsi="times new roman"/>
        </w:rPr>
      </w:pPr>
      <w:r>
        <w:rPr>
          <w:rFonts w:ascii="times new roman" w:hAnsi="times new roman"/>
          <w:b/>
          <w:bCs/>
          <w:u w:val="single"/>
        </w:rPr>
        <w:t>Léa RAVENSBERGEN</w:t>
      </w:r>
      <w:r>
        <w:rPr>
          <w:rFonts w:ascii="times new roman" w:hAnsi="times new roman"/>
        </w:rPr>
        <w:t xml:space="preserve"> </w:t>
      </w:r>
      <w:r>
        <w:rPr>
          <w:rFonts w:ascii="times new roman" w:hAnsi="times new roman" w:eastAsia="Times New Roman" w:cs="Times New Roman"/>
        </w:rPr>
        <w:t xml:space="preserve">has researched the transit experiences of equity-seeking groups </w:t>
      </w:r>
      <w:r>
        <w:fldChar w:fldCharType="begin"/>
      </w:r>
      <w:r>
        <w:rPr>
          <w:rFonts w:ascii="times new roman" w:hAnsi="times new roman" w:eastAsia="Times New Roman" w:cs="Times New Roman"/>
        </w:rPr>
        <w:instrText xml:space="preserve">ADDIN ZOTERO_ITEM CSL_CITATION {"citationID":"ozvtZ0GX","properties":{"unsorted":false,"formattedCitation":"(83,108,109)","plainCitation":"(83,108,109)","noteIndex":0},"citationItems":[{"id":962,"uris":["http://zotero.org/groups/6563173/items/ET5WUFLW"],"itemData":{"id":962,"type":"article-journal","abstract":"Public transit may be a low-cost and environmentally friendly way for older adults to maintain independent mobility as they age, and yet little is known about older adults’ transit travel behaviours or travel satisfaction. To address this research gap, this paper explores older people’s (60+) responses to a travel survey on the Hamilton Street Railway (HSR). Distributed in 2019 to residents of Hamilton, Ontario, 5844 people responded to the survey, 1002 of which were aged 60 years or older. Descriptive statistics were conducted to assess older adults’ responses, as well as to compare these responses to respondents aged 18–59 years. A thematic analysis of responses to an open-ended question was also completed. The results indicate that older adults are more frequently occasional transit users (monthly, annually) than younger people who more frequently use the bus daily. Older adults are also more satisfied with the transit service than those aged 18–59 years. Older respondents were least satisfied with comfort amenities at bus stops and shelters and bus crowdedness. However, their satisfaction with these aspects of the service is not statistically significantly different from younger adults. From the thematic analysis, the top barrier shared by older adults is related to accessing the transit service. Across older adults, women, employed people, and those without a car or a driver’s license were more likely to be frequent transit riders. Taken together, this paper sheds light on an understudied population’s transit experiences and can be used to inform policy on how to make public transit more age-friendly.","citation-key":"ravensbergenMixedmethodsInvestigationOlder2023","container-title":"Travel Behaviour and Society","DOI":"10.1016/j.tbs.2023.100577","ISSN":"2214-367X","journalAbbreviation":"Travel Behaviour and Society","page":"100577","source":"ScienceDirect","title":"A mixed-methods investigation of older adults’ public transit use and travel satisfaction","volume":"32","author":[{"family":"Ravensbergen","given":"Léa"},{"family":"Varickanickal","given":"Joann"},{"family":"Newbold","given":"K. Bruce"},{"family":"Mohamed","given":"Moataz"}],"issued":{"date-parts":[["2023",7,1]]}}},{"id":954,"uris":["http://zotero.org/groups/6563173/items/TEQP42DS"],"itemData":{"id":954,"type":"article-journal","abstract":"Independent mobility is an important component of healthy ageing. Public transit may be an affordable way to achieve independent mobility, and yet little is known about older adults’ transition to public transit. This paper addresses this research gap by providing an exploration of older adults’ experiences transitioning to public transit use, and by comparing these experiences to those of older people who have always travelled using transit. Twenty-four older adults (65+) living in Hamilton, Canada, who use public transit completed semi-structured interviews during which they discussed their experiences when they first began to use transit. These experiences are framed herein with the concept self-efficacy, i.e. how one's belief in their ability to complete a task shapes their ability to complete said task. Results indicate that most older adults acquire skills to transition to public transit, such as trip planning, boarding, knowing where to sit and exiting the bus. These skills are developed through practice. As one gains experience, one becomes more confident in their ability to meet their daily travel needs using transit. Therefore, the transition to public transit as an older adult can be more challenging for those with little experience using public transit. This paper highlights the danger of assuming all older adults will effortlessly take up transit and stresses the importance of older adults gaining experience using public transit.","citation-key":"ravensbergenItsOverwhelmingStart2024","container-title":"Ageing &amp; Society","DOI":"10.1017/S0144686X22000010","ISSN":"0144-686X, 1469-1779","issue":"1","language":"en","page":"43-60","source":"Cambridge University Press","title":"‘It's overwhelming at the start’: transitioning to public transit use as an older adult","title-short":"‘It's overwhelming at the start’","volume":"44","author":[{"family":"Ravensbergen","given":"Léa"},{"family":"Newbold","given":"K. Bruce"},{"family":"Ganann","given":"Rebecca"}],"issued":{"date-parts":[["2024",1]]}}},{"id":955,"uris":["http://zotero.org/groups/6563173/items/7AALKXRX"],"itemData":{"id":955,"type":"article-journal","abstract":"This paper contributes to research on public transport accessibility, disabling spaces, and older adult's mobility by highlighting the ‘mobility work’ older adults complete to meet their daily travel needs. Drawing on a systematic and inductive analysis of semi-structured interviews with older adult (65+ years of age) public transit users in Hamilton, Canada, we argue that older adults are faced with mobility work that younger and/or more able-bodied people do not routinely encounter as they meet (or attempt to meet) their daily travel needs using public transportation. Key components of older adults' trips that involve mobility work include walking to and from the bus stop, trip planning, stepping onto/ off of the bus, finding a seat, carrying items on the bus, calling a stop, and travelling in winter conditions. This mobility work can be categorized as physical (e.g., struggling to board the bus), emotional (e.g., worrying about getting a seat), or spatiotemporal (e.g., staying home when the weather is bad). Taken together, this paper puts forward a multidimensional concept of ‘mobility work’ to aid in considering accessibility at the scale of both the individual and the built environment. Further, by highlighting mobility work, this paper demonstrates the ways in which public transport spaces can be disabling for aging bodies and outlines concrete measures public transit agencies can take to make services more accessible to older adult riders.","citation-key":"ravensbergenMobilityWorkOlder2021","container-title":"Journal of Transport Geography","DOI":"10.1016/j.jtrangeo.2021.103221","ISSN":"0966-6923","journalAbbreviation":"Journal of Transport Geography","page":"103221","source":"ScienceDirect","title":"‘Mobility work’: Older adults' experiences using public transportation","title-short":"‘Mobility work’","volume":"97","author":[{"family":"Ravensbergen","given":"Léa"},{"family":"Newbold","given":"K Bruce"},{"family":"Ganann","given":"Rebecca"},{"family":"Sinding","given":"Christina"}],"issued":{"date-parts":[["2021",12,1]]}}}],"schema":"https://github.com/citation-style-language/schema/raw/master/csl-citation.json"}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(83,108,109)</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and the systemic barriers transit agencies face in planning just systems </w:t>
      </w:r>
      <w:r>
        <w:fldChar w:fldCharType="begin"/>
      </w:r>
      <w:r>
        <w:rPr>
          <w:rFonts w:ascii="times new roman" w:hAnsi="times new roman" w:eastAsia="Times New Roman" w:cs="Times New Roman"/>
        </w:rPr>
        <w:instrText xml:space="preserve">ADDIN ZOTERO_ITEM CSL_CITATION {"citationID":"rvnITTsj","properties":{"unsorted":false,"formattedCitation":"(108,110,111)","plainCitation":"(108,110,111)","noteIndex":0},"citationItems":[{"id":954,"uris":["http://zotero.org/groups/6563173/items/TEQP42DS"],"itemData":{"id":954,"type":"article-journal","abstract":"Independent mobility is an important component of healthy ageing. Public transit may be an affordable way to achieve independent mobility, and yet little is known about older adults’ transition to public transit. This paper addresses this research gap by providing an exploration of older adults’ experiences transitioning to public transit use, and by comparing these experiences to those of older people who have always travelled using transit. Twenty-four older adults (65+) living in Hamilton, Canada, who use public transit completed semi-structured interviews during which they discussed their experiences when they first began to use transit. These experiences are framed herein with the concept self-efficacy, i.e. how one's belief in their ability to complete a task shapes their ability to complete said task. Results indicate that most older adults acquire skills to transition to public transit, such as trip planning, boarding, knowing where to sit and exiting the bus. These skills are developed through practice. As one gains experience, one becomes more confident in their ability to meet their daily travel needs using transit. Therefore, the transition to public transit as an older adult can be more challenging for those with little experience using public transit. This paper highlights the danger of assuming all older adults will effortlessly take up transit and stresses the importance of older adults gaining experience using public transit.","citation-key":"ravensbergenItsOverwhelmingStart2024","container-title":"Ageing &amp; Society","DOI":"10.1017/S0144686X22000010","ISSN":"0144-686X, 1469-1779","issue":"1","language":"en","page":"43-60","source":"Cambridge University Press","title":"‘It's overwhelming at the start’: transitioning to public transit use as an older adult","title-short":"‘It's overwhelming at the start’","volume":"44","author":[{"family":"Ravensbergen","given":"Léa"},{"family":"Newbold","given":"K. Bruce"},{"family":"Ganann","given":"Rebecca"}],"issued":{"date-parts":[["2024",1]]}}},{"id":949,"uris":["http://zotero.org/groups/6563173/items/RB7ACUDS"],"itemData":{"id":949,"type":"article-journal","abstract":"“Mobility of care” refers to the daily travel required to complete care labor such as travel to the grocery store, or to escort children. Though past research has examined the distribution of individual types of household-serving travel, little research to date, especially in the North American context, has examined mobility of care which combines all travel required to fulfill a household’s care needs. This paper presents the results of an exploratory analysis of mobility of care drawing on the 2018 Montreal Origin–Destination Survey. Specifically, this paper explores who completes this type of travel and how this mobility is completed. Findings indicate that mobility of care comprises 28% of adults’ daily mobility. Further, women are found to complete more of this type of travel than men, especially women from lower-income households. The presence of children in the household further widens this gendered gap, though the number of children present does not alter this trend greatly. Mobility of care trips are shorter on average than other types of travel and are frequently completed as part of a trip-chain. Further, car use and walking are more frequently used for mobility of care than other types of travel, while the opposite is true for public transport and cycling. The use of public transport for mobility of care trips is greater amongst women than men, especially those living in lower-income households. Taken together, results highlight the importance for practitioners to explicitly address mobility of care in transport planning, and particularly in public transport planning.","citation-key":"ravensbergenExploratoryAnalysisMobility2023a","container-title":"Transportation Research Record: Journal of the Transportation Research Board","DOI":"10.1177/03611981221105070","ISSN":"0361-1981, 2169-4052","issue":"1","journalAbbreviation":"Transportation Research Record: Journal of the Transportation Research Board","language":"en","page":"1499-1509","source":"DOI.org (Crossref)","title":"Exploratory Analysis of Mobility of Care in Montreal, Canada","volume":"2677","author":[{"family":"Ravensbergen","given":"Léa"},{"family":"Fournier","given":"Juliette"},{"family":"El-Geneidy","given":"Ahmed"}],"issued":{"date-parts":[["2023",1]]}}},{"id":952,"uris":["http://zotero.org/groups/6563173/items/NZXTC9JU"],"itemData":{"id":952,"type":"article-journal","abstract":"Community transport comprises diverse local, not-for-profit, and primarily volunteer-run transport schemes that operate across the United Kingdom. These schemes support the travel needs of thousands of people, most of whom are older, live in rural areas, and have few other transport options. Further, this transport sector is unique in that most schemes are designed, created, and run by older people themselves. And yet, community transport has thus far received relatively little attention in both policy and research. Using semi-structured interviews with community transport providers in Oxfordshire, this paper proposes community transport as a practice guided by phronesis and argues that it has been made to hold a dual role as both a transport and a social scheme. The transport it provides is unique in being made low-cost, flexible, and functionally accessible. It has also been made into a social scheme as it helps those with few other options, provides benefits that extend beyond the transport realm, and fosters community. Though this dual role means that community transport has many cross-sectoral benefits, this type of service provision is found to be overlooked in both national and local policy, which has enabled the constitutive role of phronesis in community transport. Given this, there are challenges ahead for the sector in both ensuring its sustainability and maintaining its ability to respond closely to users’ needs.","citation-key":"ravensbergenCommunityTransportsDual2024a","container-title":"International Journal of Environmental Research and Public Health","DOI":"10.3390/ijerph21040422","ISSN":"1660-4601","issue":"4","language":"en","license":"https://creativecommons.org/licenses/by/3.0/","publisher":"Multidisciplinary Digital Publishing Institute","source":"www.mdpi.com","title":"Community Transport’s Dual Role as a Transport and a Social Scheme: Implications for Policy","title-short":"Community Transport’s Dual Role as a Transport and a Social Scheme","URL":"https://www.mdpi.com/1660-4601/21/4/422","volume":"21","author":[{"family":"Ravensbergen","given":"Léa"},{"family":"Schwanen","given":"Tim"}],"accessed":{"date-parts":[["2026",9,21]]},"issued":{"date-parts":[["2024",3,29]]}}}],"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(108,110,111)</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Her expertise is as a qualitative methods researcher </w:t>
      </w:r>
      <w:r>
        <w:fldChar w:fldCharType="begin"/>
      </w:r>
      <w:r>
        <w:rPr>
          <w:rFonts w:ascii="times new roman" w:hAnsi="times new roman" w:eastAsia="Times New Roman" w:cs="Times New Roman"/>
        </w:rPr>
        <w:instrText xml:space="preserve">ADDIN ZOTERO_ITEM CSL_CITATION {"citationID":"UeHwrBj0","properties":{"unsorted":false,"formattedCitation":"(109,112\\uc0\\u8211{}114)","plainCitation":"(109,112–114)","noteIndex":0},"citationItems":[{"id":955,"uris":["http://zotero.org/groups/6563173/items/7AALKXRX"],"itemData":{"id":955,"type":"article-journal","abstract":"This paper contributes to research on public transport accessibility, disabling spaces, and older adult's mobility by highlighting the ‘mobility work’ older adults complete to meet their daily travel needs. Drawing on a systematic and inductive analysis of semi-structured interviews with older adult (65+ years of age) public transit users in Hamilton, Canada, we argue that older adults are faced with mobility work that younger and/or more able-bodied people do not routinely encounter as they meet (or attempt to meet) their daily travel needs using public transportation. Key components of older adults' trips that involve mobility work include walking to and from the bus stop, trip planning, stepping onto/ off of the bus, finding a seat, carrying items on the bus, calling a stop, and travelling in winter conditions. This mobility work can be categorized as physical (e.g., struggling to board the bus), emotional (e.g., worrying about getting a seat), or spatiotemporal (e.g., staying home when the weather is bad). Taken together, this paper puts forward a multidimensional concept of ‘mobility work’ to aid in considering accessibility at the scale of both the individual and the built environment. Further, by highlighting mobility work, this paper demonstrates the ways in which public transport spaces can be disabling for aging bodies and outlines concrete measures public transit agencies can take to make services more accessible to older adult riders.","citation-key":"ravensbergenMobilityWorkOlder2021","container-title":"Journal of Transport Geography","DOI":"10.1016/j.jtrangeo.2021.103221","ISSN":"0966-6923","journalAbbreviation":"Journal of Transport Geography","page":"103221","source":"ScienceDirect","title":"‘Mobility work’: Older adults' experiences using public transportation","title-short":"‘Mobility work’","volume":"97","author":[{"family":"Ravensbergen","given":"Léa"},{"family":"Newbold","given":"K Bruce"},{"family":"Ganann","given":"Rebecca"},{"family":"Sinding","given":"Christina"}],"issued":{"date-parts":[["2021",12,1]]}}},{"id":948,"uris":["http://zotero.org/groups/6563173/items/NMJ2FZXV"],"itemData":{"id":948,"type":"article-journal","abstract":"Community transport comprises diverse local, not-for-profit, and primarily volunteer-run transport schemes that operate across the United Kingdom. These schemes support the travel needs of thousands of people, most of whom are older, live in rural areas, and have few other transport options. Further, this transport sector is unique in that most schemes are designed, created, and run by older people themselves. And yet, community transport has thus far received relatively little attention in both policy and research. Using semi-structured interviews with community transport providers in Oxfordshire, this paper proposes community transport as a practice guided by phronesis and argues that it has been made to hold a dual role as both a transport and a social scheme. The transport it provides is unique in being made low-cost, flexible, and functionally accessible. It has also been made into a social scheme as it helps those with few other options, provides benefits that extend beyond the transport realm, and fosters community. Though this dual role means that community transport has many cross-sectoral benefits, this type of service provision is found to be overlooked in both national and local policy, which has enabled the constitutive role of phronesis in community transport. Given this, there are challenges ahead for the sector in both ensuring its sustainability and maintaining its ability to respond closely to users’ needs.","citation-key":"ravensbergenCommunityTransportsDual2024","container-title":"International Journal of Environmental Research and Public Health","DOI":"10.3390/ijerph21040422","ISSN":"1660-4601","issue":"4","journalAbbreviation":"IJERPH","language":"en","page":"422","source":"DOI.org (Crossref)","title":"Community Transport’s Dual Role as a Transport and a Social Scheme: Implications for Policy","title-short":"Community Transport’s Dual Role as a Transport and a Social Scheme","volume":"21","author":[{"family":"Ravensbergen","given":"Léa"},{"family":"Schwanen","given":"Tim"}],"issued":{"date-parts":[["2024",3,30]]}}},{"id":947,"uris":["http://zotero.org/groups/6563173/items/CE2QSX54"],"itemData":{"id":947,"type":"article-journal","abstract":"Compared to urban settings, rural areas are characterised by high rates of car ownership and few alternative transport options. This can lead to transport poverty, especially among older adults without car access. Community transport, not-for-profit and primarily volunteer-run local transport schemes, helps to address this rural transport poverty in the UK. This paper focuses on the emergence and evolution of these schemes, presenting a critical analysis that traces the researchers’ discomfort that arose during a study on community transport in Oxfordshire. Unpacking this discomfort draws attention to two societal processes that have shaped the emergence and evolution of community transport: neoliberalism and automobility. Results indicate how community transport can be rolled out in response to the neoliberal roll-back of the state, in this case cuts to bus subsidies and the National Health Service (NHS). However, community transport is often itself rolled-back by the state as part of further rounds of financial cuts, prompting providers to improvise ways to continue what they understand to be an essential service. Further, community transport emerges as a car-based solution in increasingly car-dependent contexts and, as such, re-enforces and further normalizes automobility. Although community transport schemes address rural transport poverty, they do not at present tackle the source of this challenge: the interconnected processes of neoliberalism and automobility. The paper concludes with a discussion of the current role of the community sector as a sticking plaster solution to rural transport poverty, as well as its potential role in contributing to the dismantling of neoliberalism and automobility.","citation-key":"ravensbergenItsSuchBig2025","container-title":"Journal of Rural Studies","DOI":"10.1016/j.jrurstud.2025.103718","ISSN":"0743-0167","journalAbbreviation":"Journal of Rural Studies","page":"103718","source":"ScienceDirect","title":"“&lt;i&gt;It's such a big ask for a volunteer&lt;/i&gt;”: Community transport as a sticking plaster solution to rural transport poverty","title-short":"“&lt;i&gt;It's such a big ask for a volunteer&lt;/i&gt;”","volume":"119","author":[{"family":"Ravensbergen","given":"Léa"},{"family":"Schwanen","given":"Tim"}],"issued":{"date-parts":[["2025",10,1]]}}},{"id":"IdBEf4Ak/EuUpAgwg","uris":["http://zotero.org/groups/6563173/items/JIKY7RDA"],"itemData":{"id":990,"type":"webpage","title":"Full article: ‘I wouldn’t take the risk of the attention, you know? Just a lone girl biking’: examining the gendered and classed embodied experiences of cycling","URL":"https://www.tandfonline.com/doi/full/10.1080/14649365.2020.1806344","accessed":{"date-parts":[["2026",9,21]]}}}],"schema":"https://github.com/citation-style-language/schema/raw/master/csl-citation.json"}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kern w:val="0"/>
        </w:rPr>
        <w:t>(109,112–114)</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including mobile ethnography </w:t>
      </w:r>
      <w:r>
        <w:fldChar w:fldCharType="begin"/>
      </w:r>
      <w:r>
        <w:rPr>
          <w:rFonts w:ascii="times new roman" w:hAnsi="times new roman" w:eastAsia="Times New Roman" w:cs="Times New Roman"/>
        </w:rPr>
        <w:instrText xml:space="preserve">ADDIN ZOTERO_ITEM CSL_CITATION {"citationID":"pX3b1cET","properties":{"unsorted":false,"formattedCitation":"(115,116)","plainCitation":"(115,116)","noteIndex":0},"citationItems":[{"id":942,"uris":["http://zotero.org/groups/6563173/items/PUEI3D3J"],"itemData":{"id":942,"type":"article-journal","citation-key":"ravensbergenCyclingSocialPractice2024","container-title":"Mobilities","DOI":"10.1080/17450101.2023.2211238","ISSN":"1745-0101, 1745-011X","issue":"2","journalAbbreviation":"Mobilities","language":"en","page":"329-343","source":"DOI.org (Crossref)","title":"Cycling as social practice: a collective autoethnography on power and vélomobility in the city","title-short":"Cycling as social practice","volume":"19","author":[{"family":"Ravensbergen","given":"Léa"},{"family":"Ilunga-Kapinga","given":"Joanna"},{"family":"Ismail","given":"Sabat"},{"family":"Patel","given":"Aayesha"},{"family":"Khachatryan","given":"Avet"},{"family":"Wong","given":"Kevin"}],"issued":{"date-parts":[["2024",3,3]]}}},{"id":944,"uris":["http://zotero.org/groups/6563173/items/BCDHU7SP"],"itemData":{"id":944,"type":"article-journal","abstract":"Abstract\n            \n              Nation‐wide cuts to bus subsidies have led to reduced service in rural communities in the UK, leaving those who do not have access to a car – most of whom are older, have a disability, or have a low income – with few other options to meet their travel needs. This has resulted in greater demand on community transport, small‐scale, local, and community‐based transport schemes that are run by the not‐for‐profit sector and are primarily volunteer‐run. Drawing on 28 interviews conducted with volunteers and staff from community transport schemes across Oxfordshire, this paper describes the provision of community transport schemes at the intersection of informal transport and an ethics of care. This sector is posited as informal, however; unlike many informal transport schemes, community transport is non‐entrepreneurial. Instead, these schemes emerge from the community and are care‐driven. Volunteers who run these schemes all provide skilled labour that is a practice of caring about, caring for, or care giving. This framing highlights the undervaluing of community transport. Indeed, the labour and schemes are underfunded and lack recognition. This study therefore emphasises the socio‐political nature of community transport and shows the importance of supporting\n              caring\n              transport services. It concludes by discussing how this undervalued sector might be re‐valorised so that it can continue to support those with few other transport options.\n            \n          , \n            Short Abstract\n            Community transport refers to small‐scale, local, and community‐based transport schemes that are run by the not‐for‐profit sector and are primarily volunteer‐run. Drawing on 28 interviews conducted with scheme providers, this paper describes the provision of community transport schemes at the intersection of informal transport and an ethics of care. This care‐driven informality framing highlights the undervaluing of community transport, a trend that might be applied to other sectors in need of revalorisation.","citation-key":"ravensbergenCaredrivenInformalityCase2024","container-title":"The Geographical Journal","DOI":"10.1111/geoj.12552","ISSN":"0016-7398, 1475-4959","issue":"2","journalAbbreviation":"Geographical Journal","language":"en","page":"e12552","source":"DOI.org (Crossref)","title":"Care‐driven informality: The case of community transport","title-short":"Care‐driven informality","volume":"190","author":[{"family":"Ravensbergen","given":"Léa"},{"family":"Schwanen","given":"Tim"}],"issued":{"date-parts":[["2024",6]]}}}],"schema":"https://github.com/citation-style-language/schema/raw/master/csl-citation.json"}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(115,116)</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She has conducted Codesign research in which older adults codeveloped a mobility reporting tool </w:t>
      </w:r>
      <w:r>
        <w:fldChar w:fldCharType="begin"/>
      </w:r>
      <w:r>
        <w:rPr>
          <w:rFonts w:ascii="times new roman" w:hAnsi="times new roman" w:eastAsia="Times New Roman" w:cs="Times New Roman"/>
        </w:rPr>
        <w:instrText xml:space="preserve">ADDIN ZOTERO_ITEM CSL_CITATION {"citationID":"oBk3Vnq8","properties":{"unsorted":false,"formattedCitation":"(117)","plainCitation":"(117)","noteIndex":0},"citationItems":[{"id":939,"uris":["http://zotero.org/groups/6563173/items/65NFKWWA"],"itemData":{"id":939,"type":"article-journal","citation-key":"theodorecollinsIdSeeAllUnderreview","container-title":"Journal of Population Ageing","title":"\"I’d Like to See All of It”: Co-Designing a Feedback Mobility Report with Older Adults","author":[{"literal":"Theodore Collins"},{"literal":"Karen Van Ooteghem"},{"literal":"Sheereen Harris"},{"literal":"Marla Beauchamp"},{"literal":"Léa Ravensbergen"}],"issued":{"literal":"Under review"}}}],"schema":"https://github.com/citation-style-language/schema/raw/master/csl-citation.json"}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(117)</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and has expertise in community-based research </w:t>
      </w:r>
      <w:r>
        <w:fldChar w:fldCharType="begin"/>
      </w:r>
      <w:r>
        <w:rPr>
          <w:rFonts w:ascii="times new roman" w:hAnsi="times new roman" w:eastAsia="Times New Roman" w:cs="Times New Roman"/>
        </w:rPr>
        <w:instrText xml:space="preserve">ADDIN ZOTERO_ITEM CSL_CITATION {"citationID":"omjnXfHq","properties":{"unsorted":false,"formattedCitation":"(118)","plainCitation":"(118)","noteIndex":0},"citationItems":[{"id":940,"uris":["http://zotero.org/groups/6563173/items/4BLXRXBE"],"itemData":{"id":940,"type":"article-journal","citation-key":"alexandrasbrocchiEpistemicInjusticeCommunityBasedUnderreview","container-title":"Journal of Transport Geography","title":"Epistemic Injustice in Community-Based Transportation Research: Insights from Researchers’ Experiences","author":[{"literal":"Alexandra Sbrocchi"},{"literal":"Liam Bienstock"},{"literal":"Elyse Comeau"},{"literal":"Jacob Alhassan"},{"literal":"Marvin Macaraig"},{"literal":"Lea Ravensbergen"},{"literal":"Steven Farber"}],"issued":{"literal":"Under review"}}}],"schema":"https://github.com/citation-style-language/schema/raw/master/csl-citation.json"}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(118)</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xml:space="preserve">. Her work includes collaborations with all levels of governments in various provinces, transit agencies across the country, and non-for-profit organizations. She is part of a pan-Canadian team that was granted a $.16 million NSERC Alliance grant to research data-driven tools for planning and operating gender-inclusive public transit systems in Canada. In this role, she is working in partnership with 14 Canadian transit agencies to better integrate and implement gender-sensitive data collection practices. Since 2023 she has worked with the Hamilton Street Railway (HSR), the public transit agency of the City of Hamilton </w:t>
      </w:r>
      <w:r>
        <w:fldChar w:fldCharType="begin"/>
      </w:r>
      <w:r>
        <w:rPr>
          <w:rFonts w:ascii="times new roman" w:hAnsi="times new roman" w:eastAsia="Times New Roman" w:cs="Times New Roman"/>
        </w:rPr>
        <w:instrText xml:space="preserve">ADDIN ZOTERO_ITEM CSL_CITATION {"citationID":"kxriLMat","properties":{"unsorted":false,"formattedCitation":"(108,119,120)","plainCitation":"(108,119,120)","noteIndex":0},"citationItems":[{"id":954,"uris":["http://zotero.org/groups/6563173/items/TEQP42DS"],"itemData":{"id":954,"type":"article-journal","abstract":"Independent mobility is an important component of healthy ageing. Public transit may be an affordable way to achieve independent mobility, and yet little is known about older adults’ transition to public transit. This paper addresses this research gap by providing an exploration of older adults’ experiences transitioning to public transit use, and by comparing these experiences to those of older people who have always travelled using transit. Twenty-four older adults (65+) living in Hamilton, Canada, who use public transit completed semi-structured interviews during which they discussed their experiences when they first began to use transit. These experiences are framed herein with the concept self-efficacy, i.e. how one's belief in their ability to complete a task shapes their ability to complete said task. Results indicate that most older adults acquire skills to transition to public transit, such as trip planning, boarding, knowing where to sit and exiting the bus. These skills are developed through practice. As one gains experience, one becomes more confident in their ability to meet their daily travel needs using transit. Therefore, the transition to public transit as an older adult can be more challenging for those with little experience using public transit. This paper highlights the danger of assuming all older adults will effortlessly take up transit and stresses the importance of older adults gaining experience using public transit.","citation-key":"ravensbergenItsOverwhelmingStart2024","container-title":"Ageing &amp; Society","DOI":"10.1017/S0144686X22000010","ISSN":"0144-686X, 1469-1779","issue":"1","language":"en","page":"43-60","source":"Cambridge University Press","title":"‘It's overwhelming at the start’: transitioning to public transit use as an older adult","title-short":"‘It's overwhelming at the start’","volume":"44","author":[{"family":"Ravensbergen","given":"Léa"},{"family":"Newbold","given":"K. Bruce"},{"family":"Ganann","given":"Rebecca"}],"issued":{"date-parts":[["2024",1]]}}},{"id":938,"uris":["http://zotero.org/groups/6563173/items/UTZYHHD4"],"itemData":{"id":938,"type":"webpage","abstract":"Canada’s population is rapidly ageing. One sector that is important to older adults’ quality of life is transportation. Indeed, the lack of safe, reliable, and accessible transportation can be a barrier to healthy ageing and increases people’s risk of social isolation. For many older adults, driving is no longer an option, and fixed-route public transports […]","citation-key":"learavensbergenAccessibleTransportationServices","container-title":"Mitacs","language":"en-CA","title":"Accessible Transportation Services: Customer Travel Satisfaction","title-short":"Accessible Transportation Services","URL":"https://www.mitacs.ca/our-projects/accessible-transportation-services-customer-travel-satisfaction/","author":[{"literal":"Léa Ravensbergen"},{"literal":"Darren Scott"},{"literal":"Bruce Newbold"}],"accessed":{"date-parts":[["2026",9,21]]}}},{"id":941,"uris":["http://zotero.org/groups/6563173/items/3AXNYGXC"],"itemData":{"id":941,"type":"article-journal","abstract":"In the United States (US) and Canada, paratransit refers to transportation services that supplement scheduled, fixed route, mass transit to eligible passengers, namely people with disabilities and a growing number of older adults. This paper presents a critical systematic review of the literature on paratransit in the US and Canada since 2010 (n = 57), investigating what is known about paratransit, as well as the methodological and conceptual approaches privileged in this literature. Three separate approaches to the study of paratransit were identified. The first approach is paratransit modeling (n = 22). Under this approach, papers focus on demand modeling and route optimization (n = 12), cost optimization (n = 6), or quality of service and system information management (n = 4). Papers under the second approach, alternatives (n = 15), all propose different ways to provide paratransit services, including public–private partnerships (n = 6), autonomous vehicle technologies (n = 5), and the diversion of current paratransit user toward other modes (n = 4). Thirdly, many papers examine current services (n = 20), relating to system performance (n = 9), operational considerations (n = 7), or user perspectives (n = 4). When combined with a strong bias toward quantitative studies (77%) the perspectives of paratransit users are under-represented in the literature, over-shadowed by a focus on cost-cutting and improving operational efficiency. These trends are discussed in relation to neoliberalism and Critical Ableist Studies. Future research should directly involve paratransit users, engage in theory, and embrace qualitative methods.","citation-key":"collinsLandscapeContemporaryParatransit2025","container-title":"Travel Behaviour and Society","DOI":"10.1016/j.tbs.2024.100930","ISSN":"2214-367X","journalAbbreviation":"Travel Behaviour and Society","page":"100930","source":"ScienceDirect","title":"The landscape of contemporary paratransit research: A critical systematic review of the literature in the US and Canada","title-short":"The landscape of contemporary paratransit research","volume":"38","author":[{"family":"Collins","given":"Theodore"},{"family":"Ravensbergen","given":"Léa"},{"family":"Young","given":"Mischa"}],"issued":{"date-parts":[["2025",1,1]]}}}],"schema":"https://github.com/citation-style-language/schema/raw/master/csl-citation.json"}</w:instrText>
      </w:r>
      <w:r>
        <w:rPr>
          <w:rFonts w:ascii="times new roman" w:hAnsi="times new roman" w:eastAsia="Times New Roman" w:cs="Times New Roman"/>
        </w:rPr>
      </w:r>
      <w:r>
        <w:rPr>
          <w:rFonts w:ascii="times new roman" w:hAnsi="times new roman" w:eastAsia="Times New Roman" w:cs="Times New Roman"/>
        </w:rPr>
        <w:fldChar w:fldCharType="separate"/>
      </w:r>
      <w:r>
        <w:rPr>
          <w:rFonts w:ascii="times new roman" w:hAnsi="times new roman" w:eastAsia="Times New Roman" w:cs="Times New Roman"/>
        </w:rPr>
      </w:r>
      <w:r>
        <w:rPr>
          <w:rFonts w:ascii="times new roman" w:hAnsi="times new roman" w:cs="Times New Roman"/>
        </w:rPr>
        <w:t>(108,119,120)</w:t>
      </w:r>
      <w:r>
        <w:rPr>
          <w:rFonts w:ascii="times new roman" w:hAnsi="times new roman" w:eastAsia="Times New Roman" w:cs="Times New Roman"/>
        </w:rPr>
      </w:r>
      <w:r>
        <w:rPr>
          <w:rFonts w:ascii="times new roman" w:hAnsi="times new roman" w:eastAsia="Times New Roman" w:cs="Times New Roman"/>
        </w:rPr>
        <w:fldChar w:fldCharType="end"/>
      </w:r>
      <w:r>
        <w:rPr>
          <w:rFonts w:ascii="times new roman" w:hAnsi="times new roman" w:eastAsia="Times New Roman" w:cs="Times New Roman"/>
        </w:rPr>
        <w:t>. She is well positioned to lead to the Codesign element of this research, and has the relationships required to ensure a successful process.</w:t>
      </w:r>
    </w:p>
    <w:p xmlns:wp14="http://schemas.microsoft.com/office/word/2010/wordml" w14:paraId="0DA8FF12" wp14:textId="77777777">
      <w:pPr>
        <w:pStyle w:val="Heading1"/>
        <w:rPr>
          <w:rFonts w:ascii="times new roman" w:hAnsi="times new roman"/>
        </w:rPr>
      </w:pPr>
      <w:r>
        <w:rPr>
          <w:rFonts w:ascii="times new roman" w:hAnsi="times new roman"/>
        </w:rPr>
        <w:t>C. DESCRIPTION OF TRAINING STRATEGIES</w:t>
      </w:r>
    </w:p>
    <w:p xmlns:wp14="http://schemas.microsoft.com/office/word/2010/wordml" w14:paraId="58096C5E" wp14:textId="77777777">
      <w:pPr>
        <w:pStyle w:val="Normal"/>
        <w:rPr>
          <w:rFonts w:ascii="times new roman" w:hAnsi="times new roman"/>
        </w:rPr>
      </w:pPr>
      <w:r>
        <w:rPr>
          <w:rFonts w:ascii="times new roman" w:hAnsi="times new roman"/>
        </w:rPr>
        <w:t xml:space="preserve">Our strategy for training highly qualified personnel is based on extensive involvement of the students, well-defined responsibilities for the integration of graduate students into all aspects of the project, and close supervision by a team of interdisciplinary supervisors (see Table MT.1). </w:t>
      </w:r>
    </w:p>
    <w:p xmlns:wp14="http://schemas.microsoft.com/office/word/2010/wordml" w14:paraId="582139F8" wp14:textId="77777777">
      <w:pPr>
        <w:pStyle w:val="Normal"/>
        <w:spacing w:before="120" w:after="0"/>
        <w:rPr>
          <w:rFonts w:ascii="times new roman" w:hAnsi="times new roman"/>
        </w:rPr>
      </w:pPr>
      <w:r>
        <w:rPr>
          <w:rFonts w:ascii="times new roman" w:hAnsi="times new roman"/>
          <w:b/>
          <w:bCs/>
          <w:sz w:val="20"/>
          <w:szCs w:val="20"/>
        </w:rPr>
        <w:t>Table MT.1.</w:t>
      </w:r>
      <w:r>
        <w:rPr>
          <w:rFonts w:ascii="times new roman" w:hAnsi="times new roman"/>
          <w:sz w:val="20"/>
          <w:szCs w:val="20"/>
        </w:rPr>
        <w:t xml:space="preserve"> Supervisory Matrix</w:t>
      </w:r>
    </w:p>
    <w:tbl>
      <w:tblPr>
        <w:tblW w:w="5000" w:type="pct"/>
        <w:jc w:val="left"/>
        <w:tblInd w:w="15" w:type="dxa"/>
        <w:tblLayout w:type="fixed"/>
        <w:tblCellMar>
          <w:top w:w="15" w:type="dxa"/>
          <w:left w:w="15" w:type="dxa"/>
          <w:bottom w:w="0" w:type="dxa"/>
          <w:right w:w="15" w:type="dxa"/>
        </w:tblCellMar>
        <w:tblLook w:val="06a0" w:firstRow="1" w:lastRow="0" w:firstColumn="1" w:lastColumn="0" w:noHBand="1" w:noVBand="1"/>
      </w:tblPr>
      <w:tblGrid>
        <w:gridCol w:w="3601"/>
        <w:gridCol w:w="1897"/>
        <w:gridCol w:w="537"/>
        <w:gridCol w:w="573"/>
        <w:gridCol w:w="1494"/>
        <w:gridCol w:w="1977"/>
      </w:tblGrid>
      <w:tr xmlns:wp14="http://schemas.microsoft.com/office/word/2010/wordml" w14:paraId="68E35D2D" wp14:textId="77777777">
        <w:trPr>
          <w:trHeight w:val="315" w:hRule="atLeast"/>
        </w:trPr>
        <w:tc>
          <w:tcPr>
            <w:tcW w:w="3601" w:type="dxa"/>
            <w:tcBorders/>
            <w:vAlign w:val="bottom"/>
          </w:tcPr>
          <w:p w14:paraId="02EB378F" wp14:textId="77777777">
            <w:pPr>
              <w:pStyle w:val="Normal"/>
              <w:ind w:hanging="0"/>
              <w:rPr>
                <w:rFonts w:ascii="times new roman" w:hAnsi="times new roman"/>
                <w:sz w:val="18"/>
                <w:szCs w:val="18"/>
              </w:rPr>
            </w:pPr>
            <w:r>
              <w:rPr>
                <w:rFonts w:ascii="times new roman" w:hAnsi="times new roman"/>
                <w:sz w:val="18"/>
                <w:szCs w:val="18"/>
              </w:rPr>
            </w:r>
          </w:p>
        </w:tc>
        <w:tc>
          <w:tcPr>
            <w:tcW w:w="1897" w:type="dxa"/>
            <w:tcBorders/>
            <w:vAlign w:val="bottom"/>
          </w:tcPr>
          <w:p w14:paraId="6A05A809" wp14:textId="77777777">
            <w:pPr>
              <w:pStyle w:val="Normal"/>
              <w:ind w:hanging="0"/>
              <w:rPr>
                <w:rFonts w:ascii="times new roman" w:hAnsi="times new roman"/>
                <w:sz w:val="18"/>
                <w:szCs w:val="18"/>
              </w:rPr>
            </w:pPr>
            <w:r>
              <w:rPr>
                <w:rFonts w:ascii="times new roman" w:hAnsi="times new roman"/>
                <w:sz w:val="18"/>
                <w:szCs w:val="18"/>
              </w:rPr>
            </w:r>
          </w:p>
        </w:tc>
        <w:tc>
          <w:tcPr>
            <w:tcW w:w="537" w:type="dxa"/>
            <w:tcBorders/>
            <w:vAlign w:val="bottom"/>
          </w:tcPr>
          <w:p w14:paraId="5A39BBE3" wp14:textId="77777777">
            <w:pPr>
              <w:pStyle w:val="Normal"/>
              <w:ind w:hanging="0"/>
              <w:rPr>
                <w:rFonts w:ascii="times new roman" w:hAnsi="times new roman"/>
                <w:sz w:val="18"/>
                <w:szCs w:val="18"/>
              </w:rPr>
            </w:pPr>
            <w:r>
              <w:rPr>
                <w:rFonts w:ascii="times new roman" w:hAnsi="times new roman"/>
                <w:sz w:val="18"/>
                <w:szCs w:val="18"/>
              </w:rPr>
            </w:r>
          </w:p>
        </w:tc>
        <w:tc>
          <w:tcPr>
            <w:tcW w:w="573" w:type="dxa"/>
            <w:tcBorders>
              <w:top w:val="single" w:color="000000" w:sz="4" w:space="0"/>
              <w:left w:val="single" w:color="000000" w:sz="4" w:space="0"/>
              <w:bottom w:val="single" w:color="000000" w:sz="8" w:space="0"/>
              <w:right w:val="single" w:color="000000" w:sz="4" w:space="0"/>
            </w:tcBorders>
            <w:vAlign w:val="bottom"/>
          </w:tcPr>
          <w:p w14:paraId="3C72651D" wp14:textId="77777777">
            <w:pPr>
              <w:pStyle w:val="Normal"/>
              <w:ind w:hanging="0"/>
              <w:jc w:val="center"/>
              <w:rPr>
                <w:rFonts w:ascii="times new roman" w:hAnsi="times new roman"/>
              </w:rPr>
            </w:pPr>
            <w:r>
              <w:rPr>
                <w:rFonts w:ascii="times new roman" w:hAnsi="times new roman" w:eastAsia="Times New Roman" w:cs="Times New Roman"/>
                <w:b/>
                <w:bCs/>
                <w:color w:val="000000" w:themeColor="text1"/>
                <w:sz w:val="18"/>
                <w:szCs w:val="18"/>
              </w:rPr>
              <w:t>Year</w:t>
            </w:r>
          </w:p>
        </w:tc>
        <w:tc>
          <w:tcPr>
            <w:tcW w:w="1494" w:type="dxa"/>
            <w:tcBorders>
              <w:top w:val="single" w:color="000000" w:sz="4" w:space="0"/>
              <w:left w:val="single" w:color="000000" w:sz="4" w:space="0"/>
              <w:bottom w:val="single" w:color="000000" w:sz="8" w:space="0"/>
              <w:right w:val="single" w:color="000000" w:sz="4" w:space="0"/>
            </w:tcBorders>
            <w:vAlign w:val="bottom"/>
          </w:tcPr>
          <w:p w14:paraId="291C8950" wp14:textId="77777777">
            <w:pPr>
              <w:pStyle w:val="Normal"/>
              <w:ind w:hanging="0"/>
              <w:jc w:val="center"/>
              <w:rPr>
                <w:rFonts w:ascii="times new roman" w:hAnsi="times new roman"/>
              </w:rPr>
            </w:pPr>
            <w:r>
              <w:rPr>
                <w:rFonts w:ascii="times new roman" w:hAnsi="times new roman" w:eastAsia="Times New Roman" w:cs="Times New Roman"/>
                <w:b/>
                <w:bCs/>
                <w:color w:val="000000" w:themeColor="text1"/>
                <w:sz w:val="18"/>
                <w:szCs w:val="18"/>
              </w:rPr>
              <w:t>Main Supervisor</w:t>
            </w:r>
          </w:p>
        </w:tc>
        <w:tc>
          <w:tcPr>
            <w:tcW w:w="1977" w:type="dxa"/>
            <w:tcBorders>
              <w:top w:val="single" w:color="000000" w:sz="4" w:space="0"/>
              <w:left w:val="single" w:color="000000" w:sz="4" w:space="0"/>
              <w:bottom w:val="single" w:color="000000" w:sz="8" w:space="0"/>
              <w:right w:val="single" w:color="000000" w:sz="4" w:space="0"/>
            </w:tcBorders>
            <w:vAlign w:val="bottom"/>
          </w:tcPr>
          <w:p w14:paraId="6AADD96E" wp14:textId="77777777">
            <w:pPr>
              <w:pStyle w:val="Normal"/>
              <w:ind w:hanging="0"/>
              <w:jc w:val="center"/>
              <w:rPr>
                <w:rFonts w:ascii="times new roman" w:hAnsi="times new roman"/>
              </w:rPr>
            </w:pPr>
            <w:r>
              <w:rPr>
                <w:rFonts w:ascii="times new roman" w:hAnsi="times new roman" w:eastAsia="Times New Roman" w:cs="Times New Roman"/>
                <w:b/>
                <w:bCs/>
                <w:color w:val="000000" w:themeColor="text1"/>
                <w:sz w:val="18"/>
                <w:szCs w:val="18"/>
              </w:rPr>
              <w:t>Supervisory Committee</w:t>
            </w:r>
          </w:p>
        </w:tc>
      </w:tr>
      <w:tr xmlns:wp14="http://schemas.microsoft.com/office/word/2010/wordml" w14:paraId="44CCF59E" wp14:textId="77777777">
        <w:trPr>
          <w:trHeight w:val="300" w:hRule="atLeast"/>
        </w:trPr>
        <w:tc>
          <w:tcPr>
            <w:tcW w:w="3601" w:type="dxa"/>
            <w:vMerge w:val="restart"/>
            <w:tcBorders>
              <w:top w:val="single" w:color="000000" w:sz="4" w:space="0"/>
              <w:left w:val="single" w:color="000000" w:sz="4" w:space="0"/>
              <w:bottom w:val="single" w:color="000000" w:sz="4" w:space="0"/>
              <w:right w:val="single" w:color="000000" w:sz="4" w:space="0"/>
            </w:tcBorders>
            <w:vAlign w:val="center"/>
          </w:tcPr>
          <w:p w14:paraId="1998F597" wp14:textId="77777777">
            <w:pPr>
              <w:pStyle w:val="Normal"/>
              <w:ind w:hanging="0"/>
              <w:jc w:val="left"/>
              <w:rPr>
                <w:rFonts w:ascii="times new roman" w:hAnsi="times new roman"/>
              </w:rPr>
            </w:pPr>
            <w:r>
              <w:rPr>
                <w:rFonts w:ascii="times new roman" w:hAnsi="times new roman" w:eastAsia="Times New Roman" w:cs="Times New Roman"/>
                <w:color w:val="000000" w:themeColor="text1"/>
                <w:sz w:val="18"/>
                <w:szCs w:val="18"/>
              </w:rPr>
              <w:t>WP.1 Theoretically-grounded equity indicators</w:t>
            </w:r>
          </w:p>
        </w:tc>
        <w:tc>
          <w:tcPr>
            <w:tcW w:w="1897" w:type="dxa"/>
            <w:tcBorders>
              <w:top w:val="single" w:color="000000" w:sz="4" w:space="0"/>
              <w:left w:val="single" w:color="000000" w:sz="4" w:space="0"/>
              <w:bottom w:val="single" w:color="000000" w:sz="4" w:space="0"/>
              <w:right w:val="single" w:color="000000" w:sz="4" w:space="0"/>
            </w:tcBorders>
            <w:shd w:val="clear" w:fill="FFDBB6"/>
            <w:vAlign w:val="bottom"/>
          </w:tcPr>
          <w:p w14:paraId="61ED324C"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Post-Doctoral Fellow 1</w:t>
            </w:r>
          </w:p>
        </w:tc>
        <w:tc>
          <w:tcPr>
            <w:tcW w:w="537" w:type="dxa"/>
            <w:tcBorders>
              <w:top w:val="single" w:color="000000" w:sz="4" w:space="0"/>
              <w:left w:val="single" w:color="000000" w:sz="4" w:space="0"/>
              <w:bottom w:val="single" w:color="000000" w:sz="4" w:space="0"/>
              <w:right w:val="single" w:color="000000" w:sz="4" w:space="0"/>
            </w:tcBorders>
            <w:shd w:val="clear" w:fill="FFDBB6"/>
            <w:vAlign w:val="bottom"/>
          </w:tcPr>
          <w:p w14:paraId="4B4259CC"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PD1</w:t>
            </w:r>
          </w:p>
        </w:tc>
        <w:tc>
          <w:tcPr>
            <w:tcW w:w="573" w:type="dxa"/>
            <w:tcBorders>
              <w:top w:val="single" w:color="000000" w:sz="8" w:space="0"/>
              <w:left w:val="single" w:color="000000" w:sz="4" w:space="0"/>
              <w:bottom w:val="single" w:color="000000" w:sz="4" w:space="0"/>
              <w:right w:val="single" w:color="000000" w:sz="4" w:space="0"/>
            </w:tcBorders>
            <w:vAlign w:val="bottom"/>
          </w:tcPr>
          <w:p w14:paraId="649841BE"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1</w:t>
            </w:r>
          </w:p>
        </w:tc>
        <w:tc>
          <w:tcPr>
            <w:tcW w:w="1494" w:type="dxa"/>
            <w:tcBorders>
              <w:top w:val="single" w:color="000000" w:sz="8" w:space="0"/>
              <w:left w:val="single" w:color="000000" w:sz="4" w:space="0"/>
              <w:bottom w:val="single" w:color="000000" w:sz="4" w:space="0"/>
              <w:right w:val="single" w:color="000000" w:sz="4" w:space="0"/>
            </w:tcBorders>
            <w:vAlign w:val="bottom"/>
          </w:tcPr>
          <w:p w14:paraId="1D1E3BB1"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w:t>
            </w:r>
          </w:p>
        </w:tc>
        <w:tc>
          <w:tcPr>
            <w:tcW w:w="1977" w:type="dxa"/>
            <w:tcBorders>
              <w:top w:val="single" w:color="000000" w:sz="8" w:space="0"/>
              <w:left w:val="single" w:color="000000" w:sz="4" w:space="0"/>
              <w:bottom w:val="single" w:color="000000" w:sz="4" w:space="0"/>
              <w:right w:val="single" w:color="000000" w:sz="4" w:space="0"/>
            </w:tcBorders>
            <w:vAlign w:val="bottom"/>
          </w:tcPr>
          <w:p w14:paraId="5D62ABCE"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De Barros, Pereira</w:t>
            </w:r>
          </w:p>
        </w:tc>
      </w:tr>
      <w:tr xmlns:wp14="http://schemas.microsoft.com/office/word/2010/wordml" w14:paraId="58EEC3CB" wp14:textId="77777777">
        <w:trPr>
          <w:trHeight w:val="300" w:hRule="atLeast"/>
        </w:trPr>
        <w:tc>
          <w:tcPr>
            <w:tcW w:w="3601" w:type="dxa"/>
            <w:vMerge w:val="continue"/>
            <w:tcBorders>
              <w:top w:val="single" w:color="000000" w:sz="4" w:space="0"/>
              <w:left w:val="single" w:color="000000" w:sz="4" w:space="0"/>
              <w:bottom w:val="single" w:color="000000" w:sz="4" w:space="0"/>
              <w:right w:val="single" w:color="000000" w:sz="4" w:space="0"/>
            </w:tcBorders>
            <w:vAlign w:val="bottom"/>
          </w:tcPr>
          <w:p w14:paraId="41C8F396" wp14:textId="77777777">
            <w:pPr>
              <w:pStyle w:val="Normal"/>
              <w:ind w:hanging="0"/>
              <w:jc w:val="left"/>
              <w:rPr>
                <w:rFonts w:ascii="times new roman" w:hAnsi="times new roman"/>
              </w:rPr>
            </w:pPr>
            <w:r>
              <w:rPr>
                <w:rFonts w:ascii="times new roman" w:hAnsi="times new roman"/>
              </w:rPr>
            </w:r>
          </w:p>
        </w:tc>
        <w:tc>
          <w:tcPr>
            <w:tcW w:w="1897" w:type="dxa"/>
            <w:tcBorders>
              <w:top w:val="single" w:color="000000" w:sz="4" w:space="0"/>
              <w:left w:val="single" w:color="000000" w:sz="4" w:space="0"/>
              <w:bottom w:val="single" w:color="000000" w:sz="4" w:space="0"/>
              <w:right w:val="single" w:color="000000" w:sz="4" w:space="0"/>
            </w:tcBorders>
            <w:shd w:val="clear" w:fill="FFDBB6"/>
            <w:vAlign w:val="bottom"/>
          </w:tcPr>
          <w:p w14:paraId="7E88CB5F"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Post-Doctoral Fellow 2</w:t>
            </w:r>
          </w:p>
        </w:tc>
        <w:tc>
          <w:tcPr>
            <w:tcW w:w="537" w:type="dxa"/>
            <w:tcBorders>
              <w:top w:val="single" w:color="000000" w:sz="4" w:space="0"/>
              <w:left w:val="single" w:color="000000" w:sz="4" w:space="0"/>
              <w:bottom w:val="single" w:color="000000" w:sz="4" w:space="0"/>
              <w:right w:val="single" w:color="000000" w:sz="4" w:space="0"/>
            </w:tcBorders>
            <w:shd w:val="clear" w:fill="FFDBB6"/>
            <w:vAlign w:val="bottom"/>
          </w:tcPr>
          <w:p w14:paraId="633D7BCA"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PD2</w:t>
            </w:r>
          </w:p>
        </w:tc>
        <w:tc>
          <w:tcPr>
            <w:tcW w:w="573" w:type="dxa"/>
            <w:tcBorders>
              <w:top w:val="single" w:color="000000" w:sz="4" w:space="0"/>
              <w:left w:val="single" w:color="000000" w:sz="4" w:space="0"/>
              <w:bottom w:val="single" w:color="000000" w:sz="4" w:space="0"/>
              <w:right w:val="single" w:color="000000" w:sz="4" w:space="0"/>
            </w:tcBorders>
            <w:vAlign w:val="bottom"/>
          </w:tcPr>
          <w:p w14:paraId="78941E47"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5</w:t>
            </w:r>
          </w:p>
        </w:tc>
        <w:tc>
          <w:tcPr>
            <w:tcW w:w="1494" w:type="dxa"/>
            <w:tcBorders>
              <w:top w:val="single" w:color="000000" w:sz="4" w:space="0"/>
              <w:left w:val="single" w:color="000000" w:sz="4" w:space="0"/>
              <w:bottom w:val="single" w:color="000000" w:sz="4" w:space="0"/>
              <w:right w:val="single" w:color="000000" w:sz="4" w:space="0"/>
            </w:tcBorders>
            <w:vAlign w:val="bottom"/>
          </w:tcPr>
          <w:p w14:paraId="6FBAC8EB"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w:t>
            </w:r>
          </w:p>
        </w:tc>
        <w:tc>
          <w:tcPr>
            <w:tcW w:w="1977" w:type="dxa"/>
            <w:tcBorders>
              <w:top w:val="single" w:color="000000" w:sz="4" w:space="0"/>
              <w:left w:val="single" w:color="000000" w:sz="4" w:space="0"/>
              <w:bottom w:val="single" w:color="000000" w:sz="4" w:space="0"/>
              <w:right w:val="single" w:color="000000" w:sz="4" w:space="0"/>
            </w:tcBorders>
            <w:vAlign w:val="bottom"/>
          </w:tcPr>
          <w:p w14:paraId="185E9217"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De Barros, Pereira</w:t>
            </w:r>
          </w:p>
        </w:tc>
      </w:tr>
      <w:tr xmlns:wp14="http://schemas.microsoft.com/office/word/2010/wordml" w14:paraId="01F0B7AE" wp14:textId="77777777">
        <w:trPr>
          <w:trHeight w:val="300" w:hRule="atLeast"/>
        </w:trPr>
        <w:tc>
          <w:tcPr>
            <w:tcW w:w="3601" w:type="dxa"/>
            <w:tcBorders>
              <w:top w:val="single" w:color="000000" w:sz="4" w:space="0"/>
              <w:left w:val="single" w:color="000000" w:sz="4" w:space="0"/>
              <w:bottom w:val="single" w:color="000000" w:sz="4" w:space="0"/>
              <w:right w:val="single" w:color="000000" w:sz="4" w:space="0"/>
            </w:tcBorders>
            <w:vAlign w:val="bottom"/>
          </w:tcPr>
          <w:p w14:paraId="48C88A1A" wp14:textId="77777777">
            <w:pPr>
              <w:pStyle w:val="Normal"/>
              <w:ind w:hanging="0"/>
              <w:jc w:val="left"/>
              <w:rPr>
                <w:rFonts w:ascii="times new roman" w:hAnsi="times new roman"/>
              </w:rPr>
            </w:pPr>
            <w:r>
              <w:rPr>
                <w:rFonts w:ascii="times new roman" w:hAnsi="times new roman" w:eastAsia="Times New Roman" w:cs="Times New Roman"/>
                <w:color w:val="000000" w:themeColor="text1"/>
                <w:sz w:val="18"/>
                <w:szCs w:val="18"/>
              </w:rPr>
              <w:t>WP.2 Codesign</w:t>
            </w:r>
          </w:p>
        </w:tc>
        <w:tc>
          <w:tcPr>
            <w:tcW w:w="1897" w:type="dxa"/>
            <w:tcBorders>
              <w:top w:val="single" w:color="000000" w:sz="4" w:space="0"/>
              <w:left w:val="single" w:color="000000" w:sz="4" w:space="0"/>
              <w:bottom w:val="single" w:color="000000" w:sz="4" w:space="0"/>
              <w:right w:val="single" w:color="000000" w:sz="4" w:space="0"/>
            </w:tcBorders>
            <w:shd w:val="clear" w:color="auto" w:fill="BDD7EE"/>
            <w:vAlign w:val="bottom"/>
          </w:tcPr>
          <w:p w14:paraId="5ADD7CE4"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Ph.D. Student 1</w:t>
            </w:r>
          </w:p>
        </w:tc>
        <w:tc>
          <w:tcPr>
            <w:tcW w:w="537" w:type="dxa"/>
            <w:tcBorders>
              <w:top w:val="single" w:color="000000" w:sz="4" w:space="0"/>
              <w:left w:val="single" w:color="000000" w:sz="4" w:space="0"/>
              <w:bottom w:val="single" w:color="000000" w:sz="4" w:space="0"/>
              <w:right w:val="single" w:color="000000" w:sz="4" w:space="0"/>
            </w:tcBorders>
            <w:shd w:val="clear" w:color="auto" w:fill="BDD7EE"/>
            <w:vAlign w:val="bottom"/>
          </w:tcPr>
          <w:p w14:paraId="18AC96F4"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PhD2</w:t>
            </w:r>
          </w:p>
        </w:tc>
        <w:tc>
          <w:tcPr>
            <w:tcW w:w="573" w:type="dxa"/>
            <w:tcBorders>
              <w:top w:val="single" w:color="000000" w:sz="4" w:space="0"/>
              <w:left w:val="single" w:color="000000" w:sz="4" w:space="0"/>
              <w:bottom w:val="single" w:color="000000" w:sz="4" w:space="0"/>
              <w:right w:val="single" w:color="000000" w:sz="4" w:space="0"/>
            </w:tcBorders>
            <w:vAlign w:val="bottom"/>
          </w:tcPr>
          <w:p w14:paraId="11C19698"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1 - 4</w:t>
            </w:r>
          </w:p>
        </w:tc>
        <w:tc>
          <w:tcPr>
            <w:tcW w:w="1494" w:type="dxa"/>
            <w:tcBorders>
              <w:top w:val="single" w:color="000000" w:sz="4" w:space="0"/>
              <w:left w:val="single" w:color="000000" w:sz="4" w:space="0"/>
              <w:bottom w:val="single" w:color="000000" w:sz="4" w:space="0"/>
              <w:right w:val="single" w:color="000000" w:sz="4" w:space="0"/>
            </w:tcBorders>
            <w:vAlign w:val="bottom"/>
          </w:tcPr>
          <w:p w14:paraId="2B905350"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Ravensbergen</w:t>
            </w:r>
          </w:p>
        </w:tc>
        <w:tc>
          <w:tcPr>
            <w:tcW w:w="1977" w:type="dxa"/>
            <w:tcBorders>
              <w:top w:val="single" w:color="000000" w:sz="4" w:space="0"/>
              <w:left w:val="single" w:color="000000" w:sz="4" w:space="0"/>
              <w:bottom w:val="single" w:color="000000" w:sz="4" w:space="0"/>
              <w:right w:val="single" w:color="000000" w:sz="4" w:space="0"/>
            </w:tcBorders>
            <w:vAlign w:val="bottom"/>
          </w:tcPr>
          <w:p w14:paraId="63619C7D"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 De Barros</w:t>
            </w:r>
          </w:p>
        </w:tc>
      </w:tr>
      <w:tr xmlns:wp14="http://schemas.microsoft.com/office/word/2010/wordml" w14:paraId="04177885" wp14:textId="77777777">
        <w:trPr>
          <w:trHeight w:val="300" w:hRule="atLeast"/>
        </w:trPr>
        <w:tc>
          <w:tcPr>
            <w:tcW w:w="3601" w:type="dxa"/>
            <w:tcBorders>
              <w:top w:val="single" w:color="000000" w:sz="4" w:space="0"/>
              <w:left w:val="single" w:color="000000" w:sz="4" w:space="0"/>
              <w:bottom w:val="single" w:color="000000" w:sz="4" w:space="0"/>
              <w:right w:val="single" w:color="000000" w:sz="4" w:space="0"/>
            </w:tcBorders>
            <w:vAlign w:val="bottom"/>
          </w:tcPr>
          <w:p w14:paraId="2B8652E1" wp14:textId="77777777">
            <w:pPr>
              <w:pStyle w:val="Normal"/>
              <w:ind w:hanging="0"/>
              <w:jc w:val="left"/>
              <w:rPr>
                <w:rFonts w:ascii="times new roman" w:hAnsi="times new roman"/>
              </w:rPr>
            </w:pPr>
            <w:r>
              <w:rPr>
                <w:rFonts w:ascii="times new roman" w:hAnsi="times new roman" w:eastAsia="Times New Roman" w:cs="Times New Roman"/>
                <w:color w:val="000000" w:themeColor="text1"/>
                <w:sz w:val="18"/>
                <w:szCs w:val="18"/>
              </w:rPr>
              <w:t>WP.3 Geospatial data analytics</w:t>
            </w:r>
          </w:p>
        </w:tc>
        <w:tc>
          <w:tcPr>
            <w:tcW w:w="1897" w:type="dxa"/>
            <w:tcBorders>
              <w:top w:val="single" w:color="000000" w:sz="4" w:space="0"/>
              <w:left w:val="single" w:color="000000" w:sz="4" w:space="0"/>
              <w:bottom w:val="single" w:color="000000" w:sz="4" w:space="0"/>
              <w:right w:val="single" w:color="000000" w:sz="4" w:space="0"/>
            </w:tcBorders>
            <w:shd w:val="clear" w:color="auto" w:fill="BDD7EE"/>
            <w:vAlign w:val="bottom"/>
          </w:tcPr>
          <w:p w14:paraId="5025446E"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Ph.D. Student 2</w:t>
            </w:r>
          </w:p>
        </w:tc>
        <w:tc>
          <w:tcPr>
            <w:tcW w:w="537" w:type="dxa"/>
            <w:tcBorders>
              <w:top w:val="single" w:color="000000" w:sz="4" w:space="0"/>
              <w:left w:val="single" w:color="000000" w:sz="4" w:space="0"/>
              <w:bottom w:val="single" w:color="000000" w:sz="4" w:space="0"/>
              <w:right w:val="single" w:color="000000" w:sz="4" w:space="0"/>
            </w:tcBorders>
            <w:shd w:val="clear" w:color="auto" w:fill="BDD7EE"/>
            <w:vAlign w:val="bottom"/>
          </w:tcPr>
          <w:p w14:paraId="6970BFBB"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PhD1</w:t>
            </w:r>
          </w:p>
        </w:tc>
        <w:tc>
          <w:tcPr>
            <w:tcW w:w="573" w:type="dxa"/>
            <w:tcBorders>
              <w:top w:val="single" w:color="000000" w:sz="4" w:space="0"/>
              <w:left w:val="single" w:color="000000" w:sz="4" w:space="0"/>
              <w:bottom w:val="single" w:color="000000" w:sz="4" w:space="0"/>
              <w:right w:val="single" w:color="000000" w:sz="4" w:space="0"/>
            </w:tcBorders>
            <w:vAlign w:val="bottom"/>
          </w:tcPr>
          <w:p w14:paraId="5B28B5C2"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2 - 5</w:t>
            </w:r>
          </w:p>
        </w:tc>
        <w:tc>
          <w:tcPr>
            <w:tcW w:w="1494" w:type="dxa"/>
            <w:tcBorders>
              <w:top w:val="single" w:color="000000" w:sz="4" w:space="0"/>
              <w:left w:val="single" w:color="000000" w:sz="4" w:space="0"/>
              <w:bottom w:val="single" w:color="000000" w:sz="4" w:space="0"/>
              <w:right w:val="single" w:color="000000" w:sz="4" w:space="0"/>
            </w:tcBorders>
            <w:vAlign w:val="bottom"/>
          </w:tcPr>
          <w:p w14:paraId="6EA1C113"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Higgins</w:t>
            </w:r>
          </w:p>
        </w:tc>
        <w:tc>
          <w:tcPr>
            <w:tcW w:w="1977" w:type="dxa"/>
            <w:tcBorders>
              <w:top w:val="single" w:color="000000" w:sz="4" w:space="0"/>
              <w:left w:val="single" w:color="000000" w:sz="4" w:space="0"/>
              <w:bottom w:val="single" w:color="000000" w:sz="4" w:space="0"/>
              <w:right w:val="single" w:color="000000" w:sz="4" w:space="0"/>
            </w:tcBorders>
            <w:vAlign w:val="bottom"/>
          </w:tcPr>
          <w:p w14:paraId="64F47483"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 Pereira</w:t>
            </w:r>
          </w:p>
        </w:tc>
      </w:tr>
      <w:tr xmlns:wp14="http://schemas.microsoft.com/office/word/2010/wordml" w14:paraId="2BC2ABDA" wp14:textId="77777777">
        <w:trPr>
          <w:trHeight w:val="300" w:hRule="atLeast"/>
        </w:trPr>
        <w:tc>
          <w:tcPr>
            <w:tcW w:w="3601" w:type="dxa"/>
            <w:vMerge w:val="restart"/>
            <w:tcBorders>
              <w:top w:val="single" w:color="000000" w:sz="4" w:space="0"/>
              <w:left w:val="single" w:color="000000" w:sz="4" w:space="0"/>
              <w:bottom w:val="single" w:color="000000" w:sz="4" w:space="0"/>
              <w:right w:val="single" w:color="000000" w:sz="4" w:space="0"/>
            </w:tcBorders>
            <w:vAlign w:val="center"/>
          </w:tcPr>
          <w:p w14:paraId="702AA0E4" wp14:textId="77777777">
            <w:pPr>
              <w:pStyle w:val="Normal"/>
              <w:ind w:hanging="0"/>
              <w:jc w:val="left"/>
              <w:rPr>
                <w:rFonts w:ascii="times new roman" w:hAnsi="times new roman"/>
              </w:rPr>
            </w:pPr>
            <w:r>
              <w:rPr>
                <w:rFonts w:ascii="times new roman" w:hAnsi="times new roman" w:eastAsia="Times New Roman" w:cs="Times New Roman"/>
                <w:color w:val="000000" w:themeColor="text1"/>
                <w:sz w:val="18"/>
                <w:szCs w:val="18"/>
              </w:rPr>
              <w:t xml:space="preserve">WP.4 </w:t>
            </w:r>
            <w:r>
              <w:rPr>
                <w:rFonts w:ascii="times new roman" w:hAnsi="times new roman" w:eastAsia="Times New Roman" w:cs="Times New Roman"/>
                <w:b w:val="false"/>
                <w:bCs w:val="false"/>
                <w:color w:val="000000" w:themeColor="text1"/>
                <w:sz w:val="18"/>
                <w:szCs w:val="18"/>
              </w:rPr>
              <w:t>Equity-informed transit planning and evaluation</w:t>
            </w:r>
          </w:p>
        </w:tc>
        <w:tc>
          <w:tcPr>
            <w:tcW w:w="1897" w:type="dxa"/>
            <w:tcBorders>
              <w:top w:val="single" w:color="000000" w:sz="4" w:space="0"/>
              <w:left w:val="single" w:color="000000" w:sz="4" w:space="0"/>
              <w:bottom w:val="single" w:color="000000" w:sz="4" w:space="0"/>
              <w:right w:val="single" w:color="000000" w:sz="4" w:space="0"/>
            </w:tcBorders>
            <w:shd w:val="clear" w:fill="DDE8CB"/>
            <w:vAlign w:val="bottom"/>
          </w:tcPr>
          <w:p w14:paraId="32C6B2D9"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Master Student 1</w:t>
            </w:r>
          </w:p>
        </w:tc>
        <w:tc>
          <w:tcPr>
            <w:tcW w:w="537" w:type="dxa"/>
            <w:tcBorders>
              <w:top w:val="single" w:color="000000" w:sz="4" w:space="0"/>
              <w:left w:val="single" w:color="000000" w:sz="4" w:space="0"/>
              <w:bottom w:val="single" w:color="000000" w:sz="4" w:space="0"/>
              <w:right w:val="single" w:color="000000" w:sz="4" w:space="0"/>
            </w:tcBorders>
            <w:shd w:val="clear" w:fill="DDE8CB"/>
            <w:vAlign w:val="bottom"/>
          </w:tcPr>
          <w:p w14:paraId="2F7375EA"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M1</w:t>
            </w:r>
          </w:p>
        </w:tc>
        <w:tc>
          <w:tcPr>
            <w:tcW w:w="573" w:type="dxa"/>
            <w:tcBorders>
              <w:top w:val="single" w:color="000000" w:sz="4" w:space="0"/>
              <w:left w:val="single" w:color="000000" w:sz="4" w:space="0"/>
              <w:bottom w:val="single" w:color="000000" w:sz="4" w:space="0"/>
              <w:right w:val="single" w:color="000000" w:sz="4" w:space="0"/>
            </w:tcBorders>
            <w:vAlign w:val="bottom"/>
          </w:tcPr>
          <w:p w14:paraId="33B37DA2"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1 - 2</w:t>
            </w:r>
          </w:p>
        </w:tc>
        <w:tc>
          <w:tcPr>
            <w:tcW w:w="1494" w:type="dxa"/>
            <w:tcBorders>
              <w:top w:val="single" w:color="000000" w:sz="4" w:space="0"/>
              <w:left w:val="single" w:color="000000" w:sz="4" w:space="0"/>
              <w:bottom w:val="single" w:color="000000" w:sz="4" w:space="0"/>
              <w:right w:val="single" w:color="000000" w:sz="4" w:space="0"/>
            </w:tcBorders>
            <w:vAlign w:val="bottom"/>
          </w:tcPr>
          <w:p w14:paraId="4841A79B"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Mohamed</w:t>
            </w:r>
          </w:p>
        </w:tc>
        <w:tc>
          <w:tcPr>
            <w:tcW w:w="1977" w:type="dxa"/>
            <w:tcBorders>
              <w:top w:val="single" w:color="000000" w:sz="4" w:space="0"/>
              <w:left w:val="single" w:color="000000" w:sz="4" w:space="0"/>
              <w:bottom w:val="single" w:color="000000" w:sz="4" w:space="0"/>
              <w:right w:val="single" w:color="000000" w:sz="4" w:space="0"/>
            </w:tcBorders>
            <w:vAlign w:val="bottom"/>
          </w:tcPr>
          <w:p w14:paraId="2A7BF588"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 Higgins</w:t>
            </w:r>
          </w:p>
        </w:tc>
      </w:tr>
      <w:tr xmlns:wp14="http://schemas.microsoft.com/office/word/2010/wordml" w14:paraId="784990EF" wp14:textId="77777777">
        <w:trPr>
          <w:trHeight w:val="300" w:hRule="atLeast"/>
        </w:trPr>
        <w:tc>
          <w:tcPr>
            <w:tcW w:w="3601" w:type="dxa"/>
            <w:vMerge w:val="continue"/>
            <w:tcBorders>
              <w:top w:val="single" w:color="000000" w:sz="4" w:space="0"/>
              <w:left w:val="single" w:color="000000" w:sz="4" w:space="0"/>
              <w:bottom w:val="single" w:color="000000" w:sz="4" w:space="0"/>
              <w:right w:val="single" w:color="000000" w:sz="4" w:space="0"/>
            </w:tcBorders>
            <w:vAlign w:val="bottom"/>
          </w:tcPr>
          <w:p w14:paraId="72A3D3EC" wp14:textId="77777777">
            <w:pPr>
              <w:pStyle w:val="Normal"/>
              <w:ind w:hanging="0"/>
              <w:jc w:val="left"/>
              <w:rPr>
                <w:rFonts w:ascii="times new roman" w:hAnsi="times new roman"/>
              </w:rPr>
            </w:pPr>
            <w:r>
              <w:rPr>
                <w:rFonts w:ascii="times new roman" w:hAnsi="times new roman"/>
              </w:rPr>
            </w:r>
          </w:p>
        </w:tc>
        <w:tc>
          <w:tcPr>
            <w:tcW w:w="1897" w:type="dxa"/>
            <w:tcBorders>
              <w:top w:val="single" w:color="000000" w:sz="4" w:space="0"/>
              <w:left w:val="single" w:color="000000" w:sz="4" w:space="0"/>
              <w:bottom w:val="single" w:color="000000" w:sz="4" w:space="0"/>
              <w:right w:val="single" w:color="000000" w:sz="4" w:space="0"/>
            </w:tcBorders>
            <w:shd w:val="clear" w:fill="DDE8CB"/>
            <w:vAlign w:val="bottom"/>
          </w:tcPr>
          <w:p w14:paraId="79B98C01"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Master Student 2</w:t>
            </w:r>
          </w:p>
        </w:tc>
        <w:tc>
          <w:tcPr>
            <w:tcW w:w="537" w:type="dxa"/>
            <w:tcBorders>
              <w:top w:val="single" w:color="000000" w:sz="4" w:space="0"/>
              <w:left w:val="single" w:color="000000" w:sz="4" w:space="0"/>
              <w:bottom w:val="single" w:color="000000" w:sz="4" w:space="0"/>
              <w:right w:val="single" w:color="000000" w:sz="4" w:space="0"/>
            </w:tcBorders>
            <w:shd w:val="clear" w:fill="DDE8CB"/>
            <w:vAlign w:val="bottom"/>
          </w:tcPr>
          <w:p w14:paraId="32C77CCE" wp14:textId="77777777">
            <w:pPr>
              <w:pStyle w:val="Normal"/>
              <w:ind w:hanging="0"/>
              <w:rPr>
                <w:rFonts w:ascii="times new roman" w:hAnsi="times new roman"/>
              </w:rPr>
            </w:pPr>
            <w:r>
              <w:rPr>
                <w:rFonts w:ascii="times new roman" w:hAnsi="times new roman" w:eastAsia="Times New Roman" w:cs="Times New Roman"/>
                <w:color w:val="000000" w:themeColor="text1"/>
                <w:sz w:val="18"/>
                <w:szCs w:val="18"/>
              </w:rPr>
              <w:t>M2</w:t>
            </w:r>
          </w:p>
        </w:tc>
        <w:tc>
          <w:tcPr>
            <w:tcW w:w="573" w:type="dxa"/>
            <w:tcBorders>
              <w:top w:val="single" w:color="000000" w:sz="4" w:space="0"/>
              <w:left w:val="single" w:color="000000" w:sz="4" w:space="0"/>
              <w:bottom w:val="single" w:color="000000" w:sz="4" w:space="0"/>
              <w:right w:val="single" w:color="000000" w:sz="4" w:space="0"/>
            </w:tcBorders>
            <w:vAlign w:val="bottom"/>
          </w:tcPr>
          <w:p w14:paraId="1685C19C"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3 - 4</w:t>
            </w:r>
          </w:p>
        </w:tc>
        <w:tc>
          <w:tcPr>
            <w:tcW w:w="1494" w:type="dxa"/>
            <w:tcBorders>
              <w:top w:val="single" w:color="000000" w:sz="4" w:space="0"/>
              <w:left w:val="single" w:color="000000" w:sz="4" w:space="0"/>
              <w:bottom w:val="single" w:color="000000" w:sz="4" w:space="0"/>
              <w:right w:val="single" w:color="000000" w:sz="4" w:space="0"/>
            </w:tcBorders>
            <w:vAlign w:val="bottom"/>
          </w:tcPr>
          <w:p w14:paraId="5403401F"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Mohamed</w:t>
            </w:r>
          </w:p>
        </w:tc>
        <w:tc>
          <w:tcPr>
            <w:tcW w:w="1977" w:type="dxa"/>
            <w:tcBorders>
              <w:top w:val="single" w:color="000000" w:sz="4" w:space="0"/>
              <w:left w:val="single" w:color="000000" w:sz="4" w:space="0"/>
              <w:bottom w:val="single" w:color="000000" w:sz="4" w:space="0"/>
              <w:right w:val="single" w:color="000000" w:sz="4" w:space="0"/>
            </w:tcBorders>
            <w:vAlign w:val="bottom"/>
          </w:tcPr>
          <w:p w14:paraId="23CCCFB8"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Páez, Higgins</w:t>
            </w:r>
          </w:p>
        </w:tc>
      </w:tr>
    </w:tbl>
    <w:p xmlns:wp14="http://schemas.microsoft.com/office/word/2010/wordml" w14:paraId="36A250A8" wp14:textId="77777777">
      <w:pPr>
        <w:pStyle w:val="Normal"/>
        <w:rPr>
          <w:rFonts w:ascii="times new roman" w:hAnsi="times new roman"/>
        </w:rPr>
      </w:pPr>
      <w:r>
        <w:rPr>
          <w:rFonts w:ascii="times new roman" w:hAnsi="times new roman"/>
        </w:rPr>
        <w:t xml:space="preserve">PD1 and PD2 will work with Páez and De Barros across work packages. PD1 will be part of WP.1 and will interact mainly with the geospatial data analytics package (WP.3) on the data analytics needed for the codesign work package (WP.2) to communicate with stakeholders. In the latter part of the project, PD2 will liaise primarily with the codesign package (WP.2) to assess the usability and performance (user experience) of EquiTransit tools. PhD and Master’s students will maintain a tighter focus. PhD1 will be on the codesign package (WP.2) and PhD2 will focus on geospatial technologies and the development of open-source tools (WP.3).  M1 and M2 will participate in the development of equity-based assessment and evaluation, beginning with a base tool that will incorporate equity-informed indicators after they have been validated as part of the codesign package (see </w:t>
      </w:r>
      <w:r>
        <w:rPr>
          <w:rFonts w:ascii="times new roman" w:hAnsi="times new roman"/>
          <w:b/>
          <w:bCs/>
        </w:rPr>
        <w:t>Table T1</w:t>
      </w:r>
      <w:r>
        <w:rPr>
          <w:rFonts w:ascii="times new roman" w:hAnsi="times new roman"/>
        </w:rPr>
        <w:t xml:space="preserve">). Through the project, all trainees will develop a variety of soft and transferable skills (see </w:t>
      </w:r>
      <w:r>
        <w:rPr>
          <w:rFonts w:ascii="times new roman" w:hAnsi="times new roman"/>
          <w:b/>
          <w:bCs/>
        </w:rPr>
        <w:t>Table MT.2</w:t>
      </w:r>
      <w:r>
        <w:rPr>
          <w:rFonts w:ascii="times new roman" w:hAnsi="times new roman"/>
        </w:rPr>
        <w:t xml:space="preserve">) through a combination of close supervision and regular discussion, and enrolment in appropriate graduate courses [e.g., reproducible research; </w:t>
      </w:r>
      <w:r>
        <w:fldChar w:fldCharType="begin"/>
      </w:r>
      <w:r>
        <w:rPr>
          <w:rFonts w:ascii="times new roman" w:hAnsi="times new roman"/>
        </w:rPr>
        <w:instrText xml:space="preserve">ADDIN ZOTERO_ITEM CSL_CITATION {"citationID":"gXIwpZ4D","properties":{"unsorted":false,"formattedCitation":"(121)","plainCitation":"(121)","noteIndex":0},"citationItems":[{"id":934,"uris":["http://zotero.org/groups/6563173/items/AR3UUM9T"],"itemData":{"id":934,"type":"software","abstract":"Notes and resources for graduate course GEOG 712 Reproducible Research Workflow with GitHub and R offered by the School of Earth, Environment and Society at McMaster University","citation-key":"paezPaezhaReproducibleResearchWorkflow2026","collection-title":"Notes and resources for graduate course GEOG 712 Reproducible Research Workflow with GitHub and R","genre":"HTML","license":"CC-BY-SA-4.0","note":"original-date: 2019-08-22T15:29:39Z","source":"GitHub","title":"Reproducible Research Workflow","URL":"https://github.com/paezha/Reproducible-Research-Workflow","author":[{"family":"Paez","given":"Antonio"}],"accessed":{"date-parts":[["2026",9,12]]},"issued":{"date-parts":[["2026",9,8]]}}}],"schema":"https://github.com/citation-style-language/schema/raw/master/csl-citation.json"}</w:instrText>
      </w:r>
      <w:r>
        <w:rPr>
          <w:rFonts w:ascii="times new roman" w:hAnsi="times new roman"/>
        </w:rPr>
      </w:r>
      <w:r>
        <w:rPr>
          <w:rFonts w:ascii="times new roman" w:hAnsi="times new roman"/>
        </w:rPr>
        <w:fldChar w:fldCharType="separate"/>
      </w:r>
      <w:r>
        <w:rPr>
          <w:rFonts w:ascii="times new roman" w:hAnsi="times new roman"/>
        </w:rPr>
      </w:r>
      <w:r>
        <w:rPr>
          <w:rFonts w:ascii="times new roman" w:hAnsi="times new roman" w:cs="Times New Roman"/>
        </w:rPr>
        <w:t>(121)</w:t>
      </w:r>
      <w:r>
        <w:rPr>
          <w:rFonts w:ascii="times new roman" w:hAnsi="times new roman"/>
        </w:rPr>
      </w:r>
      <w:r>
        <w:rPr>
          <w:rFonts w:ascii="times new roman" w:hAnsi="times new roman"/>
        </w:rPr>
        <w:fldChar w:fldCharType="end"/>
      </w:r>
      <w:r>
        <w:rPr>
          <w:rFonts w:ascii="times new roman" w:hAnsi="times new roman"/>
        </w:rPr>
        <w:t>].</w:t>
      </w:r>
    </w:p>
    <w:p xmlns:wp14="http://schemas.microsoft.com/office/word/2010/wordml" w14:paraId="75C43DD7" wp14:textId="77777777">
      <w:pPr>
        <w:pStyle w:val="Normal"/>
        <w:spacing w:before="120" w:after="0"/>
        <w:rPr>
          <w:rFonts w:ascii="times new roman" w:hAnsi="times new roman"/>
        </w:rPr>
      </w:pPr>
      <w:r>
        <w:rPr>
          <w:rFonts w:ascii="times new roman" w:hAnsi="times new roman"/>
          <w:b/>
          <w:bCs/>
          <w:sz w:val="20"/>
          <w:szCs w:val="20"/>
        </w:rPr>
        <w:t>Table MT.2.</w:t>
      </w:r>
      <w:r>
        <w:rPr>
          <w:rFonts w:ascii="times new roman" w:hAnsi="times new roman"/>
          <w:sz w:val="20"/>
          <w:szCs w:val="20"/>
        </w:rPr>
        <w:t xml:space="preserve"> Skills Matrix</w:t>
      </w:r>
    </w:p>
    <w:tbl>
      <w:tblPr>
        <w:tblW w:w="10080" w:type="dxa"/>
        <w:jc w:val="left"/>
        <w:tblInd w:w="1" w:type="dxa"/>
        <w:tblLayout w:type="fixed"/>
        <w:tblCellMar>
          <w:top w:w="15" w:type="dxa"/>
          <w:left w:w="15" w:type="dxa"/>
          <w:bottom w:w="0" w:type="dxa"/>
          <w:right w:w="15" w:type="dxa"/>
        </w:tblCellMar>
        <w:tblLook w:val="06a0" w:firstRow="1" w:lastRow="0" w:firstColumn="1" w:lastColumn="0" w:noHBand="1" w:noVBand="1"/>
      </w:tblPr>
      <w:tblGrid>
        <w:gridCol w:w="812"/>
        <w:gridCol w:w="656"/>
        <w:gridCol w:w="662"/>
        <w:gridCol w:w="669"/>
        <w:gridCol w:w="662"/>
        <w:gridCol w:w="656"/>
        <w:gridCol w:w="662"/>
        <w:gridCol w:w="669"/>
        <w:gridCol w:w="662"/>
        <w:gridCol w:w="656"/>
        <w:gridCol w:w="669"/>
        <w:gridCol w:w="662"/>
        <w:gridCol w:w="660"/>
        <w:gridCol w:w="658"/>
        <w:gridCol w:w="665"/>
      </w:tblGrid>
      <w:tr xmlns:wp14="http://schemas.microsoft.com/office/word/2010/wordml" w14:paraId="710104CE" wp14:textId="77777777">
        <w:trPr>
          <w:trHeight w:val="315" w:hRule="atLeast"/>
        </w:trPr>
        <w:tc>
          <w:tcPr>
            <w:tcW w:w="812" w:type="dxa"/>
            <w:tcBorders/>
            <w:vAlign w:val="bottom"/>
          </w:tcPr>
          <w:p w14:paraId="0D0B940D"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8" w:space="0"/>
              <w:right w:val="single" w:color="000000" w:sz="4" w:space="0"/>
            </w:tcBorders>
            <w:vAlign w:val="bottom"/>
          </w:tcPr>
          <w:p w14:paraId="1D6DE76D" wp14:textId="77777777">
            <w:pPr>
              <w:pStyle w:val="Normal"/>
              <w:ind w:hanging="0"/>
              <w:jc w:val="center"/>
              <w:rPr>
                <w:rFonts w:ascii="times new roman" w:hAnsi="times new roman"/>
              </w:rPr>
            </w:pPr>
            <w:r>
              <w:rPr>
                <w:rFonts w:ascii="times new roman" w:hAnsi="times new roman" w:eastAsia="Times New Roman" w:cs="Times New Roman"/>
                <w:b/>
                <w:bCs/>
                <w:color w:val="000000" w:themeColor="text1"/>
                <w:sz w:val="18"/>
                <w:szCs w:val="18"/>
              </w:rPr>
              <w:t>Year</w:t>
            </w:r>
          </w:p>
        </w:tc>
        <w:tc>
          <w:tcPr>
            <w:tcW w:w="662" w:type="dxa"/>
            <w:tcBorders>
              <w:top w:val="single" w:color="000000" w:sz="4" w:space="0"/>
              <w:left w:val="single" w:color="000000" w:sz="4" w:space="0"/>
              <w:bottom w:val="single" w:color="000000" w:sz="8" w:space="0"/>
              <w:right w:val="single" w:color="000000" w:sz="4" w:space="0"/>
            </w:tcBorders>
            <w:vAlign w:val="bottom"/>
          </w:tcPr>
          <w:p w14:paraId="49B91617"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KS</w:t>
            </w:r>
          </w:p>
        </w:tc>
        <w:tc>
          <w:tcPr>
            <w:tcW w:w="669" w:type="dxa"/>
            <w:tcBorders>
              <w:top w:val="single" w:color="000000" w:sz="4" w:space="0"/>
              <w:left w:val="single" w:color="000000" w:sz="4" w:space="0"/>
              <w:bottom w:val="single" w:color="000000" w:sz="8" w:space="0"/>
              <w:right w:val="single" w:color="000000" w:sz="4" w:space="0"/>
            </w:tcBorders>
            <w:vAlign w:val="bottom"/>
          </w:tcPr>
          <w:p w14:paraId="4E4BEEC7"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QL</w:t>
            </w:r>
          </w:p>
        </w:tc>
        <w:tc>
          <w:tcPr>
            <w:tcW w:w="662" w:type="dxa"/>
            <w:tcBorders>
              <w:top w:val="single" w:color="000000" w:sz="4" w:space="0"/>
              <w:left w:val="single" w:color="000000" w:sz="4" w:space="0"/>
              <w:bottom w:val="single" w:color="000000" w:sz="8" w:space="0"/>
              <w:right w:val="single" w:color="000000" w:sz="4" w:space="0"/>
            </w:tcBorders>
            <w:vAlign w:val="bottom"/>
          </w:tcPr>
          <w:p w14:paraId="20E7D62A"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QT</w:t>
            </w:r>
          </w:p>
        </w:tc>
        <w:tc>
          <w:tcPr>
            <w:tcW w:w="656" w:type="dxa"/>
            <w:tcBorders>
              <w:top w:val="single" w:color="000000" w:sz="4" w:space="0"/>
              <w:left w:val="single" w:color="000000" w:sz="4" w:space="0"/>
              <w:bottom w:val="single" w:color="000000" w:sz="8" w:space="0"/>
              <w:right w:val="single" w:color="000000" w:sz="4" w:space="0"/>
            </w:tcBorders>
            <w:vAlign w:val="bottom"/>
          </w:tcPr>
          <w:p w14:paraId="7DA055D7"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PP</w:t>
            </w:r>
          </w:p>
        </w:tc>
        <w:tc>
          <w:tcPr>
            <w:tcW w:w="662" w:type="dxa"/>
            <w:tcBorders>
              <w:top w:val="single" w:color="000000" w:sz="4" w:space="0"/>
              <w:left w:val="single" w:color="000000" w:sz="4" w:space="0"/>
              <w:bottom w:val="single" w:color="000000" w:sz="8" w:space="0"/>
              <w:right w:val="single" w:color="000000" w:sz="4" w:space="0"/>
            </w:tcBorders>
            <w:vAlign w:val="bottom"/>
          </w:tcPr>
          <w:p w14:paraId="084B9B89"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DL</w:t>
            </w:r>
          </w:p>
        </w:tc>
        <w:tc>
          <w:tcPr>
            <w:tcW w:w="669" w:type="dxa"/>
            <w:tcBorders>
              <w:top w:val="single" w:color="000000" w:sz="4" w:space="0"/>
              <w:left w:val="single" w:color="000000" w:sz="4" w:space="0"/>
              <w:bottom w:val="single" w:color="000000" w:sz="8" w:space="0"/>
              <w:right w:val="single" w:color="000000" w:sz="4" w:space="0"/>
            </w:tcBorders>
            <w:vAlign w:val="bottom"/>
          </w:tcPr>
          <w:p w14:paraId="57CC17CA"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PC</w:t>
            </w:r>
          </w:p>
        </w:tc>
        <w:tc>
          <w:tcPr>
            <w:tcW w:w="662" w:type="dxa"/>
            <w:tcBorders>
              <w:top w:val="single" w:color="000000" w:sz="4" w:space="0"/>
              <w:left w:val="single" w:color="000000" w:sz="4" w:space="0"/>
              <w:bottom w:val="single" w:color="000000" w:sz="8" w:space="0"/>
              <w:right w:val="single" w:color="000000" w:sz="4" w:space="0"/>
            </w:tcBorders>
            <w:vAlign w:val="bottom"/>
          </w:tcPr>
          <w:p w14:paraId="31CD3E0F"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DM</w:t>
            </w:r>
          </w:p>
        </w:tc>
        <w:tc>
          <w:tcPr>
            <w:tcW w:w="656" w:type="dxa"/>
            <w:tcBorders>
              <w:top w:val="single" w:color="000000" w:sz="4" w:space="0"/>
              <w:left w:val="single" w:color="000000" w:sz="4" w:space="0"/>
              <w:bottom w:val="single" w:color="000000" w:sz="8" w:space="0"/>
              <w:right w:val="single" w:color="000000" w:sz="4" w:space="0"/>
            </w:tcBorders>
            <w:vAlign w:val="bottom"/>
          </w:tcPr>
          <w:p w14:paraId="0917B7DE"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RE</w:t>
            </w:r>
          </w:p>
        </w:tc>
        <w:tc>
          <w:tcPr>
            <w:tcW w:w="669" w:type="dxa"/>
            <w:tcBorders>
              <w:top w:val="single" w:color="000000" w:sz="4" w:space="0"/>
              <w:left w:val="single" w:color="000000" w:sz="4" w:space="0"/>
              <w:bottom w:val="single" w:color="000000" w:sz="8" w:space="0"/>
              <w:right w:val="single" w:color="000000" w:sz="4" w:space="0"/>
            </w:tcBorders>
            <w:vAlign w:val="bottom"/>
          </w:tcPr>
          <w:p w14:paraId="33608F53"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CCE</w:t>
            </w:r>
          </w:p>
        </w:tc>
        <w:tc>
          <w:tcPr>
            <w:tcW w:w="662" w:type="dxa"/>
            <w:tcBorders>
              <w:top w:val="single" w:color="000000" w:sz="4" w:space="0"/>
              <w:left w:val="single" w:color="000000" w:sz="4" w:space="0"/>
              <w:bottom w:val="single" w:color="000000" w:sz="8" w:space="0"/>
              <w:right w:val="single" w:color="000000" w:sz="4" w:space="0"/>
            </w:tcBorders>
            <w:vAlign w:val="bottom"/>
          </w:tcPr>
          <w:p w14:paraId="461FE94D"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TW</w:t>
            </w:r>
          </w:p>
        </w:tc>
        <w:tc>
          <w:tcPr>
            <w:tcW w:w="660" w:type="dxa"/>
            <w:tcBorders>
              <w:top w:val="single" w:color="000000" w:sz="4" w:space="0"/>
              <w:left w:val="single" w:color="000000" w:sz="4" w:space="0"/>
              <w:bottom w:val="single" w:color="000000" w:sz="8" w:space="0"/>
              <w:right w:val="single" w:color="000000" w:sz="4" w:space="0"/>
            </w:tcBorders>
            <w:vAlign w:val="bottom"/>
          </w:tcPr>
          <w:p w14:paraId="242C15C6"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IIC</w:t>
            </w:r>
          </w:p>
        </w:tc>
        <w:tc>
          <w:tcPr>
            <w:tcW w:w="658" w:type="dxa"/>
            <w:tcBorders>
              <w:top w:val="single" w:color="000000" w:sz="4" w:space="0"/>
              <w:left w:val="single" w:color="000000" w:sz="4" w:space="0"/>
              <w:bottom w:val="single" w:color="000000" w:sz="8" w:space="0"/>
              <w:right w:val="single" w:color="000000" w:sz="4" w:space="0"/>
            </w:tcBorders>
            <w:vAlign w:val="bottom"/>
          </w:tcPr>
          <w:p w14:paraId="51A024DB"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TM</w:t>
            </w:r>
          </w:p>
        </w:tc>
        <w:tc>
          <w:tcPr>
            <w:tcW w:w="665" w:type="dxa"/>
            <w:tcBorders>
              <w:top w:val="single" w:color="000000" w:sz="4" w:space="0"/>
              <w:left w:val="single" w:color="000000" w:sz="4" w:space="0"/>
              <w:bottom w:val="single" w:color="000000" w:sz="8" w:space="0"/>
              <w:right w:val="single" w:color="000000" w:sz="4" w:space="0"/>
            </w:tcBorders>
            <w:vAlign w:val="bottom"/>
          </w:tcPr>
          <w:p w14:paraId="696E369D"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BM</w:t>
            </w:r>
          </w:p>
        </w:tc>
      </w:tr>
      <w:tr xmlns:wp14="http://schemas.microsoft.com/office/word/2010/wordml" w14:paraId="5A5C9061"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FFDBB6"/>
            <w:vAlign w:val="bottom"/>
          </w:tcPr>
          <w:p w14:paraId="314085A3"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PD 1</w:t>
            </w:r>
          </w:p>
        </w:tc>
        <w:tc>
          <w:tcPr>
            <w:tcW w:w="656" w:type="dxa"/>
            <w:tcBorders>
              <w:top w:val="single" w:color="000000" w:sz="8" w:space="0"/>
              <w:left w:val="single" w:color="000000" w:sz="4" w:space="0"/>
              <w:bottom w:val="single" w:color="000000" w:sz="4" w:space="0"/>
              <w:right w:val="single" w:color="000000" w:sz="4" w:space="0"/>
            </w:tcBorders>
            <w:vAlign w:val="center"/>
          </w:tcPr>
          <w:p w14:paraId="56B20A0C" wp14:textId="77777777">
            <w:pPr>
              <w:pStyle w:val="Normal"/>
              <w:ind w:hanging="0"/>
              <w:jc w:val="center"/>
              <w:rPr>
                <w:rFonts w:ascii="times new roman" w:hAnsi="times new roman"/>
              </w:rPr>
            </w:pPr>
            <w:r>
              <w:rPr>
                <w:rFonts w:ascii="times new roman" w:hAnsi="times new roman" w:eastAsia="Aptos" w:cs="" w:eastAsiaTheme="minorHAnsi" w:cstheme="minorBidi"/>
                <w:sz w:val="18"/>
                <w:szCs w:val="18"/>
                <w:shd w:val="clear" w:fill="auto"/>
                <w14:ligatures w14:val="standardContextual"/>
              </w:rPr>
              <w:t>1</w:t>
            </w:r>
          </w:p>
        </w:tc>
        <w:tc>
          <w:tcPr>
            <w:tcW w:w="662" w:type="dxa"/>
            <w:tcBorders>
              <w:top w:val="single" w:color="000000" w:sz="8" w:space="0"/>
              <w:left w:val="single" w:color="000000" w:sz="4" w:space="0"/>
              <w:bottom w:val="single" w:color="000000" w:sz="4" w:space="0"/>
              <w:right w:val="single" w:color="000000" w:sz="4" w:space="0"/>
            </w:tcBorders>
            <w:shd w:val="clear" w:fill="156082"/>
            <w:vAlign w:val="bottom"/>
          </w:tcPr>
          <w:p w14:paraId="0E27B00A" wp14:textId="77777777">
            <w:pPr>
              <w:pStyle w:val="Normal"/>
              <w:ind w:hanging="0"/>
              <w:rPr>
                <w:rFonts w:ascii="times new roman" w:hAnsi="times new roman" w:eastAsia="Aptos" w:cs="" w:eastAsiaTheme="minorHAnsi" w:cstheme="minorBidi"/>
                <w:sz w:val="18"/>
                <w:szCs w:val="18"/>
                <w:highlight w:val="none"/>
                <w:shd w:val="clear" w:fill="auto"/>
                <w14:ligatures w14:val="standardContextual"/>
              </w:rPr>
            </w:pPr>
            <w:r>
              <w:rPr>
                <w:rFonts w:ascii="times new roman" w:hAnsi="times new roman" w:eastAsia="Aptos" w:cs="" w:eastAsiaTheme="minorHAnsi" w:cstheme="minorBidi"/>
                <w:sz w:val="18"/>
                <w:szCs w:val="18"/>
                <w:shd w:val="clear" w:fill="auto"/>
                <w14:ligatures w14:val="standardContextual"/>
              </w:rPr>
            </w:r>
          </w:p>
        </w:tc>
        <w:tc>
          <w:tcPr>
            <w:tcW w:w="669" w:type="dxa"/>
            <w:tcBorders>
              <w:top w:val="single" w:color="000000" w:sz="8" w:space="0"/>
              <w:left w:val="single" w:color="000000" w:sz="4" w:space="0"/>
              <w:bottom w:val="single" w:color="000000" w:sz="4" w:space="0"/>
              <w:right w:val="single" w:color="000000" w:sz="4" w:space="0"/>
            </w:tcBorders>
            <w:vAlign w:val="bottom"/>
          </w:tcPr>
          <w:p w14:paraId="60061E4C" wp14:textId="77777777">
            <w:pPr>
              <w:pStyle w:val="Normal"/>
              <w:ind w:hanging="0"/>
              <w:rPr>
                <w:rFonts w:ascii="times new roman" w:hAnsi="times new roman" w:eastAsia="Aptos" w:cs="" w:eastAsiaTheme="minorHAnsi" w:cstheme="minorBidi"/>
                <w:sz w:val="18"/>
                <w:szCs w:val="18"/>
                <w:highlight w:val="none"/>
                <w:shd w:val="clear" w:fill="auto"/>
                <w14:ligatures w14:val="standardContextual"/>
              </w:rPr>
            </w:pPr>
            <w:r>
              <w:rPr>
                <w:rFonts w:ascii="times new roman" w:hAnsi="times new roman" w:eastAsia="Aptos" w:cs="" w:eastAsiaTheme="minorHAnsi" w:cstheme="minorBidi"/>
                <w:sz w:val="18"/>
                <w:szCs w:val="18"/>
                <w:shd w:val="clear" w:fill="auto"/>
                <w14:ligatures w14:val="standardContextual"/>
              </w:rPr>
            </w:r>
          </w:p>
        </w:tc>
        <w:tc>
          <w:tcPr>
            <w:tcW w:w="662" w:type="dxa"/>
            <w:tcBorders>
              <w:top w:val="single" w:color="000000" w:sz="8" w:space="0"/>
              <w:left w:val="single" w:color="000000" w:sz="4" w:space="0"/>
              <w:bottom w:val="single" w:color="000000" w:sz="4" w:space="0"/>
              <w:right w:val="single" w:color="000000" w:sz="4" w:space="0"/>
            </w:tcBorders>
            <w:shd w:val="clear" w:fill="156082"/>
            <w:vAlign w:val="bottom"/>
          </w:tcPr>
          <w:p w14:paraId="44EAFD9C"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4B94D5A5"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3DEEC669"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8" w:space="0"/>
              <w:left w:val="single" w:color="000000" w:sz="4" w:space="0"/>
              <w:bottom w:val="single" w:color="000000" w:sz="4" w:space="0"/>
              <w:right w:val="single" w:color="000000" w:sz="4" w:space="0"/>
            </w:tcBorders>
            <w:vAlign w:val="bottom"/>
          </w:tcPr>
          <w:p w14:paraId="3656B9AB"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8" w:space="0"/>
              <w:left w:val="single" w:color="000000" w:sz="4" w:space="0"/>
              <w:bottom w:val="single" w:color="000000" w:sz="4" w:space="0"/>
              <w:right w:val="single" w:color="000000" w:sz="4" w:space="0"/>
            </w:tcBorders>
            <w:vAlign w:val="bottom"/>
          </w:tcPr>
          <w:p w14:paraId="45FB0818"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049F31CB"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53128261"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62486C05"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4101652C"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4B99056E"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8" w:space="0"/>
              <w:left w:val="single" w:color="000000" w:sz="4" w:space="0"/>
              <w:bottom w:val="single" w:color="000000" w:sz="4" w:space="0"/>
              <w:right w:val="single" w:color="000000" w:sz="4" w:space="0"/>
            </w:tcBorders>
            <w:shd w:val="clear" w:color="auto" w:fill="156082" w:themeFill="accent1"/>
            <w:vAlign w:val="bottom"/>
          </w:tcPr>
          <w:p w14:paraId="1299C43A"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4D9D1D1A"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FFDBB6"/>
            <w:vAlign w:val="bottom"/>
          </w:tcPr>
          <w:p w14:paraId="5345C041"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PD 2</w:t>
            </w:r>
          </w:p>
        </w:tc>
        <w:tc>
          <w:tcPr>
            <w:tcW w:w="656" w:type="dxa"/>
            <w:tcBorders>
              <w:top w:val="single" w:color="000000" w:sz="4" w:space="0"/>
              <w:left w:val="single" w:color="000000" w:sz="4" w:space="0"/>
              <w:bottom w:val="single" w:color="000000" w:sz="4" w:space="0"/>
              <w:right w:val="single" w:color="000000" w:sz="4" w:space="0"/>
            </w:tcBorders>
            <w:vAlign w:val="bottom"/>
          </w:tcPr>
          <w:p w14:paraId="44240AAE"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5</w:t>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4DDBEF00"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fill="156082"/>
            <w:vAlign w:val="bottom"/>
          </w:tcPr>
          <w:p w14:paraId="3461D779"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3CF2D8B6"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0FB78278"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FC39945"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0562CB0E"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34CE0A41"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2EBF3C5"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D98A12B"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2946DB82"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5997CC1D"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10FFD37"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B699379"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0D316356"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BDD7EE"/>
            <w:vAlign w:val="bottom"/>
          </w:tcPr>
          <w:p w14:paraId="64F19F7C"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PhD 1</w:t>
            </w:r>
          </w:p>
        </w:tc>
        <w:tc>
          <w:tcPr>
            <w:tcW w:w="656" w:type="dxa"/>
            <w:tcBorders>
              <w:top w:val="single" w:color="000000" w:sz="4" w:space="0"/>
              <w:left w:val="single" w:color="000000" w:sz="4" w:space="0"/>
              <w:bottom w:val="single" w:color="000000" w:sz="4" w:space="0"/>
              <w:right w:val="single" w:color="000000" w:sz="4" w:space="0"/>
            </w:tcBorders>
            <w:vAlign w:val="bottom"/>
          </w:tcPr>
          <w:p w14:paraId="20CD73DC"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1 - 4</w:t>
            </w:r>
          </w:p>
        </w:tc>
        <w:tc>
          <w:tcPr>
            <w:tcW w:w="662" w:type="dxa"/>
            <w:tcBorders>
              <w:top w:val="single" w:color="000000" w:sz="4" w:space="0"/>
              <w:left w:val="single" w:color="000000" w:sz="4" w:space="0"/>
              <w:bottom w:val="single" w:color="000000" w:sz="4" w:space="0"/>
              <w:right w:val="single" w:color="000000" w:sz="4" w:space="0"/>
            </w:tcBorders>
            <w:vAlign w:val="bottom"/>
          </w:tcPr>
          <w:p w14:paraId="3FE9F23F"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1F72F646"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08CE6F91"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1CDCEAD"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BB9E253"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23DE523C"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52E56223"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vAlign w:val="bottom"/>
          </w:tcPr>
          <w:p w14:paraId="07547A01"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5043CB0F"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07459315"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537F28F"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DFB9E20"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4" w:space="0"/>
              <w:left w:val="single" w:color="000000" w:sz="4" w:space="0"/>
              <w:bottom w:val="single" w:color="000000" w:sz="4" w:space="0"/>
              <w:right w:val="single" w:color="000000" w:sz="4" w:space="0"/>
            </w:tcBorders>
            <w:vAlign w:val="bottom"/>
          </w:tcPr>
          <w:p w14:paraId="70DF9E56"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32C44F20"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DDE8CB"/>
            <w:vAlign w:val="bottom"/>
          </w:tcPr>
          <w:p w14:paraId="0C44A15E"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M 1</w:t>
            </w:r>
          </w:p>
        </w:tc>
        <w:tc>
          <w:tcPr>
            <w:tcW w:w="656" w:type="dxa"/>
            <w:tcBorders>
              <w:top w:val="single" w:color="000000" w:sz="4" w:space="0"/>
              <w:left w:val="single" w:color="000000" w:sz="4" w:space="0"/>
              <w:bottom w:val="single" w:color="000000" w:sz="4" w:space="0"/>
              <w:right w:val="single" w:color="000000" w:sz="4" w:space="0"/>
            </w:tcBorders>
            <w:vAlign w:val="bottom"/>
          </w:tcPr>
          <w:p w14:paraId="6A03B14E"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1 - 2</w:t>
            </w:r>
          </w:p>
        </w:tc>
        <w:tc>
          <w:tcPr>
            <w:tcW w:w="662" w:type="dxa"/>
            <w:tcBorders>
              <w:top w:val="single" w:color="000000" w:sz="4" w:space="0"/>
              <w:left w:val="single" w:color="000000" w:sz="4" w:space="0"/>
              <w:bottom w:val="single" w:color="000000" w:sz="4" w:space="0"/>
              <w:right w:val="single" w:color="000000" w:sz="4" w:space="0"/>
            </w:tcBorders>
            <w:vAlign w:val="bottom"/>
          </w:tcPr>
          <w:p w14:paraId="44E871BC"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144A5D23"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738610EB"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37805D2"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463F29E8"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3B7B4B86"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3A0FF5F2"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vAlign w:val="bottom"/>
          </w:tcPr>
          <w:p w14:paraId="5630AD66"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61829076"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2BA226A1"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7AD93B2"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0DE4B5B7"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4" w:space="0"/>
              <w:left w:val="single" w:color="000000" w:sz="4" w:space="0"/>
              <w:bottom w:val="single" w:color="000000" w:sz="4" w:space="0"/>
              <w:right w:val="single" w:color="000000" w:sz="4" w:space="0"/>
            </w:tcBorders>
            <w:vAlign w:val="bottom"/>
          </w:tcPr>
          <w:p w14:paraId="66204FF1"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31F243DB"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DDE8CB"/>
            <w:vAlign w:val="bottom"/>
          </w:tcPr>
          <w:p w14:paraId="16C9D798"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M 2</w:t>
            </w:r>
          </w:p>
        </w:tc>
        <w:tc>
          <w:tcPr>
            <w:tcW w:w="656" w:type="dxa"/>
            <w:tcBorders>
              <w:top w:val="single" w:color="000000" w:sz="4" w:space="0"/>
              <w:left w:val="single" w:color="000000" w:sz="4" w:space="0"/>
              <w:bottom w:val="single" w:color="000000" w:sz="4" w:space="0"/>
              <w:right w:val="single" w:color="000000" w:sz="4" w:space="0"/>
            </w:tcBorders>
            <w:vAlign w:val="bottom"/>
          </w:tcPr>
          <w:p w14:paraId="61D838D3"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4 - 5</w:t>
            </w:r>
          </w:p>
        </w:tc>
        <w:tc>
          <w:tcPr>
            <w:tcW w:w="662" w:type="dxa"/>
            <w:tcBorders>
              <w:top w:val="single" w:color="000000" w:sz="4" w:space="0"/>
              <w:left w:val="single" w:color="000000" w:sz="4" w:space="0"/>
              <w:bottom w:val="single" w:color="000000" w:sz="4" w:space="0"/>
              <w:right w:val="single" w:color="000000" w:sz="4" w:space="0"/>
            </w:tcBorders>
            <w:vAlign w:val="bottom"/>
          </w:tcPr>
          <w:p w14:paraId="2DBF0D7D"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6B62F1B3"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02F2C34E"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80A4E5D"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9219836"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296FEF7D"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7194DBDC"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vAlign w:val="bottom"/>
          </w:tcPr>
          <w:p w14:paraId="769D0D3C"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54CD245A"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231BE67"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36FEB5B0"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30D7AA69"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4" w:space="0"/>
              <w:left w:val="single" w:color="000000" w:sz="4" w:space="0"/>
              <w:bottom w:val="single" w:color="000000" w:sz="4" w:space="0"/>
              <w:right w:val="single" w:color="000000" w:sz="4" w:space="0"/>
            </w:tcBorders>
            <w:vAlign w:val="bottom"/>
          </w:tcPr>
          <w:p w14:paraId="7196D064"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29C52DF7" wp14:textId="77777777">
        <w:trPr>
          <w:trHeight w:val="300" w:hRule="atLeast"/>
        </w:trPr>
        <w:tc>
          <w:tcPr>
            <w:tcW w:w="812" w:type="dxa"/>
            <w:tcBorders>
              <w:top w:val="single" w:color="000000" w:sz="4" w:space="0"/>
              <w:left w:val="single" w:color="000000" w:sz="4" w:space="0"/>
              <w:bottom w:val="single" w:color="000000" w:sz="4" w:space="0"/>
              <w:right w:val="single" w:color="000000" w:sz="4" w:space="0"/>
            </w:tcBorders>
            <w:shd w:val="clear" w:fill="BDD7EE"/>
            <w:vAlign w:val="bottom"/>
          </w:tcPr>
          <w:p w14:paraId="13589077"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PhD 2</w:t>
            </w:r>
          </w:p>
        </w:tc>
        <w:tc>
          <w:tcPr>
            <w:tcW w:w="656" w:type="dxa"/>
            <w:tcBorders>
              <w:top w:val="single" w:color="000000" w:sz="4" w:space="0"/>
              <w:left w:val="single" w:color="000000" w:sz="4" w:space="0"/>
              <w:bottom w:val="single" w:color="000000" w:sz="4" w:space="0"/>
              <w:right w:val="single" w:color="000000" w:sz="4" w:space="0"/>
            </w:tcBorders>
            <w:vAlign w:val="bottom"/>
          </w:tcPr>
          <w:p w14:paraId="0E5FED05" wp14:textId="77777777">
            <w:pPr>
              <w:pStyle w:val="Normal"/>
              <w:ind w:hanging="0"/>
              <w:jc w:val="center"/>
              <w:rPr>
                <w:rFonts w:ascii="times new roman" w:hAnsi="times new roman"/>
              </w:rPr>
            </w:pPr>
            <w:r>
              <w:rPr>
                <w:rFonts w:ascii="times new roman" w:hAnsi="times new roman" w:eastAsia="Times New Roman" w:cs="Times New Roman"/>
                <w:color w:val="000000" w:themeColor="text1"/>
                <w:sz w:val="18"/>
                <w:szCs w:val="18"/>
              </w:rPr>
              <w:t>2 - 5</w:t>
            </w:r>
          </w:p>
        </w:tc>
        <w:tc>
          <w:tcPr>
            <w:tcW w:w="662" w:type="dxa"/>
            <w:tcBorders>
              <w:top w:val="single" w:color="000000" w:sz="4" w:space="0"/>
              <w:left w:val="single" w:color="000000" w:sz="4" w:space="0"/>
              <w:bottom w:val="single" w:color="000000" w:sz="4" w:space="0"/>
              <w:right w:val="single" w:color="000000" w:sz="4" w:space="0"/>
            </w:tcBorders>
            <w:vAlign w:val="bottom"/>
          </w:tcPr>
          <w:p w14:paraId="34FF1C98"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D072C0D"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48A21919"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BD18F9B"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238601FE"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vAlign w:val="bottom"/>
          </w:tcPr>
          <w:p w14:paraId="0F3CABC7"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vAlign w:val="bottom"/>
          </w:tcPr>
          <w:p w14:paraId="5B08B5D1" wp14:textId="77777777">
            <w:pPr>
              <w:pStyle w:val="Normal"/>
              <w:ind w:hanging="0"/>
              <w:rPr>
                <w:rFonts w:ascii="times new roman" w:hAnsi="times new roman"/>
                <w:sz w:val="18"/>
                <w:szCs w:val="18"/>
              </w:rPr>
            </w:pPr>
            <w:r>
              <w:rPr>
                <w:rFonts w:ascii="times new roman" w:hAnsi="times new roman"/>
                <w:sz w:val="18"/>
                <w:szCs w:val="18"/>
              </w:rPr>
            </w:r>
          </w:p>
        </w:tc>
        <w:tc>
          <w:tcPr>
            <w:tcW w:w="656"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16DEB4AB" wp14:textId="77777777">
            <w:pPr>
              <w:pStyle w:val="Normal"/>
              <w:ind w:hanging="0"/>
              <w:rPr>
                <w:rFonts w:ascii="times new roman" w:hAnsi="times new roman"/>
                <w:sz w:val="18"/>
                <w:szCs w:val="18"/>
              </w:rPr>
            </w:pPr>
            <w:r>
              <w:rPr>
                <w:rFonts w:ascii="times new roman" w:hAnsi="times new roman"/>
                <w:sz w:val="18"/>
                <w:szCs w:val="18"/>
              </w:rPr>
            </w:r>
          </w:p>
        </w:tc>
        <w:tc>
          <w:tcPr>
            <w:tcW w:w="669"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0AD9C6F4" wp14:textId="77777777">
            <w:pPr>
              <w:pStyle w:val="Normal"/>
              <w:ind w:hanging="0"/>
              <w:rPr>
                <w:rFonts w:ascii="times new roman" w:hAnsi="times new roman"/>
                <w:sz w:val="18"/>
                <w:szCs w:val="18"/>
              </w:rPr>
            </w:pPr>
            <w:r>
              <w:rPr>
                <w:rFonts w:ascii="times new roman" w:hAnsi="times new roman"/>
                <w:sz w:val="18"/>
                <w:szCs w:val="18"/>
              </w:rPr>
            </w:r>
          </w:p>
        </w:tc>
        <w:tc>
          <w:tcPr>
            <w:tcW w:w="662"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4B1F511A" wp14:textId="77777777">
            <w:pPr>
              <w:pStyle w:val="Normal"/>
              <w:ind w:hanging="0"/>
              <w:rPr>
                <w:rFonts w:ascii="times new roman" w:hAnsi="times new roman"/>
                <w:sz w:val="18"/>
                <w:szCs w:val="18"/>
              </w:rPr>
            </w:pPr>
            <w:r>
              <w:rPr>
                <w:rFonts w:ascii="times new roman" w:hAnsi="times new roman"/>
                <w:sz w:val="18"/>
                <w:szCs w:val="18"/>
              </w:rPr>
            </w:r>
          </w:p>
        </w:tc>
        <w:tc>
          <w:tcPr>
            <w:tcW w:w="660"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65F9C3DC" wp14:textId="77777777">
            <w:pPr>
              <w:pStyle w:val="Normal"/>
              <w:ind w:hanging="0"/>
              <w:rPr>
                <w:rFonts w:ascii="times new roman" w:hAnsi="times new roman"/>
                <w:sz w:val="18"/>
                <w:szCs w:val="18"/>
              </w:rPr>
            </w:pPr>
            <w:r>
              <w:rPr>
                <w:rFonts w:ascii="times new roman" w:hAnsi="times new roman"/>
                <w:sz w:val="18"/>
                <w:szCs w:val="18"/>
              </w:rPr>
            </w:r>
          </w:p>
        </w:tc>
        <w:tc>
          <w:tcPr>
            <w:tcW w:w="658" w:type="dxa"/>
            <w:tcBorders>
              <w:top w:val="single" w:color="000000" w:sz="4" w:space="0"/>
              <w:left w:val="single" w:color="000000" w:sz="4" w:space="0"/>
              <w:bottom w:val="single" w:color="000000" w:sz="4" w:space="0"/>
              <w:right w:val="single" w:color="000000" w:sz="4" w:space="0"/>
            </w:tcBorders>
            <w:shd w:val="clear" w:color="auto" w:fill="156082" w:themeFill="accent1"/>
            <w:vAlign w:val="bottom"/>
          </w:tcPr>
          <w:p w14:paraId="5023141B" wp14:textId="77777777">
            <w:pPr>
              <w:pStyle w:val="Normal"/>
              <w:ind w:hanging="0"/>
              <w:rPr>
                <w:rFonts w:ascii="times new roman" w:hAnsi="times new roman"/>
                <w:sz w:val="18"/>
                <w:szCs w:val="18"/>
              </w:rPr>
            </w:pPr>
            <w:r>
              <w:rPr>
                <w:rFonts w:ascii="times new roman" w:hAnsi="times new roman"/>
                <w:sz w:val="18"/>
                <w:szCs w:val="18"/>
              </w:rPr>
            </w:r>
          </w:p>
        </w:tc>
        <w:tc>
          <w:tcPr>
            <w:tcW w:w="665" w:type="dxa"/>
            <w:tcBorders>
              <w:top w:val="single" w:color="000000" w:sz="4" w:space="0"/>
              <w:left w:val="single" w:color="000000" w:sz="4" w:space="0"/>
              <w:bottom w:val="single" w:color="000000" w:sz="4" w:space="0"/>
              <w:right w:val="single" w:color="000000" w:sz="4" w:space="0"/>
            </w:tcBorders>
            <w:vAlign w:val="bottom"/>
          </w:tcPr>
          <w:p w14:paraId="1F3B1409" wp14:textId="77777777">
            <w:pPr>
              <w:pStyle w:val="Normal"/>
              <w:ind w:hanging="0"/>
              <w:rPr>
                <w:rFonts w:ascii="times new roman" w:hAnsi="times new roman"/>
                <w:sz w:val="18"/>
                <w:szCs w:val="18"/>
              </w:rPr>
            </w:pPr>
            <w:r>
              <w:rPr>
                <w:rFonts w:ascii="times new roman" w:hAnsi="times new roman"/>
                <w:sz w:val="18"/>
                <w:szCs w:val="18"/>
              </w:rPr>
            </w:r>
          </w:p>
        </w:tc>
      </w:tr>
      <w:tr xmlns:wp14="http://schemas.microsoft.com/office/word/2010/wordml" w14:paraId="503DCBC5" wp14:textId="77777777">
        <w:trPr>
          <w:trHeight w:val="300" w:hRule="atLeast"/>
        </w:trPr>
        <w:tc>
          <w:tcPr>
            <w:tcW w:w="10080" w:type="dxa"/>
            <w:gridSpan w:val="15"/>
            <w:tcBorders>
              <w:top w:val="single" w:color="000000" w:sz="4" w:space="0"/>
              <w:left w:val="single" w:color="000000" w:sz="4" w:space="0"/>
              <w:bottom w:val="single" w:color="000000" w:sz="4" w:space="0"/>
              <w:right w:val="single" w:color="000000" w:sz="4" w:space="0"/>
            </w:tcBorders>
            <w:vAlign w:val="bottom"/>
          </w:tcPr>
          <w:p w14:paraId="5D1E7BD9" wp14:textId="77777777">
            <w:pPr>
              <w:pStyle w:val="Normal"/>
              <w:ind w:hanging="0"/>
              <w:rPr>
                <w:rFonts w:ascii="times new roman" w:hAnsi="times new roman"/>
              </w:rPr>
            </w:pPr>
            <w:r>
              <w:rPr>
                <w:rFonts w:ascii="times new roman" w:hAnsi="times new roman" w:eastAsia="Times New Roman" w:cs="Times New Roman"/>
                <w:b/>
                <w:bCs/>
                <w:color w:val="000000" w:themeColor="text1"/>
                <w:sz w:val="18"/>
                <w:szCs w:val="18"/>
              </w:rPr>
              <w:t>Skills (Key)</w:t>
            </w:r>
            <w:r>
              <w:rPr>
                <w:rFonts w:ascii="times new roman" w:hAnsi="times new roman" w:eastAsia="Times New Roman" w:cs="Times New Roman"/>
                <w:color w:val="000000" w:themeColor="text1"/>
                <w:sz w:val="18"/>
                <w:szCs w:val="18"/>
              </w:rPr>
              <w:t xml:space="preserve">: </w:t>
            </w:r>
            <w:r>
              <w:rPr>
                <w:rFonts w:ascii="times new roman" w:hAnsi="times new roman" w:eastAsia="Times New Roman" w:cs="Times New Roman"/>
                <w:b/>
                <w:bCs/>
                <w:color w:val="000000" w:themeColor="text1"/>
                <w:sz w:val="18"/>
                <w:szCs w:val="18"/>
              </w:rPr>
              <w:t>KS</w:t>
            </w:r>
            <w:r>
              <w:rPr>
                <w:rFonts w:ascii="times new roman" w:hAnsi="times new roman" w:eastAsia="Times New Roman" w:cs="Times New Roman"/>
                <w:color w:val="000000" w:themeColor="text1"/>
                <w:sz w:val="18"/>
                <w:szCs w:val="18"/>
              </w:rPr>
              <w:t xml:space="preserve">: Knowledge Synthesis; </w:t>
            </w:r>
            <w:r>
              <w:rPr>
                <w:rFonts w:ascii="times new roman" w:hAnsi="times new roman" w:eastAsia="Times New Roman" w:cs="Times New Roman"/>
                <w:b/>
                <w:bCs/>
                <w:color w:val="000000" w:themeColor="text1"/>
                <w:sz w:val="18"/>
                <w:szCs w:val="18"/>
              </w:rPr>
              <w:t>QL</w:t>
            </w:r>
            <w:r>
              <w:rPr>
                <w:rFonts w:ascii="times new roman" w:hAnsi="times new roman" w:eastAsia="Times New Roman" w:cs="Times New Roman"/>
                <w:color w:val="000000" w:themeColor="text1"/>
                <w:sz w:val="18"/>
                <w:szCs w:val="18"/>
              </w:rPr>
              <w:t xml:space="preserve">: Qualitative research methods; </w:t>
            </w:r>
            <w:r>
              <w:rPr>
                <w:rFonts w:ascii="times new roman" w:hAnsi="times new roman" w:eastAsia="Times New Roman" w:cs="Times New Roman"/>
                <w:b/>
                <w:bCs/>
                <w:color w:val="000000" w:themeColor="text1"/>
                <w:sz w:val="18"/>
                <w:szCs w:val="18"/>
              </w:rPr>
              <w:t>QT</w:t>
            </w:r>
            <w:r>
              <w:rPr>
                <w:rFonts w:ascii="times new roman" w:hAnsi="times new roman" w:eastAsia="Times New Roman" w:cs="Times New Roman"/>
                <w:color w:val="000000" w:themeColor="text1"/>
                <w:sz w:val="18"/>
                <w:szCs w:val="18"/>
              </w:rPr>
              <w:t xml:space="preserve">: Quantitative research methods; </w:t>
            </w:r>
            <w:r>
              <w:rPr>
                <w:rFonts w:ascii="times new roman" w:hAnsi="times new roman" w:eastAsia="Times New Roman" w:cs="Times New Roman"/>
                <w:b/>
                <w:bCs/>
                <w:color w:val="000000" w:themeColor="text1"/>
                <w:sz w:val="18"/>
                <w:szCs w:val="18"/>
              </w:rPr>
              <w:t>PP</w:t>
            </w:r>
            <w:r>
              <w:rPr>
                <w:rFonts w:ascii="times new roman" w:hAnsi="times new roman" w:eastAsia="Times New Roman" w:cs="Times New Roman"/>
                <w:color w:val="000000" w:themeColor="text1"/>
                <w:sz w:val="18"/>
                <w:szCs w:val="18"/>
              </w:rPr>
              <w:t xml:space="preserve">: Publication and presentations (communication skills); </w:t>
            </w:r>
            <w:r>
              <w:rPr>
                <w:rFonts w:ascii="times new roman" w:hAnsi="times new roman" w:eastAsia="Times New Roman" w:cs="Times New Roman"/>
                <w:b/>
                <w:bCs/>
                <w:color w:val="000000" w:themeColor="text1"/>
                <w:sz w:val="18"/>
                <w:szCs w:val="18"/>
              </w:rPr>
              <w:t>DL</w:t>
            </w:r>
            <w:r>
              <w:rPr>
                <w:rFonts w:ascii="times new roman" w:hAnsi="times new roman" w:eastAsia="Times New Roman" w:cs="Times New Roman"/>
                <w:color w:val="000000" w:themeColor="text1"/>
                <w:sz w:val="18"/>
                <w:szCs w:val="18"/>
              </w:rPr>
              <w:t xml:space="preserve">: Digital literacy; </w:t>
            </w:r>
            <w:r>
              <w:rPr>
                <w:rFonts w:ascii="times new roman" w:hAnsi="times new roman" w:eastAsia="Times New Roman" w:cs="Times New Roman"/>
                <w:b/>
                <w:bCs/>
                <w:color w:val="000000" w:themeColor="text1"/>
                <w:sz w:val="18"/>
                <w:szCs w:val="18"/>
              </w:rPr>
              <w:t>PC</w:t>
            </w:r>
            <w:r>
              <w:rPr>
                <w:rFonts w:ascii="times new roman" w:hAnsi="times new roman" w:eastAsia="Times New Roman" w:cs="Times New Roman"/>
                <w:color w:val="000000" w:themeColor="text1"/>
                <w:sz w:val="18"/>
                <w:szCs w:val="18"/>
              </w:rPr>
              <w:t xml:space="preserve">: Programming and coding; </w:t>
            </w:r>
            <w:r>
              <w:rPr>
                <w:rFonts w:ascii="times new roman" w:hAnsi="times new roman" w:eastAsia="Times New Roman" w:cs="Times New Roman"/>
                <w:b/>
                <w:bCs/>
                <w:color w:val="000000" w:themeColor="text1"/>
                <w:sz w:val="18"/>
                <w:szCs w:val="18"/>
              </w:rPr>
              <w:t>DM</w:t>
            </w:r>
            <w:r>
              <w:rPr>
                <w:rFonts w:ascii="times new roman" w:hAnsi="times new roman" w:eastAsia="Times New Roman" w:cs="Times New Roman"/>
                <w:color w:val="000000" w:themeColor="text1"/>
                <w:sz w:val="18"/>
                <w:szCs w:val="18"/>
              </w:rPr>
              <w:t xml:space="preserve">: Data management and analysis; </w:t>
            </w:r>
            <w:r>
              <w:rPr>
                <w:rFonts w:ascii="times new roman" w:hAnsi="times new roman" w:eastAsia="Times New Roman" w:cs="Times New Roman"/>
                <w:b/>
                <w:bCs/>
                <w:color w:val="000000" w:themeColor="text1"/>
                <w:sz w:val="18"/>
                <w:szCs w:val="18"/>
              </w:rPr>
              <w:t>RE</w:t>
            </w:r>
            <w:r>
              <w:rPr>
                <w:rFonts w:ascii="times new roman" w:hAnsi="times new roman" w:eastAsia="Times New Roman" w:cs="Times New Roman"/>
                <w:color w:val="000000" w:themeColor="text1"/>
                <w:sz w:val="18"/>
                <w:szCs w:val="18"/>
              </w:rPr>
              <w:t xml:space="preserve">: research ethics; </w:t>
            </w:r>
            <w:r>
              <w:rPr>
                <w:rFonts w:ascii="times new roman" w:hAnsi="times new roman" w:eastAsia="Times New Roman" w:cs="Times New Roman"/>
                <w:b/>
                <w:bCs/>
                <w:color w:val="000000" w:themeColor="text1"/>
                <w:sz w:val="18"/>
                <w:szCs w:val="18"/>
              </w:rPr>
              <w:t>CCE</w:t>
            </w:r>
            <w:r>
              <w:rPr>
                <w:rFonts w:ascii="times new roman" w:hAnsi="times new roman" w:eastAsia="Times New Roman" w:cs="Times New Roman"/>
                <w:color w:val="000000" w:themeColor="text1"/>
                <w:sz w:val="18"/>
                <w:szCs w:val="18"/>
              </w:rPr>
              <w:t xml:space="preserve">: Consultation and community engagement; </w:t>
            </w:r>
            <w:r>
              <w:rPr>
                <w:rFonts w:ascii="times new roman" w:hAnsi="times new roman" w:eastAsia="Times New Roman" w:cs="Times New Roman"/>
                <w:b/>
                <w:bCs/>
                <w:color w:val="000000" w:themeColor="text1"/>
                <w:sz w:val="18"/>
                <w:szCs w:val="18"/>
              </w:rPr>
              <w:t>TW</w:t>
            </w:r>
            <w:r>
              <w:rPr>
                <w:rFonts w:ascii="times new roman" w:hAnsi="times new roman" w:eastAsia="Times New Roman" w:cs="Times New Roman"/>
                <w:color w:val="000000" w:themeColor="text1"/>
                <w:sz w:val="18"/>
                <w:szCs w:val="18"/>
              </w:rPr>
              <w:t xml:space="preserve">: Teamwork; </w:t>
            </w:r>
            <w:r>
              <w:rPr>
                <w:rFonts w:ascii="times new roman" w:hAnsi="times new roman" w:eastAsia="Times New Roman" w:cs="Times New Roman"/>
                <w:b/>
                <w:bCs/>
                <w:color w:val="000000" w:themeColor="text1"/>
                <w:sz w:val="18"/>
                <w:szCs w:val="18"/>
              </w:rPr>
              <w:t>IIC</w:t>
            </w:r>
            <w:r>
              <w:rPr>
                <w:rFonts w:ascii="times new roman" w:hAnsi="times new roman" w:eastAsia="Times New Roman" w:cs="Times New Roman"/>
                <w:color w:val="000000" w:themeColor="text1"/>
                <w:sz w:val="18"/>
                <w:szCs w:val="18"/>
              </w:rPr>
              <w:t xml:space="preserve">: International and intersectoral conference; </w:t>
            </w:r>
            <w:r>
              <w:rPr>
                <w:rFonts w:ascii="times new roman" w:hAnsi="times new roman" w:eastAsia="Times New Roman" w:cs="Times New Roman"/>
                <w:b/>
                <w:bCs/>
                <w:color w:val="000000" w:themeColor="text1"/>
                <w:sz w:val="18"/>
                <w:szCs w:val="18"/>
              </w:rPr>
              <w:t>TM</w:t>
            </w:r>
            <w:r>
              <w:rPr>
                <w:rFonts w:ascii="times new roman" w:hAnsi="times new roman" w:eastAsia="Times New Roman" w:cs="Times New Roman"/>
                <w:color w:val="000000" w:themeColor="text1"/>
                <w:sz w:val="18"/>
                <w:szCs w:val="18"/>
              </w:rPr>
              <w:t xml:space="preserve">: Time management; </w:t>
            </w:r>
            <w:r>
              <w:rPr>
                <w:rFonts w:ascii="times new roman" w:hAnsi="times new roman" w:eastAsia="Times New Roman" w:cs="Times New Roman"/>
                <w:b/>
                <w:bCs/>
                <w:color w:val="000000" w:themeColor="text1"/>
                <w:sz w:val="18"/>
                <w:szCs w:val="18"/>
              </w:rPr>
              <w:t>BM</w:t>
            </w:r>
            <w:r>
              <w:rPr>
                <w:rFonts w:ascii="times new roman" w:hAnsi="times new roman" w:eastAsia="Times New Roman" w:cs="Times New Roman"/>
                <w:color w:val="000000" w:themeColor="text1"/>
                <w:sz w:val="18"/>
                <w:szCs w:val="18"/>
              </w:rPr>
              <w:t>: Budget management.</w:t>
            </w:r>
          </w:p>
        </w:tc>
      </w:tr>
    </w:tbl>
    <w:p xmlns:wp14="http://schemas.microsoft.com/office/word/2010/wordml" w14:paraId="30C60D74" wp14:textId="77777777">
      <w:pPr>
        <w:pStyle w:val="Title"/>
        <w:spacing w:before="0" w:after="80"/>
        <w:contextualSpacing/>
        <w:rPr>
          <w:rFonts w:ascii="times new roman" w:hAnsi="times new roman"/>
        </w:rPr>
      </w:pPr>
      <w:r>
        <w:rPr>
          <w:rFonts w:ascii="times new roman" w:hAnsi="times new roman"/>
          <w:sz w:val="24"/>
          <w:szCs w:val="24"/>
          <w:lang w:val="en-CA"/>
        </w:rPr>
        <w:t>Budget Justification (max. 2 pages)</w:t>
      </w:r>
    </w:p>
    <w:p xmlns:wp14="http://schemas.microsoft.com/office/word/2010/wordml" w14:paraId="6B00C0B6" wp14:textId="77777777">
      <w:pPr>
        <w:pStyle w:val="Normal"/>
        <w:rPr>
          <w:rFonts w:ascii="times new roman" w:hAnsi="times new roman"/>
          <w:sz w:val="24"/>
          <w:szCs w:val="24"/>
        </w:rPr>
      </w:pPr>
      <w:r>
        <w:rPr>
          <w:rFonts w:ascii="times new roman" w:hAnsi="times new roman"/>
          <w:sz w:val="24"/>
          <w:szCs w:val="24"/>
        </w:rPr>
        <w:t>The budget requested from SSHRC is $499,540.</w:t>
      </w:r>
    </w:p>
    <w:p xmlns:wp14="http://schemas.microsoft.com/office/word/2010/wordml" w14:paraId="36D48AFF" wp14:textId="77777777">
      <w:pPr>
        <w:pStyle w:val="Heading1"/>
        <w:rPr>
          <w:rFonts w:ascii="times new roman" w:hAnsi="times new roman"/>
          <w:sz w:val="24"/>
          <w:szCs w:val="24"/>
        </w:rPr>
      </w:pPr>
      <w:r>
        <w:rPr>
          <w:rFonts w:ascii="times new roman" w:hAnsi="times new roman"/>
          <w:sz w:val="24"/>
          <w:szCs w:val="24"/>
        </w:rPr>
        <w:t xml:space="preserve">Personnel costs ($464,000) </w:t>
      </w:r>
    </w:p>
    <w:p xmlns:wp14="http://schemas.microsoft.com/office/word/2010/wordml" w14:paraId="67377DE0" wp14:textId="77777777">
      <w:pPr>
        <w:pStyle w:val="Normal"/>
        <w:rPr>
          <w:rFonts w:ascii="times new roman" w:hAnsi="times new roman"/>
          <w:sz w:val="24"/>
          <w:szCs w:val="24"/>
        </w:rPr>
      </w:pPr>
      <w:r>
        <w:rPr>
          <w:rFonts w:ascii="times new roman" w:hAnsi="times new roman"/>
          <w:sz w:val="24"/>
          <w:szCs w:val="24"/>
        </w:rPr>
        <w:t xml:space="preserve">The largest portion of the costs are allocated towards the students (master's and PhD) and post-doctoral research fellows. Stipends for master's students are $25,000 per year (years 1-2; 3-4), stipends of PhD students are $28,000 per year (years 1-4; 2-5), and the Post-Doctoral Fellows will be paid $70,000 per year (years 1 &amp; 5). Over the duration of this 5-year project, this will account for 92.8% of the funds requested. A timeline of when master's students, PhD students, and post-doctoral fellows will be working on the project, and the tasks allocated to them, can be seen in </w:t>
      </w:r>
      <w:r>
        <w:rPr>
          <w:rFonts w:ascii="times new roman" w:hAnsi="times new roman"/>
          <w:b/>
          <w:bCs/>
          <w:sz w:val="24"/>
          <w:szCs w:val="24"/>
        </w:rPr>
        <w:t>Table T1</w:t>
      </w:r>
      <w:r>
        <w:rPr>
          <w:rFonts w:ascii="times new roman" w:hAnsi="times new roman"/>
          <w:sz w:val="24"/>
          <w:szCs w:val="24"/>
        </w:rPr>
        <w:t>.</w:t>
      </w:r>
    </w:p>
    <w:p xmlns:wp14="http://schemas.microsoft.com/office/word/2010/wordml" w14:paraId="562C75D1" wp14:textId="77777777">
      <w:pPr>
        <w:pStyle w:val="Normal"/>
        <w:rPr>
          <w:rFonts w:ascii="times new roman" w:hAnsi="times new roman"/>
          <w:sz w:val="24"/>
          <w:szCs w:val="24"/>
        </w:rPr>
      </w:pPr>
      <w:r>
        <w:rPr>
          <w:rFonts w:ascii="times new roman" w:hAnsi="times new roman"/>
          <w:sz w:val="24"/>
          <w:szCs w:val="24"/>
        </w:rPr>
      </w:r>
    </w:p>
    <w:tbl>
      <w:tblPr>
        <w:tblW w:w="10086" w:type="dxa"/>
        <w:jc w:val="left"/>
        <w:tblInd w:w="-7" w:type="dxa"/>
        <w:tblLayout w:type="fixed"/>
        <w:tblCellMar>
          <w:top w:w="0" w:type="dxa"/>
          <w:left w:w="7" w:type="dxa"/>
          <w:bottom w:w="0" w:type="dxa"/>
          <w:right w:w="7" w:type="dxa"/>
        </w:tblCellMar>
      </w:tblPr>
      <w:tblGrid>
        <w:gridCol w:w="7925"/>
        <w:gridCol w:w="2160"/>
      </w:tblGrid>
      <w:tr xmlns:wp14="http://schemas.microsoft.com/office/word/2010/wordml" w14:paraId="59517A71" wp14:textId="77777777">
        <w:trPr/>
        <w:tc>
          <w:tcPr>
            <w:tcW w:w="7925" w:type="dxa"/>
            <w:tcBorders>
              <w:top w:val="single" w:color="000000" w:sz="6" w:space="0"/>
              <w:left w:val="single" w:color="000000" w:sz="6" w:space="0"/>
              <w:bottom w:val="single" w:color="B2B2B2" w:sz="6" w:space="0"/>
              <w:right w:val="single" w:color="B2B2B2" w:sz="6" w:space="0"/>
            </w:tcBorders>
            <w:shd w:val="clear" w:fill="CCCCCC"/>
          </w:tcPr>
          <w:p w14:paraId="7D4C88F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Budget Item</w:t>
            </w:r>
          </w:p>
        </w:tc>
        <w:tc>
          <w:tcPr>
            <w:tcW w:w="2160" w:type="dxa"/>
            <w:tcBorders>
              <w:top w:val="single" w:color="000000" w:sz="6" w:space="0"/>
              <w:left w:val="single" w:color="B2B2B2" w:sz="6" w:space="0"/>
              <w:bottom w:val="single" w:color="B2B2B2" w:sz="6" w:space="0"/>
              <w:right w:val="single" w:color="000000" w:sz="6" w:space="0"/>
            </w:tcBorders>
            <w:shd w:val="clear" w:fill="CCCCCC"/>
          </w:tcPr>
          <w:p w14:paraId="0935E4B3"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Funds Requested</w:t>
            </w:r>
          </w:p>
        </w:tc>
      </w:tr>
      <w:tr xmlns:wp14="http://schemas.microsoft.com/office/word/2010/wordml" w14:paraId="02B80BF6" wp14:textId="77777777">
        <w:trPr/>
        <w:tc>
          <w:tcPr>
            <w:tcW w:w="7925" w:type="dxa"/>
            <w:tcBorders>
              <w:left w:val="single" w:color="000000" w:sz="6" w:space="0"/>
              <w:bottom w:val="single" w:color="B2B2B2" w:sz="6" w:space="0"/>
              <w:right w:val="single" w:color="B2B2B2" w:sz="6" w:space="0"/>
            </w:tcBorders>
          </w:tcPr>
          <w:p w14:paraId="3B4E653B"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Student stipends</w:t>
            </w:r>
          </w:p>
        </w:tc>
        <w:tc>
          <w:tcPr>
            <w:tcW w:w="2160" w:type="dxa"/>
            <w:tcBorders>
              <w:left w:val="single" w:color="B2B2B2" w:sz="6" w:space="0"/>
              <w:bottom w:val="single" w:color="B2B2B2" w:sz="6" w:space="0"/>
              <w:right w:val="single" w:color="000000" w:sz="6" w:space="0"/>
            </w:tcBorders>
          </w:tcPr>
          <w:p w14:paraId="664355AD"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4E15F1AB" wp14:textId="77777777">
        <w:trPr/>
        <w:tc>
          <w:tcPr>
            <w:tcW w:w="7925" w:type="dxa"/>
            <w:tcBorders>
              <w:left w:val="single" w:color="000000" w:sz="6" w:space="0"/>
              <w:bottom w:val="single" w:color="B2B2B2" w:sz="6" w:space="0"/>
              <w:right w:val="single" w:color="B2B2B2" w:sz="6" w:space="0"/>
            </w:tcBorders>
          </w:tcPr>
          <w:p w14:paraId="517630D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Master’s Student Stipends (4 student-years x $25,000)</w:t>
            </w:r>
          </w:p>
        </w:tc>
        <w:tc>
          <w:tcPr>
            <w:tcW w:w="2160" w:type="dxa"/>
            <w:tcBorders>
              <w:left w:val="single" w:color="B2B2B2" w:sz="6" w:space="0"/>
              <w:bottom w:val="single" w:color="B2B2B2" w:sz="6" w:space="0"/>
              <w:right w:val="single" w:color="000000" w:sz="6" w:space="0"/>
            </w:tcBorders>
          </w:tcPr>
          <w:p w14:paraId="10925767"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$100,000</w:t>
            </w:r>
          </w:p>
        </w:tc>
      </w:tr>
      <w:tr xmlns:wp14="http://schemas.microsoft.com/office/word/2010/wordml" w14:paraId="0ABFCAF1" wp14:textId="77777777">
        <w:trPr/>
        <w:tc>
          <w:tcPr>
            <w:tcW w:w="7925" w:type="dxa"/>
            <w:tcBorders>
              <w:left w:val="single" w:color="000000" w:sz="6" w:space="0"/>
              <w:bottom w:val="single" w:color="B2B2B2" w:sz="6" w:space="0"/>
              <w:right w:val="single" w:color="B2B2B2" w:sz="6" w:space="0"/>
            </w:tcBorders>
          </w:tcPr>
          <w:p w14:paraId="5F08BB8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PhD Student Stipends (8 student-years x $28,000)</w:t>
            </w:r>
          </w:p>
        </w:tc>
        <w:tc>
          <w:tcPr>
            <w:tcW w:w="2160" w:type="dxa"/>
            <w:tcBorders>
              <w:left w:val="single" w:color="B2B2B2" w:sz="6" w:space="0"/>
              <w:bottom w:val="single" w:color="B2B2B2" w:sz="6" w:space="0"/>
              <w:right w:val="single" w:color="000000" w:sz="6" w:space="0"/>
            </w:tcBorders>
          </w:tcPr>
          <w:p w14:paraId="49EB8D3B"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$224,000</w:t>
            </w:r>
          </w:p>
        </w:tc>
      </w:tr>
      <w:tr xmlns:wp14="http://schemas.microsoft.com/office/word/2010/wordml" w14:paraId="633F0A80" wp14:textId="77777777">
        <w:trPr/>
        <w:tc>
          <w:tcPr>
            <w:tcW w:w="7925" w:type="dxa"/>
            <w:tcBorders>
              <w:left w:val="single" w:color="000000" w:sz="6" w:space="0"/>
              <w:bottom w:val="single" w:color="B2B2B2" w:sz="6" w:space="0"/>
              <w:right w:val="single" w:color="B2B2B2" w:sz="6" w:space="0"/>
            </w:tcBorders>
          </w:tcPr>
          <w:p w14:paraId="78D03CC1"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Non-student salaries</w:t>
            </w:r>
          </w:p>
        </w:tc>
        <w:tc>
          <w:tcPr>
            <w:tcW w:w="2160" w:type="dxa"/>
            <w:tcBorders>
              <w:left w:val="single" w:color="B2B2B2" w:sz="6" w:space="0"/>
              <w:bottom w:val="single" w:color="B2B2B2" w:sz="6" w:space="0"/>
              <w:right w:val="single" w:color="000000" w:sz="6" w:space="0"/>
            </w:tcBorders>
          </w:tcPr>
          <w:p w14:paraId="1A965116"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4CD5A981" wp14:textId="77777777">
        <w:trPr/>
        <w:tc>
          <w:tcPr>
            <w:tcW w:w="7925" w:type="dxa"/>
            <w:tcBorders>
              <w:left w:val="single" w:color="000000" w:sz="6" w:space="0"/>
              <w:bottom w:val="single" w:color="B2B2B2" w:sz="6" w:space="0"/>
              <w:right w:val="single" w:color="B2B2B2" w:sz="6" w:space="0"/>
            </w:tcBorders>
          </w:tcPr>
          <w:p w14:paraId="6CA3BC5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Post-Doctoral Salaries (2 person-years x $70,000)</w:t>
            </w:r>
          </w:p>
        </w:tc>
        <w:tc>
          <w:tcPr>
            <w:tcW w:w="2160" w:type="dxa"/>
            <w:tcBorders>
              <w:left w:val="single" w:color="B2B2B2" w:sz="6" w:space="0"/>
              <w:bottom w:val="single" w:color="B2B2B2" w:sz="6" w:space="0"/>
              <w:right w:val="single" w:color="000000" w:sz="6" w:space="0"/>
            </w:tcBorders>
          </w:tcPr>
          <w:p w14:paraId="376D2C0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$140,000</w:t>
            </w:r>
          </w:p>
        </w:tc>
      </w:tr>
      <w:tr xmlns:wp14="http://schemas.microsoft.com/office/word/2010/wordml" w14:paraId="4703641B" wp14:textId="77777777">
        <w:trPr/>
        <w:tc>
          <w:tcPr>
            <w:tcW w:w="7925" w:type="dxa"/>
            <w:tcBorders>
              <w:top w:val="double" w:color="000000" w:sz="2" w:space="0"/>
              <w:left w:val="single" w:color="000000" w:sz="6" w:space="0"/>
              <w:bottom w:val="single" w:color="000000" w:sz="6" w:space="0"/>
              <w:right w:val="single" w:color="B2B2B2" w:sz="6" w:space="0"/>
            </w:tcBorders>
          </w:tcPr>
          <w:p w14:paraId="46FE0C09"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Total</w:t>
            </w:r>
          </w:p>
        </w:tc>
        <w:tc>
          <w:tcPr>
            <w:tcW w:w="2160" w:type="dxa"/>
            <w:tcBorders>
              <w:top w:val="double" w:color="000000" w:sz="2" w:space="0"/>
              <w:left w:val="single" w:color="B2B2B2" w:sz="6" w:space="0"/>
              <w:bottom w:val="single" w:color="000000" w:sz="6" w:space="0"/>
              <w:right w:val="single" w:color="000000" w:sz="6" w:space="0"/>
            </w:tcBorders>
          </w:tcPr>
          <w:p w14:paraId="28A72670" wp14:textId="77777777">
            <w:pPr>
              <w:pStyle w:val="TableContents"/>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$464,000</w:t>
            </w:r>
          </w:p>
        </w:tc>
      </w:tr>
    </w:tbl>
    <w:p xmlns:wp14="http://schemas.microsoft.com/office/word/2010/wordml" w14:paraId="6667999E" wp14:textId="77777777">
      <w:pPr>
        <w:pStyle w:val="Heading1"/>
        <w:rPr>
          <w:rFonts w:ascii="times new roman" w:hAnsi="times new roman"/>
          <w:sz w:val="24"/>
          <w:szCs w:val="24"/>
        </w:rPr>
      </w:pPr>
      <w:r>
        <w:rPr>
          <w:rFonts w:ascii="times new roman" w:hAnsi="times new roman"/>
          <w:sz w:val="24"/>
          <w:szCs w:val="24"/>
        </w:rPr>
        <w:t xml:space="preserve">Travel costs ($21,000) </w:t>
      </w:r>
    </w:p>
    <w:p xmlns:wp14="http://schemas.microsoft.com/office/word/2010/wordml" w14:paraId="4089CEE0" wp14:textId="77777777">
      <w:pPr>
        <w:pStyle w:val="Normal"/>
        <w:rPr>
          <w:rFonts w:ascii="times new roman" w:hAnsi="times new roman"/>
          <w:sz w:val="24"/>
          <w:szCs w:val="24"/>
        </w:rPr>
      </w:pPr>
      <w:r>
        <w:rPr>
          <w:rFonts w:ascii="times new roman" w:hAnsi="times new roman"/>
          <w:sz w:val="24"/>
          <w:szCs w:val="24"/>
        </w:rPr>
        <w:t>Beginning in year 2 of the project, each student will receive $800 per year for Canadian travel to attend domestic conferences and meeting such as the Canadian Associations of Geographers Annual Conference or transportation-oriented conferences such as the Canadian Transportation Research Forum. This translates to $2,400 in years 2-4 of the project, and $800 in year 5, when the only student will be PhD2. Additionally, starting on year 2 of the project, each student will receive $1,200 for international travel to conferences such as the Annual Meeting of the Transportation Research Board or NECTAR. This translates to $3,900 per year in years 2 to 4 of the project and $1,300 in year 5, when only PhD2 will be in the project. Regardless of year of study, students will be encouraged to attend the conferences as well as present in their upper years of study, as it is crucial for not only showcasing the research project, but also learning from other experts in the fields of transportation, geography, and planning. Hence, 4.2% of the total project cost will be allocated to travel costs.</w:t>
      </w:r>
    </w:p>
    <w:p xmlns:wp14="http://schemas.microsoft.com/office/word/2010/wordml" w14:paraId="7DF4E37C" wp14:textId="77777777">
      <w:pPr>
        <w:pStyle w:val="Normal"/>
        <w:rPr>
          <w:rFonts w:ascii="times new roman" w:hAnsi="times new roman"/>
          <w:sz w:val="24"/>
          <w:szCs w:val="24"/>
        </w:rPr>
      </w:pPr>
      <w:r>
        <w:rPr>
          <w:rFonts w:ascii="times new roman" w:hAnsi="times new roman"/>
          <w:sz w:val="24"/>
          <w:szCs w:val="24"/>
        </w:rPr>
      </w:r>
    </w:p>
    <w:tbl>
      <w:tblPr>
        <w:tblW w:w="10086" w:type="dxa"/>
        <w:jc w:val="left"/>
        <w:tblInd w:w="-7" w:type="dxa"/>
        <w:tblLayout w:type="fixed"/>
        <w:tblCellMar>
          <w:top w:w="0" w:type="dxa"/>
          <w:left w:w="7" w:type="dxa"/>
          <w:bottom w:w="0" w:type="dxa"/>
          <w:right w:w="7" w:type="dxa"/>
        </w:tblCellMar>
      </w:tblPr>
      <w:tblGrid>
        <w:gridCol w:w="7925"/>
        <w:gridCol w:w="2160"/>
      </w:tblGrid>
      <w:tr xmlns:wp14="http://schemas.microsoft.com/office/word/2010/wordml" w14:paraId="796B4959" wp14:textId="77777777">
        <w:trPr/>
        <w:tc>
          <w:tcPr>
            <w:tcW w:w="7925" w:type="dxa"/>
            <w:tcBorders>
              <w:top w:val="single" w:color="000000" w:sz="6" w:space="0"/>
              <w:left w:val="single" w:color="000000" w:sz="6" w:space="0"/>
              <w:bottom w:val="single" w:color="B2B2B2" w:sz="6" w:space="0"/>
              <w:right w:val="single" w:color="B2B2B2" w:sz="6" w:space="0"/>
            </w:tcBorders>
            <w:shd w:val="clear" w:fill="CCCCCC"/>
          </w:tcPr>
          <w:p w14:paraId="6C833786"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Budget Item</w:t>
            </w:r>
          </w:p>
        </w:tc>
        <w:tc>
          <w:tcPr>
            <w:tcW w:w="2160" w:type="dxa"/>
            <w:tcBorders>
              <w:top w:val="single" w:color="000000" w:sz="6" w:space="0"/>
              <w:left w:val="single" w:color="B2B2B2" w:sz="6" w:space="0"/>
              <w:bottom w:val="single" w:color="B2B2B2" w:sz="6" w:space="0"/>
              <w:right w:val="single" w:color="000000" w:sz="6" w:space="0"/>
            </w:tcBorders>
            <w:shd w:val="clear" w:fill="CCCCCC"/>
          </w:tcPr>
          <w:p w14:paraId="69E65519"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Funds Requested</w:t>
            </w:r>
          </w:p>
        </w:tc>
      </w:tr>
      <w:tr xmlns:wp14="http://schemas.microsoft.com/office/word/2010/wordml" w14:paraId="58F594C1" wp14:textId="77777777">
        <w:trPr/>
        <w:tc>
          <w:tcPr>
            <w:tcW w:w="7925" w:type="dxa"/>
            <w:tcBorders>
              <w:left w:val="single" w:color="000000" w:sz="6" w:space="0"/>
              <w:bottom w:val="single" w:color="B2B2B2" w:sz="6" w:space="0"/>
              <w:right w:val="single" w:color="B2B2B2" w:sz="6" w:space="0"/>
            </w:tcBorders>
          </w:tcPr>
          <w:p w14:paraId="4DB37717"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Travel and subsistence</w:t>
            </w:r>
          </w:p>
        </w:tc>
        <w:tc>
          <w:tcPr>
            <w:tcW w:w="2160" w:type="dxa"/>
            <w:tcBorders>
              <w:left w:val="single" w:color="B2B2B2" w:sz="6" w:space="0"/>
              <w:bottom w:val="single" w:color="B2B2B2" w:sz="6" w:space="0"/>
              <w:right w:val="single" w:color="000000" w:sz="6" w:space="0"/>
            </w:tcBorders>
          </w:tcPr>
          <w:p w14:paraId="44FB30F8"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0FDF9427" wp14:textId="77777777">
        <w:trPr/>
        <w:tc>
          <w:tcPr>
            <w:tcW w:w="7925" w:type="dxa"/>
            <w:tcBorders>
              <w:left w:val="single" w:color="000000" w:sz="6" w:space="0"/>
              <w:bottom w:val="single" w:color="B2B2B2" w:sz="6" w:space="0"/>
              <w:right w:val="single" w:color="B2B2B2" w:sz="6" w:space="0"/>
            </w:tcBorders>
          </w:tcPr>
          <w:p w14:paraId="1D945C2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Students: Canadian travel (10 student-years x $800)</w:t>
            </w:r>
          </w:p>
        </w:tc>
        <w:tc>
          <w:tcPr>
            <w:tcW w:w="2160" w:type="dxa"/>
            <w:tcBorders>
              <w:left w:val="single" w:color="B2B2B2" w:sz="6" w:space="0"/>
              <w:bottom w:val="single" w:color="B2B2B2" w:sz="6" w:space="0"/>
              <w:right w:val="single" w:color="000000" w:sz="6" w:space="0"/>
            </w:tcBorders>
          </w:tcPr>
          <w:p w14:paraId="556A0E4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$8,000</w:t>
            </w:r>
          </w:p>
        </w:tc>
      </w:tr>
      <w:tr xmlns:wp14="http://schemas.microsoft.com/office/word/2010/wordml" w14:paraId="7852FA92" wp14:textId="77777777">
        <w:trPr/>
        <w:tc>
          <w:tcPr>
            <w:tcW w:w="7925" w:type="dxa"/>
            <w:tcBorders>
              <w:left w:val="single" w:color="000000" w:sz="6" w:space="0"/>
              <w:bottom w:val="single" w:color="B2B2B2" w:sz="6" w:space="0"/>
              <w:right w:val="single" w:color="B2B2B2" w:sz="6" w:space="0"/>
            </w:tcBorders>
          </w:tcPr>
          <w:p w14:paraId="28604C63"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Students: Foreign travel (10 student-years x $1,300)</w:t>
            </w:r>
          </w:p>
        </w:tc>
        <w:tc>
          <w:tcPr>
            <w:tcW w:w="2160" w:type="dxa"/>
            <w:tcBorders>
              <w:left w:val="single" w:color="B2B2B2" w:sz="6" w:space="0"/>
              <w:bottom w:val="single" w:color="B2B2B2" w:sz="6" w:space="0"/>
              <w:right w:val="single" w:color="000000" w:sz="6" w:space="0"/>
            </w:tcBorders>
          </w:tcPr>
          <w:p w14:paraId="67E11279"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$13,000</w:t>
            </w:r>
          </w:p>
        </w:tc>
      </w:tr>
      <w:tr xmlns:wp14="http://schemas.microsoft.com/office/word/2010/wordml" w14:paraId="5F51E2F5" wp14:textId="77777777">
        <w:trPr/>
        <w:tc>
          <w:tcPr>
            <w:tcW w:w="7925" w:type="dxa"/>
            <w:tcBorders>
              <w:top w:val="double" w:color="000000" w:sz="2" w:space="0"/>
              <w:left w:val="single" w:color="000000" w:sz="6" w:space="0"/>
              <w:bottom w:val="single" w:color="000000" w:sz="6" w:space="0"/>
              <w:right w:val="single" w:color="B2B2B2" w:sz="6" w:space="0"/>
            </w:tcBorders>
          </w:tcPr>
          <w:p w14:paraId="51E8FDB7"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Total</w:t>
            </w:r>
          </w:p>
        </w:tc>
        <w:tc>
          <w:tcPr>
            <w:tcW w:w="2160" w:type="dxa"/>
            <w:tcBorders>
              <w:top w:val="double" w:color="000000" w:sz="2" w:space="0"/>
              <w:left w:val="single" w:color="B2B2B2" w:sz="6" w:space="0"/>
              <w:bottom w:val="single" w:color="000000" w:sz="6" w:space="0"/>
              <w:right w:val="single" w:color="000000" w:sz="6" w:space="0"/>
            </w:tcBorders>
          </w:tcPr>
          <w:p w14:paraId="602F4D8F" wp14:textId="77777777">
            <w:pPr>
              <w:pStyle w:val="TableContents"/>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$21,000</w:t>
            </w:r>
          </w:p>
        </w:tc>
      </w:tr>
    </w:tbl>
    <w:p xmlns:wp14="http://schemas.microsoft.com/office/word/2010/wordml" w14:paraId="1B6476C0" wp14:textId="77777777">
      <w:pPr>
        <w:pStyle w:val="Heading1"/>
        <w:rPr>
          <w:rFonts w:ascii="times new roman" w:hAnsi="times new roman"/>
          <w:sz w:val="24"/>
          <w:szCs w:val="24"/>
        </w:rPr>
      </w:pPr>
      <w:r>
        <w:rPr>
          <w:rFonts w:ascii="times new roman" w:hAnsi="times new roman"/>
          <w:sz w:val="24"/>
          <w:szCs w:val="24"/>
        </w:rPr>
        <w:t>Computer hardware ($7,500)</w:t>
      </w:r>
    </w:p>
    <w:p xmlns:wp14="http://schemas.microsoft.com/office/word/2010/wordml" w14:paraId="67E7B342" wp14:textId="77777777">
      <w:pPr>
        <w:pStyle w:val="Normal"/>
        <w:rPr>
          <w:rFonts w:ascii="times new roman" w:hAnsi="times new roman"/>
          <w:sz w:val="24"/>
          <w:szCs w:val="24"/>
        </w:rPr>
      </w:pPr>
      <w:r>
        <w:rPr>
          <w:rFonts w:ascii="times new roman" w:hAnsi="times new roman"/>
          <w:sz w:val="24"/>
          <w:szCs w:val="24"/>
        </w:rPr>
        <w:t>The quantitative research segments of this project, namely the geospatial analysis, the development of the equity-informed evaluation tool, and the development of open-source packages, will require specialized equipment. This translates into computers with sufficient processors, RAM, and storage to be able to complete various computing processes and generating data. Members of the research team have some computers in their equipment inventory, and these will be used for this project. Funds are requested to upgrade or replace ageing equipment on years 2 and 3 of the project. We are budgeting $3,500 in year 2 of the project, and $3,000 in year 3 of the project to this end. In addition, we are requesting $500 in each of years 4 and 5. These funds will be allocated to hardware updates, computer repairs, and the acquisition of various peripheral equipment as needed. Together with computer equipment already owned by members of the research team, the aim is to maintain four fully equipped workstations for the duration of the project, with one workstation assigned to each of the work packages.</w:t>
      </w:r>
    </w:p>
    <w:p xmlns:wp14="http://schemas.microsoft.com/office/word/2010/wordml" w14:paraId="1DA6542E" wp14:textId="77777777">
      <w:pPr>
        <w:pStyle w:val="Normal"/>
        <w:rPr>
          <w:rFonts w:ascii="times new roman" w:hAnsi="times new roman"/>
          <w:sz w:val="24"/>
          <w:szCs w:val="24"/>
        </w:rPr>
      </w:pPr>
      <w:r>
        <w:rPr>
          <w:rFonts w:ascii="times new roman" w:hAnsi="times new roman"/>
          <w:sz w:val="24"/>
          <w:szCs w:val="24"/>
        </w:rPr>
      </w:r>
    </w:p>
    <w:tbl>
      <w:tblPr>
        <w:tblW w:w="10086" w:type="dxa"/>
        <w:jc w:val="left"/>
        <w:tblInd w:w="-7" w:type="dxa"/>
        <w:tblLayout w:type="fixed"/>
        <w:tblCellMar>
          <w:top w:w="0" w:type="dxa"/>
          <w:left w:w="7" w:type="dxa"/>
          <w:bottom w:w="0" w:type="dxa"/>
          <w:right w:w="7" w:type="dxa"/>
        </w:tblCellMar>
      </w:tblPr>
      <w:tblGrid>
        <w:gridCol w:w="7925"/>
        <w:gridCol w:w="2160"/>
      </w:tblGrid>
      <w:tr xmlns:wp14="http://schemas.microsoft.com/office/word/2010/wordml" w14:paraId="4A5CE4BE" wp14:textId="77777777">
        <w:trPr/>
        <w:tc>
          <w:tcPr>
            <w:tcW w:w="7925" w:type="dxa"/>
            <w:tcBorders>
              <w:top w:val="single" w:color="000000" w:sz="6" w:space="0"/>
              <w:left w:val="single" w:color="000000" w:sz="6" w:space="0"/>
              <w:bottom w:val="single" w:color="B2B2B2" w:sz="6" w:space="0"/>
              <w:right w:val="single" w:color="B2B2B2" w:sz="6" w:space="0"/>
            </w:tcBorders>
            <w:shd w:val="clear" w:fill="CCCCCC"/>
          </w:tcPr>
          <w:p w14:paraId="7E41CC2B"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Budget Item</w:t>
            </w:r>
          </w:p>
        </w:tc>
        <w:tc>
          <w:tcPr>
            <w:tcW w:w="2160" w:type="dxa"/>
            <w:tcBorders>
              <w:top w:val="single" w:color="000000" w:sz="6" w:space="0"/>
              <w:left w:val="single" w:color="B2B2B2" w:sz="6" w:space="0"/>
              <w:bottom w:val="single" w:color="B2B2B2" w:sz="6" w:space="0"/>
              <w:right w:val="single" w:color="000000" w:sz="6" w:space="0"/>
            </w:tcBorders>
            <w:shd w:val="clear" w:fill="CCCCCC"/>
          </w:tcPr>
          <w:p w14:paraId="7548DD02"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Funds Requested</w:t>
            </w:r>
          </w:p>
        </w:tc>
      </w:tr>
      <w:tr xmlns:wp14="http://schemas.microsoft.com/office/word/2010/wordml" w14:paraId="578E8C2A" wp14:textId="77777777">
        <w:trPr/>
        <w:tc>
          <w:tcPr>
            <w:tcW w:w="7925" w:type="dxa"/>
            <w:tcBorders>
              <w:left w:val="single" w:color="000000" w:sz="6" w:space="0"/>
              <w:bottom w:val="single" w:color="B2B2B2" w:sz="6" w:space="0"/>
              <w:right w:val="single" w:color="B2B2B2" w:sz="6" w:space="0"/>
            </w:tcBorders>
          </w:tcPr>
          <w:p w14:paraId="0EADFDAE"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Non-disposable equipment</w:t>
            </w:r>
          </w:p>
        </w:tc>
        <w:tc>
          <w:tcPr>
            <w:tcW w:w="2160" w:type="dxa"/>
            <w:tcBorders>
              <w:left w:val="single" w:color="B2B2B2" w:sz="6" w:space="0"/>
              <w:bottom w:val="single" w:color="B2B2B2" w:sz="6" w:space="0"/>
              <w:right w:val="single" w:color="000000" w:sz="6" w:space="0"/>
            </w:tcBorders>
          </w:tcPr>
          <w:p w14:paraId="3041E394"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5719BEA6" wp14:textId="77777777">
        <w:trPr/>
        <w:tc>
          <w:tcPr>
            <w:tcW w:w="7925" w:type="dxa"/>
            <w:tcBorders>
              <w:left w:val="single" w:color="000000" w:sz="6" w:space="0"/>
              <w:bottom w:val="single" w:color="B2B2B2" w:sz="6" w:space="0"/>
              <w:right w:val="single" w:color="B2B2B2" w:sz="6" w:space="0"/>
            </w:tcBorders>
          </w:tcPr>
          <w:p w14:paraId="4BA1879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Acquire computer equipment/replace ageing equipment (Year 2)</w:t>
            </w:r>
          </w:p>
        </w:tc>
        <w:tc>
          <w:tcPr>
            <w:tcW w:w="2160" w:type="dxa"/>
            <w:tcBorders>
              <w:left w:val="single" w:color="B2B2B2" w:sz="6" w:space="0"/>
              <w:bottom w:val="single" w:color="B2B2B2" w:sz="6" w:space="0"/>
              <w:right w:val="single" w:color="000000" w:sz="6" w:space="0"/>
            </w:tcBorders>
          </w:tcPr>
          <w:p w14:paraId="27485173"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$3,000</w:t>
            </w:r>
          </w:p>
        </w:tc>
      </w:tr>
      <w:tr xmlns:wp14="http://schemas.microsoft.com/office/word/2010/wordml" w14:paraId="01A07B49" wp14:textId="77777777">
        <w:trPr/>
        <w:tc>
          <w:tcPr>
            <w:tcW w:w="7925" w:type="dxa"/>
            <w:tcBorders>
              <w:left w:val="single" w:color="000000" w:sz="6" w:space="0"/>
              <w:bottom w:val="single" w:color="B2B2B2" w:sz="6" w:space="0"/>
              <w:right w:val="single" w:color="B2B2B2" w:sz="6" w:space="0"/>
            </w:tcBorders>
          </w:tcPr>
          <w:p w14:paraId="7AE46D37"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Acquire computer equipment/replace ageing equipment (Year 3)</w:t>
            </w:r>
          </w:p>
        </w:tc>
        <w:tc>
          <w:tcPr>
            <w:tcW w:w="2160" w:type="dxa"/>
            <w:tcBorders>
              <w:left w:val="single" w:color="B2B2B2" w:sz="6" w:space="0"/>
              <w:bottom w:val="single" w:color="B2B2B2" w:sz="6" w:space="0"/>
              <w:right w:val="single" w:color="000000" w:sz="6" w:space="0"/>
            </w:tcBorders>
          </w:tcPr>
          <w:p w14:paraId="5DB1E349"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$3,000</w:t>
            </w:r>
          </w:p>
        </w:tc>
      </w:tr>
      <w:tr xmlns:wp14="http://schemas.microsoft.com/office/word/2010/wordml" w14:paraId="2EE1266A" wp14:textId="77777777">
        <w:trPr/>
        <w:tc>
          <w:tcPr>
            <w:tcW w:w="7925" w:type="dxa"/>
            <w:tcBorders>
              <w:left w:val="single" w:color="000000" w:sz="6" w:space="0"/>
              <w:bottom w:val="single" w:color="B2B2B2" w:sz="6" w:space="0"/>
              <w:right w:val="single" w:color="B2B2B2" w:sz="6" w:space="0"/>
            </w:tcBorders>
          </w:tcPr>
          <w:p w14:paraId="1E37F974"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Repair/peripherals (year 4)</w:t>
            </w:r>
          </w:p>
        </w:tc>
        <w:tc>
          <w:tcPr>
            <w:tcW w:w="2160" w:type="dxa"/>
            <w:tcBorders>
              <w:left w:val="single" w:color="B2B2B2" w:sz="6" w:space="0"/>
              <w:bottom w:val="single" w:color="B2B2B2" w:sz="6" w:space="0"/>
              <w:right w:val="single" w:color="000000" w:sz="6" w:space="0"/>
            </w:tcBorders>
          </w:tcPr>
          <w:p w14:paraId="73DA0C0C"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$500</w:t>
            </w:r>
          </w:p>
        </w:tc>
      </w:tr>
      <w:tr xmlns:wp14="http://schemas.microsoft.com/office/word/2010/wordml" w14:paraId="67A71D5C" wp14:textId="77777777">
        <w:trPr/>
        <w:tc>
          <w:tcPr>
            <w:tcW w:w="7925" w:type="dxa"/>
            <w:tcBorders>
              <w:left w:val="single" w:color="000000" w:sz="6" w:space="0"/>
              <w:bottom w:val="single" w:color="B2B2B2" w:sz="6" w:space="0"/>
              <w:right w:val="single" w:color="B2B2B2" w:sz="6" w:space="0"/>
            </w:tcBorders>
          </w:tcPr>
          <w:p w14:paraId="2EC3BB1A"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Repair/peripherals (year 5)</w:t>
            </w:r>
          </w:p>
        </w:tc>
        <w:tc>
          <w:tcPr>
            <w:tcW w:w="2160" w:type="dxa"/>
            <w:tcBorders>
              <w:left w:val="single" w:color="B2B2B2" w:sz="6" w:space="0"/>
              <w:bottom w:val="single" w:color="B2B2B2" w:sz="6" w:space="0"/>
              <w:right w:val="single" w:color="000000" w:sz="6" w:space="0"/>
            </w:tcBorders>
          </w:tcPr>
          <w:p w14:paraId="293A22F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$500</w:t>
            </w:r>
          </w:p>
        </w:tc>
      </w:tr>
      <w:tr xmlns:wp14="http://schemas.microsoft.com/office/word/2010/wordml" w14:paraId="110F3D80" wp14:textId="77777777">
        <w:trPr/>
        <w:tc>
          <w:tcPr>
            <w:tcW w:w="7925" w:type="dxa"/>
            <w:tcBorders>
              <w:top w:val="double" w:color="000000" w:sz="2" w:space="0"/>
              <w:left w:val="single" w:color="000000" w:sz="6" w:space="0"/>
              <w:bottom w:val="single" w:color="000000" w:sz="6" w:space="0"/>
              <w:right w:val="single" w:color="B2B2B2" w:sz="6" w:space="0"/>
            </w:tcBorders>
          </w:tcPr>
          <w:p w14:paraId="4B4370B4"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Total</w:t>
            </w:r>
          </w:p>
        </w:tc>
        <w:tc>
          <w:tcPr>
            <w:tcW w:w="2160" w:type="dxa"/>
            <w:tcBorders>
              <w:top w:val="double" w:color="000000" w:sz="2" w:space="0"/>
              <w:left w:val="single" w:color="B2B2B2" w:sz="6" w:space="0"/>
              <w:bottom w:val="single" w:color="000000" w:sz="6" w:space="0"/>
              <w:right w:val="single" w:color="000000" w:sz="6" w:space="0"/>
            </w:tcBorders>
          </w:tcPr>
          <w:p w14:paraId="239A5211" wp14:textId="77777777">
            <w:pPr>
              <w:pStyle w:val="TableContents"/>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$7,000</w:t>
            </w:r>
          </w:p>
        </w:tc>
      </w:tr>
    </w:tbl>
    <w:p xmlns:wp14="http://schemas.microsoft.com/office/word/2010/wordml" w14:paraId="0F666944" wp14:textId="77777777">
      <w:pPr>
        <w:pStyle w:val="Heading1"/>
        <w:rPr>
          <w:rFonts w:ascii="times new roman" w:hAnsi="times new roman"/>
          <w:sz w:val="24"/>
          <w:szCs w:val="24"/>
        </w:rPr>
      </w:pPr>
      <w:r>
        <w:rPr>
          <w:rFonts w:ascii="times new roman" w:hAnsi="times new roman"/>
          <w:sz w:val="24"/>
          <w:szCs w:val="24"/>
        </w:rPr>
        <w:t xml:space="preserve">Other expenses: Codesign ($7,540) </w:t>
      </w:r>
    </w:p>
    <w:p xmlns:wp14="http://schemas.microsoft.com/office/word/2010/wordml" w14:paraId="41F3E8B7" wp14:textId="77777777">
      <w:pPr>
        <w:pStyle w:val="Normal"/>
        <w:rPr>
          <w:rFonts w:ascii="times new roman" w:hAnsi="times new roman"/>
          <w:sz w:val="24"/>
          <w:szCs w:val="24"/>
        </w:rPr>
      </w:pPr>
      <w:r>
        <w:rPr>
          <w:rFonts w:ascii="times new roman" w:hAnsi="times new roman"/>
          <w:sz w:val="24"/>
          <w:szCs w:val="24"/>
        </w:rPr>
        <w:t>The qualitative research component of the project is the CODESIGN, with an estimated budget of $6,000 to provide incentives for participants across different focus groups (based on factors such as socioeconomic status and/or neighbourhood). Each codesign focus group participant will receive a $50 gift card and their transport to and from McMaster reimbursed ($4.00 x 2 (return bus fare) = $8.00). All co-design focus group materials (e.g., printing, Bristol boards, etc.) will be provided by Ravensbergen’s lab in kind. There will be two codesign phases: development of indicators and development of tools.</w:t>
      </w:r>
    </w:p>
    <w:p xmlns:wp14="http://schemas.microsoft.com/office/word/2010/wordml" w14:paraId="722B00AE" wp14:textId="77777777">
      <w:pPr>
        <w:pStyle w:val="Normal"/>
        <w:rPr>
          <w:rFonts w:ascii="times new roman" w:hAnsi="times new roman"/>
          <w:sz w:val="24"/>
          <w:szCs w:val="24"/>
        </w:rPr>
      </w:pPr>
      <w:r>
        <w:rPr>
          <w:rFonts w:ascii="times new roman" w:hAnsi="times new roman"/>
          <w:sz w:val="24"/>
          <w:szCs w:val="24"/>
        </w:rPr>
      </w:r>
    </w:p>
    <w:tbl>
      <w:tblPr>
        <w:tblW w:w="9992" w:type="dxa"/>
        <w:jc w:val="left"/>
        <w:tblInd w:w="86" w:type="dxa"/>
        <w:tblLayout w:type="fixed"/>
        <w:tblCellMar>
          <w:top w:w="0" w:type="dxa"/>
          <w:left w:w="7" w:type="dxa"/>
          <w:bottom w:w="0" w:type="dxa"/>
          <w:right w:w="7" w:type="dxa"/>
        </w:tblCellMar>
      </w:tblPr>
      <w:tblGrid>
        <w:gridCol w:w="7824"/>
        <w:gridCol w:w="2167"/>
      </w:tblGrid>
      <w:tr xmlns:wp14="http://schemas.microsoft.com/office/word/2010/wordml" w14:paraId="3F33332F" wp14:textId="77777777">
        <w:trPr/>
        <w:tc>
          <w:tcPr>
            <w:tcW w:w="7824" w:type="dxa"/>
            <w:tcBorders>
              <w:top w:val="single" w:color="000000" w:sz="6" w:space="0"/>
              <w:left w:val="single" w:color="000000" w:sz="6" w:space="0"/>
              <w:bottom w:val="single" w:color="B2B2B2" w:sz="6" w:space="0"/>
              <w:right w:val="single" w:color="B2B2B2" w:sz="6" w:space="0"/>
            </w:tcBorders>
            <w:shd w:val="clear" w:fill="CCCCCC"/>
          </w:tcPr>
          <w:p w14:paraId="1437DC2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Budget Item</w:t>
            </w:r>
          </w:p>
        </w:tc>
        <w:tc>
          <w:tcPr>
            <w:tcW w:w="2167" w:type="dxa"/>
            <w:tcBorders>
              <w:top w:val="single" w:color="000000" w:sz="6" w:space="0"/>
              <w:left w:val="single" w:color="B2B2B2" w:sz="6" w:space="0"/>
              <w:bottom w:val="single" w:color="B2B2B2" w:sz="6" w:space="0"/>
              <w:right w:val="single" w:color="000000" w:sz="6" w:space="0"/>
            </w:tcBorders>
            <w:shd w:val="clear" w:fill="CCCCCC"/>
          </w:tcPr>
          <w:p w14:paraId="511EF99C"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Funds Requested</w:t>
            </w:r>
          </w:p>
        </w:tc>
      </w:tr>
      <w:tr xmlns:wp14="http://schemas.microsoft.com/office/word/2010/wordml" w14:paraId="1245B4CE" wp14:textId="77777777">
        <w:trPr/>
        <w:tc>
          <w:tcPr>
            <w:tcW w:w="7824" w:type="dxa"/>
            <w:tcBorders>
              <w:left w:val="single" w:color="000000" w:sz="6" w:space="0"/>
              <w:bottom w:val="single" w:color="B2B2B2" w:sz="6" w:space="0"/>
              <w:right w:val="single" w:color="B2B2B2" w:sz="6" w:space="0"/>
            </w:tcBorders>
          </w:tcPr>
          <w:p w14:paraId="6652D3AD"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Other: Codesign (Development of indicators)</w:t>
            </w:r>
          </w:p>
        </w:tc>
        <w:tc>
          <w:tcPr>
            <w:tcW w:w="2167" w:type="dxa"/>
            <w:tcBorders>
              <w:left w:val="single" w:color="B2B2B2" w:sz="6" w:space="0"/>
              <w:bottom w:val="single" w:color="B2B2B2" w:sz="6" w:space="0"/>
              <w:right w:val="single" w:color="000000" w:sz="6" w:space="0"/>
            </w:tcBorders>
          </w:tcPr>
          <w:p w14:paraId="42C6D796"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69D8B8D3" wp14:textId="77777777">
        <w:trPr/>
        <w:tc>
          <w:tcPr>
            <w:tcW w:w="7824" w:type="dxa"/>
            <w:tcBorders>
              <w:left w:val="single" w:color="000000" w:sz="6" w:space="0"/>
              <w:bottom w:val="single" w:color="B2B2B2" w:sz="6" w:space="0"/>
              <w:right w:val="single" w:color="B2B2B2" w:sz="6" w:space="0"/>
            </w:tcBorders>
          </w:tcPr>
          <w:p w14:paraId="635293AE"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1 (Empathy) Four focus groups with 5 stakeholders (Year 2) (4 x 5 x $58)</w:t>
            </w:r>
          </w:p>
        </w:tc>
        <w:tc>
          <w:tcPr>
            <w:tcW w:w="2167" w:type="dxa"/>
            <w:tcBorders>
              <w:left w:val="single" w:color="B2B2B2" w:sz="6" w:space="0"/>
              <w:bottom w:val="single" w:color="B2B2B2" w:sz="6" w:space="0"/>
              <w:right w:val="single" w:color="000000" w:sz="6" w:space="0"/>
            </w:tcBorders>
          </w:tcPr>
          <w:p w14:paraId="73353D18"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$1,160</w:t>
            </w:r>
          </w:p>
        </w:tc>
      </w:tr>
      <w:tr xmlns:wp14="http://schemas.microsoft.com/office/word/2010/wordml" w14:paraId="325BA22B" wp14:textId="77777777">
        <w:trPr/>
        <w:tc>
          <w:tcPr>
            <w:tcW w:w="7824" w:type="dxa"/>
            <w:tcBorders>
              <w:left w:val="single" w:color="000000" w:sz="6" w:space="0"/>
              <w:bottom w:val="single" w:color="B2B2B2" w:sz="6" w:space="0"/>
              <w:right w:val="single" w:color="B2B2B2" w:sz="6" w:space="0"/>
            </w:tcBorders>
          </w:tcPr>
          <w:p w14:paraId="1B675707"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Steps 2 and 3 (Define and Ideate) Three focus groups with 5 transit users and 2 focus groups with 5 transit providers (Year 2) (3 x 5 x $58 + 2 x 5x $58)</w:t>
            </w:r>
          </w:p>
        </w:tc>
        <w:tc>
          <w:tcPr>
            <w:tcW w:w="2167" w:type="dxa"/>
            <w:tcBorders>
              <w:left w:val="single" w:color="B2B2B2" w:sz="6" w:space="0"/>
              <w:bottom w:val="single" w:color="B2B2B2" w:sz="6" w:space="0"/>
              <w:right w:val="single" w:color="000000" w:sz="6" w:space="0"/>
            </w:tcBorders>
          </w:tcPr>
          <w:p w14:paraId="27A8B617"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$1,450</w:t>
            </w:r>
          </w:p>
        </w:tc>
      </w:tr>
      <w:tr xmlns:wp14="http://schemas.microsoft.com/office/word/2010/wordml" w14:paraId="4C7B3416" wp14:textId="77777777">
        <w:trPr/>
        <w:tc>
          <w:tcPr>
            <w:tcW w:w="7824" w:type="dxa"/>
            <w:tcBorders>
              <w:left w:val="single" w:color="000000" w:sz="6" w:space="0"/>
              <w:bottom w:val="single" w:color="B2B2B2" w:sz="6" w:space="0"/>
              <w:right w:val="single" w:color="B2B2B2" w:sz="6" w:space="0"/>
            </w:tcBorders>
          </w:tcPr>
          <w:p w14:paraId="1126D9E1"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4 (Prototype) Done in-house by the research team (year 3)</w:t>
            </w:r>
          </w:p>
        </w:tc>
        <w:tc>
          <w:tcPr>
            <w:tcW w:w="2167" w:type="dxa"/>
            <w:tcBorders>
              <w:left w:val="single" w:color="B2B2B2" w:sz="6" w:space="0"/>
              <w:bottom w:val="single" w:color="B2B2B2" w:sz="6" w:space="0"/>
              <w:right w:val="single" w:color="000000" w:sz="6" w:space="0"/>
            </w:tcBorders>
          </w:tcPr>
          <w:p w14:paraId="7E3F8F7D"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$0</w:t>
            </w:r>
          </w:p>
        </w:tc>
      </w:tr>
      <w:tr xmlns:wp14="http://schemas.microsoft.com/office/word/2010/wordml" w14:paraId="1A303ED2" wp14:textId="77777777">
        <w:trPr/>
        <w:tc>
          <w:tcPr>
            <w:tcW w:w="7824" w:type="dxa"/>
            <w:tcBorders>
              <w:left w:val="single" w:color="000000" w:sz="6" w:space="0"/>
              <w:bottom w:val="single" w:color="B2B2B2" w:sz="6" w:space="0"/>
              <w:right w:val="single" w:color="B2B2B2" w:sz="6" w:space="0"/>
            </w:tcBorders>
          </w:tcPr>
          <w:p w14:paraId="21D40AC5"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5 (Test) Three focus groups with 4 transit users and two focus groups with 4 transit providers (year 3) (3 x 4 x $58 + 2 x 4 x $58)</w:t>
            </w:r>
          </w:p>
        </w:tc>
        <w:tc>
          <w:tcPr>
            <w:tcW w:w="2167" w:type="dxa"/>
            <w:tcBorders>
              <w:left w:val="single" w:color="B2B2B2" w:sz="6" w:space="0"/>
              <w:bottom w:val="single" w:color="B2B2B2" w:sz="6" w:space="0"/>
              <w:right w:val="single" w:color="000000" w:sz="6" w:space="0"/>
            </w:tcBorders>
          </w:tcPr>
          <w:p w14:paraId="23D11E22"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$1,160</w:t>
            </w:r>
          </w:p>
        </w:tc>
      </w:tr>
      <w:tr xmlns:wp14="http://schemas.microsoft.com/office/word/2010/wordml" w14:paraId="7893ECBE" wp14:textId="77777777">
        <w:trPr/>
        <w:tc>
          <w:tcPr>
            <w:tcW w:w="7824" w:type="dxa"/>
            <w:tcBorders>
              <w:left w:val="single" w:color="000000" w:sz="6" w:space="0"/>
              <w:bottom w:val="single" w:color="B2B2B2" w:sz="6" w:space="0"/>
              <w:right w:val="single" w:color="B2B2B2" w:sz="6" w:space="0"/>
            </w:tcBorders>
          </w:tcPr>
          <w:p w14:paraId="06DB69EC"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Other: Codesign (Development of tools)</w:t>
            </w:r>
          </w:p>
        </w:tc>
        <w:tc>
          <w:tcPr>
            <w:tcW w:w="2167" w:type="dxa"/>
            <w:tcBorders>
              <w:left w:val="single" w:color="B2B2B2" w:sz="6" w:space="0"/>
              <w:bottom w:val="single" w:color="B2B2B2" w:sz="6" w:space="0"/>
              <w:right w:val="single" w:color="000000" w:sz="6" w:space="0"/>
            </w:tcBorders>
          </w:tcPr>
          <w:p w14:paraId="6E1831B3" wp14:textId="77777777">
            <w:pPr>
              <w:pStyle w:val="TableContents"/>
              <w:jc w:val="lef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r xmlns:wp14="http://schemas.microsoft.com/office/word/2010/wordml" w14:paraId="11A99141" wp14:textId="77777777">
        <w:trPr/>
        <w:tc>
          <w:tcPr>
            <w:tcW w:w="7824" w:type="dxa"/>
            <w:tcBorders>
              <w:left w:val="single" w:color="000000" w:sz="6" w:space="0"/>
              <w:bottom w:val="single" w:color="B2B2B2" w:sz="6" w:space="0"/>
              <w:right w:val="single" w:color="B2B2B2" w:sz="6" w:space="0"/>
            </w:tcBorders>
          </w:tcPr>
          <w:p w14:paraId="7580759C"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1 (Empathy) Four focus groups with 5 stakeholders (Year 4) (4 x 5 x $58)</w:t>
            </w:r>
          </w:p>
        </w:tc>
        <w:tc>
          <w:tcPr>
            <w:tcW w:w="2167" w:type="dxa"/>
            <w:tcBorders>
              <w:left w:val="single" w:color="B2B2B2" w:sz="6" w:space="0"/>
              <w:bottom w:val="single" w:color="B2B2B2" w:sz="6" w:space="0"/>
              <w:right w:val="single" w:color="000000" w:sz="6" w:space="0"/>
            </w:tcBorders>
          </w:tcPr>
          <w:p w14:paraId="59D55FD2"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$1,160</w:t>
            </w:r>
          </w:p>
        </w:tc>
      </w:tr>
      <w:tr xmlns:wp14="http://schemas.microsoft.com/office/word/2010/wordml" w14:paraId="7AC1D6FD" wp14:textId="77777777">
        <w:trPr/>
        <w:tc>
          <w:tcPr>
            <w:tcW w:w="7824" w:type="dxa"/>
            <w:tcBorders>
              <w:left w:val="single" w:color="000000" w:sz="6" w:space="0"/>
              <w:bottom w:val="single" w:color="B2B2B2" w:sz="6" w:space="0"/>
              <w:right w:val="single" w:color="B2B2B2" w:sz="6" w:space="0"/>
            </w:tcBorders>
          </w:tcPr>
          <w:p w14:paraId="3C49E401"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Steps 2 and 3 (Define and Ideate) Three focus groups with 5 transit users and 2 focus groups with 5 transit providers (Year 4) (3 x 5 x $58 + 2 x 5x $58)</w:t>
            </w:r>
          </w:p>
        </w:tc>
        <w:tc>
          <w:tcPr>
            <w:tcW w:w="2167" w:type="dxa"/>
            <w:tcBorders>
              <w:left w:val="single" w:color="B2B2B2" w:sz="6" w:space="0"/>
              <w:bottom w:val="single" w:color="B2B2B2" w:sz="6" w:space="0"/>
              <w:right w:val="single" w:color="000000" w:sz="6" w:space="0"/>
            </w:tcBorders>
          </w:tcPr>
          <w:p w14:paraId="128A6502"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$1,450</w:t>
            </w:r>
          </w:p>
        </w:tc>
      </w:tr>
      <w:tr xmlns:wp14="http://schemas.microsoft.com/office/word/2010/wordml" w14:paraId="5B8C368B" wp14:textId="77777777">
        <w:trPr/>
        <w:tc>
          <w:tcPr>
            <w:tcW w:w="7824" w:type="dxa"/>
            <w:tcBorders>
              <w:left w:val="single" w:color="000000" w:sz="6" w:space="0"/>
              <w:bottom w:val="single" w:color="B2B2B2" w:sz="6" w:space="0"/>
              <w:right w:val="single" w:color="B2B2B2" w:sz="6" w:space="0"/>
            </w:tcBorders>
          </w:tcPr>
          <w:p w14:paraId="015A2F29"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4 (Prototype) Done in-house by the research team (year 5)</w:t>
            </w:r>
          </w:p>
        </w:tc>
        <w:tc>
          <w:tcPr>
            <w:tcW w:w="2167" w:type="dxa"/>
            <w:tcBorders>
              <w:left w:val="single" w:color="B2B2B2" w:sz="6" w:space="0"/>
              <w:bottom w:val="single" w:color="B2B2B2" w:sz="6" w:space="0"/>
              <w:right w:val="single" w:color="000000" w:sz="6" w:space="0"/>
            </w:tcBorders>
          </w:tcPr>
          <w:p w14:paraId="436937AE"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$0</w:t>
            </w:r>
          </w:p>
        </w:tc>
      </w:tr>
      <w:tr xmlns:wp14="http://schemas.microsoft.com/office/word/2010/wordml" w14:paraId="711FC273" wp14:textId="77777777">
        <w:trPr/>
        <w:tc>
          <w:tcPr>
            <w:tcW w:w="7824" w:type="dxa"/>
            <w:tcBorders>
              <w:left w:val="single" w:color="000000" w:sz="6" w:space="0"/>
              <w:bottom w:val="single" w:color="B2B2B2" w:sz="6" w:space="0"/>
              <w:right w:val="single" w:color="B2B2B2" w:sz="6" w:space="0"/>
            </w:tcBorders>
          </w:tcPr>
          <w:p w14:paraId="287E1A10"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Step 5 (Test) Three focus groups with 4 transit users and two focus groups with 4 transit providers (year 5) (3 x 4 x $58 + 2 x 4 x $58)</w:t>
            </w:r>
          </w:p>
        </w:tc>
        <w:tc>
          <w:tcPr>
            <w:tcW w:w="2167" w:type="dxa"/>
            <w:tcBorders>
              <w:left w:val="single" w:color="B2B2B2" w:sz="6" w:space="0"/>
              <w:bottom w:val="single" w:color="B2B2B2" w:sz="6" w:space="0"/>
              <w:right w:val="single" w:color="000000" w:sz="6" w:space="0"/>
            </w:tcBorders>
          </w:tcPr>
          <w:p w14:paraId="659F315A" wp14:textId="77777777">
            <w:pPr>
              <w:pStyle w:val="TableContents"/>
              <w:jc w:val="left"/>
              <w:rPr>
                <w:rFonts w:ascii="times new roman" w:hAnsi="times new roman"/>
                <w:sz w:val="24"/>
                <w:szCs w:val="24"/>
              </w:rPr>
            </w:pPr>
            <w:r>
              <w:rPr>
                <w:rFonts w:ascii="times new roman" w:hAnsi="times new roman"/>
                <w:b w:val="false"/>
                <w:bCs w:val="false"/>
                <w:i w:val="false"/>
                <w:iCs w:val="false"/>
                <w:strike w:val="false"/>
                <w:dstrike w:val="false"/>
                <w:outline w:val="false"/>
                <w:shadow w:val="false"/>
                <w:color w:val="000000"/>
                <w:sz w:val="24"/>
                <w:szCs w:val="24"/>
                <w:u w:val="none"/>
              </w:rPr>
              <w:t>$1,160</w:t>
            </w:r>
          </w:p>
        </w:tc>
      </w:tr>
      <w:tr xmlns:wp14="http://schemas.microsoft.com/office/word/2010/wordml" w14:paraId="71F216CB" wp14:textId="77777777">
        <w:trPr/>
        <w:tc>
          <w:tcPr>
            <w:tcW w:w="7824" w:type="dxa"/>
            <w:tcBorders>
              <w:top w:val="double" w:color="000000" w:sz="2" w:space="0"/>
              <w:left w:val="single" w:color="000000" w:sz="6" w:space="0"/>
              <w:bottom w:val="single" w:color="000000" w:sz="6" w:space="0"/>
              <w:right w:val="single" w:color="B2B2B2" w:sz="6" w:space="0"/>
            </w:tcBorders>
          </w:tcPr>
          <w:p w14:paraId="2B9D4B37" wp14:textId="77777777">
            <w:pPr>
              <w:pStyle w:val="TableContents"/>
              <w:ind w:hanging="0"/>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Total</w:t>
            </w:r>
          </w:p>
        </w:tc>
        <w:tc>
          <w:tcPr>
            <w:tcW w:w="2167" w:type="dxa"/>
            <w:tcBorders>
              <w:top w:val="double" w:color="000000" w:sz="2" w:space="0"/>
              <w:left w:val="single" w:color="B2B2B2" w:sz="6" w:space="0"/>
              <w:bottom w:val="single" w:color="000000" w:sz="6" w:space="0"/>
              <w:right w:val="single" w:color="000000" w:sz="6" w:space="0"/>
            </w:tcBorders>
          </w:tcPr>
          <w:p w14:paraId="31F6E1AF" wp14:textId="77777777">
            <w:pPr>
              <w:pStyle w:val="TableContents"/>
              <w:jc w:val="left"/>
              <w:rPr>
                <w:rFonts w:ascii="times new roman" w:hAnsi="times new roman"/>
                <w:sz w:val="24"/>
                <w:szCs w:val="24"/>
              </w:rPr>
            </w:pPr>
            <w:r>
              <w:rPr>
                <w:rFonts w:ascii="times new roman" w:hAnsi="times new roman"/>
                <w:b/>
                <w:bCs/>
                <w:i w:val="false"/>
                <w:iCs w:val="false"/>
                <w:strike w:val="false"/>
                <w:dstrike w:val="false"/>
                <w:outline w:val="false"/>
                <w:shadow w:val="false"/>
                <w:color w:val="000000"/>
                <w:sz w:val="24"/>
                <w:szCs w:val="24"/>
                <w:u w:val="none"/>
              </w:rPr>
              <w:t>$7,540</w:t>
            </w:r>
          </w:p>
        </w:tc>
      </w:tr>
    </w:tbl>
    <w:p xmlns:wp14="http://schemas.microsoft.com/office/word/2010/wordml" w14:paraId="2CCEC4CC" wp14:textId="77777777">
      <w:pPr>
        <w:pStyle w:val="Heading1"/>
        <w:rPr>
          <w:rFonts w:ascii="times new roman" w:hAnsi="times new roman"/>
          <w:sz w:val="24"/>
          <w:szCs w:val="24"/>
        </w:rPr>
      </w:pPr>
      <w:r>
        <w:rPr>
          <w:rFonts w:ascii="times new roman" w:hAnsi="times new roman"/>
          <w:sz w:val="24"/>
          <w:szCs w:val="24"/>
        </w:rPr>
        <w:t xml:space="preserve">Software ($0) </w:t>
      </w:r>
    </w:p>
    <w:p xmlns:wp14="http://schemas.microsoft.com/office/word/2010/wordml" w14:paraId="4D88FE88" wp14:textId="77777777">
      <w:pPr>
        <w:pStyle w:val="Normal"/>
        <w:rPr>
          <w:rFonts w:ascii="times new roman" w:hAnsi="times new roman"/>
          <w:sz w:val="24"/>
          <w:szCs w:val="24"/>
        </w:rPr>
      </w:pPr>
      <w:r>
        <w:rPr>
          <w:rFonts w:ascii="times new roman" w:hAnsi="times new roman"/>
          <w:sz w:val="24"/>
          <w:szCs w:val="24"/>
        </w:rPr>
        <w:t>This project will exclusively use open-source software.</w:t>
      </w:r>
    </w:p>
    <w:p xmlns:wp14="http://schemas.microsoft.com/office/word/2010/wordml" w14:paraId="7A8C4451" wp14:textId="77777777">
      <w:pPr>
        <w:pStyle w:val="Heading1"/>
        <w:rPr>
          <w:rFonts w:ascii="times new roman" w:hAnsi="times new roman"/>
          <w:sz w:val="24"/>
          <w:szCs w:val="24"/>
        </w:rPr>
      </w:pPr>
      <w:r>
        <w:rPr>
          <w:rFonts w:ascii="times new roman" w:hAnsi="times new roman"/>
          <w:sz w:val="24"/>
          <w:szCs w:val="24"/>
        </w:rPr>
        <w:t>Open access publishing ($0)</w:t>
      </w:r>
    </w:p>
    <w:p xmlns:wp14="http://schemas.microsoft.com/office/word/2010/wordml" w14:paraId="105FFF41" wp14:textId="77777777">
      <w:pPr>
        <w:pStyle w:val="Normal"/>
        <w:rPr>
          <w:rFonts w:ascii="times new roman" w:hAnsi="times new roman"/>
          <w:sz w:val="24"/>
          <w:szCs w:val="24"/>
        </w:rPr>
      </w:pPr>
      <w:r>
        <w:rPr>
          <w:rFonts w:ascii="times new roman" w:hAnsi="times new roman"/>
          <w:sz w:val="24"/>
          <w:szCs w:val="24"/>
        </w:rPr>
        <w:t>We will leverage publishing agreements made by our institutions with reputable publishers such as Wiley, PLoS ONE, Elsevier, and Springer.</w:t>
      </w:r>
      <w:r>
        <w:br w:type="page"/>
      </w:r>
    </w:p>
    <w:p xmlns:wp14="http://schemas.microsoft.com/office/word/2010/wordml" w14:paraId="52F92187" wp14:textId="77777777">
      <w:pPr>
        <w:pStyle w:val="Title"/>
        <w:spacing w:before="0" w:after="80"/>
        <w:contextualSpacing/>
        <w:rPr>
          <w:rFonts w:ascii="times new roman" w:hAnsi="times new roman"/>
          <w:sz w:val="24"/>
          <w:szCs w:val="24"/>
        </w:rPr>
      </w:pPr>
      <w:r>
        <w:rPr>
          <w:rFonts w:ascii="times new roman" w:hAnsi="times new roman"/>
          <w:sz w:val="24"/>
          <w:szCs w:val="24"/>
          <w:lang w:val="en-CA"/>
        </w:rPr>
        <w:t>Expected outcomes (max. 3,800 characters)</w:t>
      </w:r>
    </w:p>
    <w:p xmlns:wp14="http://schemas.microsoft.com/office/word/2010/wordml" w14:paraId="2F74EDEB" wp14:textId="77777777">
      <w:pPr>
        <w:pStyle w:val="Normal"/>
        <w:rPr>
          <w:rFonts w:ascii="times new roman" w:hAnsi="times new roman"/>
          <w:sz w:val="24"/>
          <w:szCs w:val="24"/>
        </w:rPr>
      </w:pPr>
      <w:r>
        <w:rPr>
          <w:rFonts w:ascii="times new roman" w:hAnsi="times new roman"/>
          <w:sz w:val="24"/>
          <w:szCs w:val="24"/>
        </w:rPr>
        <w:t>The project assembles a group of researchers with a proven record of collaboration, and it fosters new collaborations between several research professors. This includes new collaborative opportunities between Ravensbergen and Higgins, Mohamed and Pereira, Ravensbergen and Pereira, and all transportation scholars collaborating with De Barros, an expert in human rights and justice. The team takes previous collaborations and expands them in novel ways that will benefit the quality of the scholarship produced. Moreover, the codesign framework proposed builds on existing collaborations (e.g., between Co-PI Ravensbergen and Mohammed and Hamilton’s transit agency) and fosters new connections with community stakeholders. The project aspires to empower users of transit to have a more fluid participation in decision-making processes that affect them, and to help providers of a key public service to better incorporate user knowledge. In this way, the codesign framework opens avenues for knowledge exchange between providers and users of transit and thus contributes to enhance the process and practice of effective governance.</w:t>
      </w:r>
    </w:p>
    <w:p xmlns:wp14="http://schemas.microsoft.com/office/word/2010/wordml" w14:paraId="1F96103D" wp14:textId="77777777">
      <w:pPr>
        <w:pStyle w:val="Normal"/>
        <w:rPr>
          <w:rFonts w:ascii="times new roman" w:hAnsi="times new roman"/>
          <w:sz w:val="24"/>
          <w:szCs w:val="24"/>
        </w:rPr>
      </w:pPr>
      <w:r>
        <w:rPr>
          <w:rFonts w:ascii="times new roman" w:hAnsi="times new roman"/>
          <w:sz w:val="24"/>
          <w:szCs w:val="24"/>
        </w:rPr>
        <w:t>Through this project, four graduate students and two post-doctoral researchers will be trained and gain various new skills, to the betterment of Canada's transportation and research expertise. Other outcomes of the project are of three kinds: communication, research materials, and tools. The project will produce ten peer-reviewed papers (1 article by each Masters student, 3 articles per Doctoral student, and 1 article by each post-doctoral researcher). In addition, there will be communications for lay audiences, in the form of case studies, policy briefs, and user's manuals. New data produced during the research will be shared in the form of open data products, which will be made available via web repositories in addition to registering them for digital object identification (doi) using Zenodo. Other research materials, such as research documents and computational notebooks, will be shared using public web repositories. The project aims to push the boundaries of current practices in open science by expanding on the current expertise of members of the research team. The project will also produce open-source tools (e.g., dashboards) to help stakeholders assess the equity implications of various transit provision scenarios. More generally, knowledge transfer will prepare the next generation of transportation equity champions.</w:t>
      </w:r>
    </w:p>
    <w:p xmlns:wp14="http://schemas.microsoft.com/office/word/2010/wordml" w14:paraId="4455FE34" wp14:textId="77777777">
      <w:pPr>
        <w:pStyle w:val="Normal"/>
        <w:rPr>
          <w:rFonts w:ascii="times new roman" w:hAnsi="times new roman"/>
          <w:sz w:val="24"/>
          <w:szCs w:val="24"/>
        </w:rPr>
      </w:pPr>
      <w:r>
        <w:rPr>
          <w:rFonts w:ascii="times new roman" w:hAnsi="times new roman"/>
          <w:sz w:val="24"/>
          <w:szCs w:val="24"/>
        </w:rPr>
        <w:t>With better knowledge, better choices will be facilitated for planners and policymakers at transit agencies and users of public transportation. Rather than basing decisions on relatively narrow fiscal considerations, transparent and publicly available tools will contribute to advance more equitable public transportation planning. As a matter of procedural justice in transportation, planning must consider all segments of society, and for participation to be meaningful relevant information must be accessible. The tools proposed contribute to fill an information gap about levels of service by clarifying in a more holistic way the distribution of transit's costs and benefits. The development of visual tools based on research that accounts for relevant perspectives of stakeholders will enhance public discourse, public policy, and planning. Generating knowledge about the equity implications of transit operations will help steer conversations from a predominantly economic perspective to a fuller accounting of transit's numerous non-monetary benefits. Generating the tools to implement this knowledge will help inform policy and practice related to urban planning, transport, social inclusion, and community development by translating abstract research into trustworthy, locally relevant, and actionable information.</w:t>
      </w:r>
    </w:p>
    <w:p xmlns:wp14="http://schemas.microsoft.com/office/word/2010/wordml" w14:paraId="54E11D2A" wp14:textId="77777777">
      <w:pPr>
        <w:pStyle w:val="Normal"/>
        <w:rPr>
          <w:rFonts w:ascii="times new roman" w:hAnsi="times new roman"/>
          <w:sz w:val="24"/>
          <w:szCs w:val="24"/>
        </w:rPr>
      </w:pPr>
      <w:r>
        <w:rPr>
          <w:rFonts w:ascii="times new roman" w:hAnsi="times new roman"/>
          <w:sz w:val="24"/>
          <w:szCs w:val="24"/>
        </w:rPr>
      </w:r>
      <w:r>
        <w:br w:type="page"/>
      </w:r>
    </w:p>
    <w:p xmlns:wp14="http://schemas.microsoft.com/office/word/2010/wordml" w14:paraId="70091D10" wp14:textId="77777777">
      <w:pPr>
        <w:pStyle w:val="Title"/>
        <w:spacing w:before="0" w:after="80"/>
        <w:contextualSpacing/>
        <w:rPr>
          <w:rFonts w:ascii="times new roman" w:hAnsi="times new roman"/>
          <w:sz w:val="24"/>
          <w:szCs w:val="24"/>
        </w:rPr>
      </w:pPr>
      <w:r>
        <w:rPr>
          <w:rFonts w:ascii="times new roman" w:hAnsi="times new roman"/>
          <w:sz w:val="24"/>
          <w:szCs w:val="24"/>
          <w:lang w:val="en-CA"/>
        </w:rPr>
        <w:t>Research Contributions: Antonio Páez</w:t>
      </w:r>
    </w:p>
    <w:p xmlns:wp14="http://schemas.microsoft.com/office/word/2010/wordml" w14:paraId="037B56AB" wp14:textId="77777777">
      <w:pPr>
        <w:pStyle w:val="Heading1"/>
        <w:rPr>
          <w:rFonts w:ascii="times new roman" w:hAnsi="times new roman"/>
          <w:sz w:val="24"/>
          <w:szCs w:val="24"/>
        </w:rPr>
      </w:pPr>
      <w:r>
        <w:rPr>
          <w:rFonts w:ascii="times new roman" w:hAnsi="times new roman"/>
          <w:sz w:val="24"/>
          <w:szCs w:val="24"/>
        </w:rPr>
        <w:t>Refereed contributions BOOKS 2020-2026 (*: SSHRC supported; +: Student author)</w:t>
      </w:r>
    </w:p>
    <w:tbl>
      <w:tblPr>
        <w:tblW w:w="1008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36"/>
        <w:gridCol w:w="9743"/>
      </w:tblGrid>
      <w:tr xmlns:wp14="http://schemas.microsoft.com/office/word/2010/wordml" w14:paraId="004AEEB9" wp14:textId="77777777">
        <w:trPr>
          <w:trHeight w:val="300" w:hRule="atLeast"/>
        </w:trPr>
        <w:tc>
          <w:tcPr>
            <w:tcW w:w="336" w:type="dxa"/>
            <w:tcBorders/>
            <w:vAlign w:val="center"/>
          </w:tcPr>
          <w:p w14:paraId="31126E5D"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743" w:type="dxa"/>
            <w:tcBorders/>
            <w:vAlign w:val="center"/>
          </w:tcPr>
          <w:p w14:paraId="42BF8CB1" wp14:textId="77777777">
            <w:pPr>
              <w:pStyle w:val="ListParagraph"/>
              <w:numPr>
                <w:ilvl w:val="0"/>
                <w:numId w:val="5"/>
              </w:numPr>
              <w:spacing w:line="240" w:lineRule="auto"/>
              <w:ind w:left="360" w:hanging="360"/>
              <w:jc w:val="left"/>
              <w:rPr/>
            </w:pPr>
            <w:r>
              <w:rPr>
                <w:rFonts w:ascii="times new roman" w:hAnsi="times new roman" w:eastAsia="Times New Roman" w:cs="Times New Roman"/>
                <w:b/>
                <w:bCs/>
                <w:color w:val="000000" w:themeColor="text1"/>
                <w:sz w:val="24"/>
                <w:szCs w:val="24"/>
                <w:lang w:val="en-US"/>
              </w:rPr>
              <w:t>Páez, A.</w:t>
            </w:r>
            <w:r>
              <w:rPr>
                <w:rFonts w:ascii="times new roman" w:hAnsi="times new roman" w:eastAsia="Times New Roman" w:cs="Times New Roman"/>
                <w:color w:val="000000" w:themeColor="text1"/>
                <w:sz w:val="24"/>
                <w:szCs w:val="24"/>
                <w:lang w:val="en-US"/>
              </w:rPr>
              <w:t xml:space="preserve"> &amp; Boisjoly, G. (2026). Discrete Choice Analysis with R. Springer Cham. </w:t>
            </w:r>
            <w:hyperlink r:id="rId5">
              <w:r>
                <w:rPr>
                  <w:rStyle w:val="ListLabel55"/>
                  <w:rFonts w:ascii="times new roman" w:hAnsi="times new roman" w:eastAsia="Times New Roman" w:cs="Times New Roman"/>
                  <w:color w:val="000000" w:themeColor="text1"/>
                  <w:sz w:val="24"/>
                  <w:szCs w:val="24"/>
                  <w:lang w:val="en-US"/>
                </w:rPr>
                <w:t>https://doi.org/10.1007/</w:t>
              </w:r>
            </w:hyperlink>
            <w:r>
              <w:rPr>
                <w:rFonts w:ascii="times new roman" w:hAnsi="times new roman"/>
                <w:sz w:val="24"/>
                <w:szCs w:val="24"/>
                <w:lang w:val="en-US"/>
              </w:rPr>
              <w:t>978-3-031-20719-8</w:t>
            </w:r>
          </w:p>
        </w:tc>
      </w:tr>
    </w:tbl>
    <w:p xmlns:wp14="http://schemas.microsoft.com/office/word/2010/wordml" w14:paraId="084D8F0A" wp14:textId="77777777">
      <w:pPr>
        <w:pStyle w:val="Heading1"/>
        <w:rPr>
          <w:rFonts w:ascii="times new roman" w:hAnsi="times new roman"/>
          <w:sz w:val="24"/>
          <w:szCs w:val="24"/>
        </w:rPr>
      </w:pPr>
      <w:r>
        <w:rPr>
          <w:rFonts w:ascii="times new roman" w:hAnsi="times new roman"/>
          <w:sz w:val="24"/>
          <w:szCs w:val="24"/>
        </w:rPr>
        <w:t>Refereed contributions JOURNAL ARTICLES 2020-2026 (*: SSHRC supported; +: Student author) (54 peer-reviewed journal publications in this period, only 30 most relevant to proposal are listed below)</w:t>
      </w:r>
    </w:p>
    <w:tbl>
      <w:tblPr>
        <w:tblW w:w="1008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816"/>
        <w:gridCol w:w="9263"/>
      </w:tblGrid>
      <w:tr xmlns:wp14="http://schemas.microsoft.com/office/word/2010/wordml" w14:paraId="14989AD9" wp14:textId="77777777">
        <w:trPr>
          <w:trHeight w:val="300" w:hRule="atLeast"/>
        </w:trPr>
        <w:tc>
          <w:tcPr>
            <w:tcW w:w="816" w:type="dxa"/>
            <w:tcBorders/>
            <w:vAlign w:val="center"/>
          </w:tcPr>
          <w:p w14:paraId="77347F75"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624847F2"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dos Santos, B. D.</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Moghadasi, M.</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(2026). A 30</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year analysis of active travel behaviour in Canada. Journal of Transport Geography, 131, 104561. </w:t>
            </w:r>
            <w:r>
              <w:rPr>
                <w:rFonts w:ascii="times new roman" w:hAnsi="times new roman"/>
                <w:sz w:val="24"/>
                <w:szCs w:val="24"/>
              </w:rPr>
              <w:t>https://doi.org/10.1016/j.jtrangeo.2026.104561</w:t>
            </w:r>
          </w:p>
        </w:tc>
      </w:tr>
      <w:tr xmlns:wp14="http://schemas.microsoft.com/office/word/2010/wordml" w14:paraId="6A416E76" wp14:textId="77777777">
        <w:trPr>
          <w:trHeight w:val="300" w:hRule="atLeast"/>
        </w:trPr>
        <w:tc>
          <w:tcPr>
            <w:tcW w:w="816" w:type="dxa"/>
            <w:tcBorders/>
            <w:vAlign w:val="center"/>
          </w:tcPr>
          <w:p w14:paraId="4C3940C2"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A1F530F"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Higgins, C. D., Li, C.,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(2026). Person</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based aggregate space</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time accessibility (PASTA): Bridging the gap between place</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 and person</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based accessibility. Journal of Transport Geography, 132, 104602. </w:t>
            </w:r>
            <w:r>
              <w:rPr>
                <w:rFonts w:ascii="times new roman" w:hAnsi="times new roman"/>
                <w:sz w:val="24"/>
                <w:szCs w:val="24"/>
              </w:rPr>
              <w:t>https://doi.org/10.1016/j.jtrangeo.2026.104602</w:t>
            </w:r>
          </w:p>
        </w:tc>
      </w:tr>
      <w:tr xmlns:wp14="http://schemas.microsoft.com/office/word/2010/wordml" w14:paraId="69567AB4" wp14:textId="77777777">
        <w:trPr>
          <w:trHeight w:val="300" w:hRule="atLeast"/>
        </w:trPr>
        <w:tc>
          <w:tcPr>
            <w:tcW w:w="816" w:type="dxa"/>
            <w:tcBorders/>
            <w:vAlign w:val="center"/>
          </w:tcPr>
          <w:p w14:paraId="05102CEA"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20D2440"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Soukhov, A.</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Pereira, R. H. M., Higgins, C. D.,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(2025). A family of accessibility measures derived from spatial interaction principles. PLOS ONE, 20(11), 1–31.  </w:t>
            </w:r>
            <w:r>
              <w:rPr>
                <w:rFonts w:ascii="times new roman" w:hAnsi="times new roman"/>
                <w:sz w:val="24"/>
                <w:szCs w:val="24"/>
              </w:rPr>
              <w:t>https://doi.org/10.1371/journal.pone.0335951</w:t>
            </w:r>
          </w:p>
        </w:tc>
      </w:tr>
      <w:tr xmlns:wp14="http://schemas.microsoft.com/office/word/2010/wordml" w14:paraId="67E2C24E" wp14:textId="77777777">
        <w:trPr>
          <w:trHeight w:val="300" w:hRule="atLeast"/>
        </w:trPr>
        <w:tc>
          <w:tcPr>
            <w:tcW w:w="816" w:type="dxa"/>
            <w:tcBorders/>
            <w:vAlign w:val="center"/>
          </w:tcPr>
          <w:p w14:paraId="594E7E89"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0BA63FE1"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dos Santos, B. D.</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Moghadasi, M.</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(2025). ActiveCA: Time use data from the general social survey of Canada to study active travel. Environment and Planning B: Urban Analytics and City Science, 52(8), 2037–2047. </w:t>
            </w:r>
            <w:r>
              <w:rPr>
                <w:rFonts w:ascii="times new roman" w:hAnsi="times new roman"/>
                <w:sz w:val="24"/>
                <w:szCs w:val="24"/>
              </w:rPr>
              <w:t>https://doi.org/10.1177/23998083251374724</w:t>
            </w:r>
          </w:p>
        </w:tc>
      </w:tr>
      <w:tr xmlns:wp14="http://schemas.microsoft.com/office/word/2010/wordml" w14:paraId="582D60DF" wp14:textId="77777777">
        <w:trPr>
          <w:trHeight w:val="300" w:hRule="atLeast"/>
        </w:trPr>
        <w:tc>
          <w:tcPr>
            <w:tcW w:w="816" w:type="dxa"/>
            <w:tcBorders/>
            <w:vAlign w:val="center"/>
          </w:tcPr>
          <w:p w14:paraId="7FCE46C8"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2AD08C63"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Soukhov, A., Ravensbergen, L., Dorantes, L. M.,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(2025). Towards completely caring 15</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minute neighbourhoods. Transportation Research Part A: Policy and Practice, 198, 104503. </w:t>
            </w:r>
            <w:r>
              <w:rPr>
                <w:rFonts w:ascii="times new roman" w:hAnsi="times new roman"/>
                <w:sz w:val="24"/>
                <w:szCs w:val="24"/>
              </w:rPr>
              <w:t>https://doi.org/10.1016/j.tra.2025.104503</w:t>
            </w:r>
          </w:p>
        </w:tc>
      </w:tr>
      <w:tr xmlns:wp14="http://schemas.microsoft.com/office/word/2010/wordml" w14:paraId="042662D8" wp14:textId="77777777">
        <w:trPr>
          <w:trHeight w:val="300" w:hRule="atLeast"/>
        </w:trPr>
        <w:tc>
          <w:tcPr>
            <w:tcW w:w="816" w:type="dxa"/>
            <w:tcBorders/>
            <w:vAlign w:val="center"/>
          </w:tcPr>
          <w:p w14:paraId="2DE403A5"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4F5DF598"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sz w:val="24"/>
                <w:szCs w:val="24"/>
              </w:rPr>
              <w:t xml:space="preserve">Elizondo-Candanedo, R. F. (+), Arranz-López, A., Soria-Lara, J. A., &amp; </w:t>
            </w:r>
            <w:r>
              <w:rPr>
                <w:rFonts w:ascii="times new roman" w:hAnsi="times new roman"/>
                <w:b/>
                <w:bCs/>
                <w:sz w:val="24"/>
                <w:szCs w:val="24"/>
              </w:rPr>
              <w:t>Páez, A.</w:t>
            </w:r>
            <w:r>
              <w:rPr>
                <w:rFonts w:ascii="times new roman" w:hAnsi="times new roman"/>
                <w:sz w:val="24"/>
                <w:szCs w:val="24"/>
              </w:rPr>
              <w:t xml:space="preserve"> (2024). When e-activities meet spatial accessibility: A theoretical framework and empirical space-time thresholds for simulated spatial settings. Journal of Transport Geography, 121, 104026. https://doi.org/10.1016/j.jtrangeo.2024.104026</w:t>
            </w:r>
          </w:p>
        </w:tc>
      </w:tr>
      <w:tr xmlns:wp14="http://schemas.microsoft.com/office/word/2010/wordml" w14:paraId="4C58B01A" wp14:textId="77777777">
        <w:trPr>
          <w:trHeight w:val="300" w:hRule="atLeast"/>
        </w:trPr>
        <w:tc>
          <w:tcPr>
            <w:tcW w:w="816" w:type="dxa"/>
            <w:tcBorders/>
            <w:vAlign w:val="center"/>
          </w:tcPr>
          <w:p w14:paraId="03D9429D"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019F4CFB"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Tavakoli, Z., Waygood, O., Abdollahi, S., &amp; </w:t>
            </w:r>
            <w:r>
              <w:rPr>
                <w:rFonts w:ascii="times new roman" w:hAnsi="times new roman" w:eastAsia="Times New Roman" w:cs="Times New Roman"/>
                <w:b/>
                <w:bCs/>
                <w:color w:val="000000" w:themeColor="text1"/>
                <w:sz w:val="24"/>
                <w:szCs w:val="24"/>
              </w:rPr>
              <w:t>Paez, A.</w:t>
            </w:r>
            <w:r>
              <w:rPr>
                <w:rFonts w:ascii="times new roman" w:hAnsi="times new roman" w:eastAsia="Times New Roman" w:cs="Times New Roman"/>
                <w:color w:val="000000" w:themeColor="text1"/>
                <w:sz w:val="24"/>
                <w:szCs w:val="24"/>
              </w:rPr>
              <w:t xml:space="preserve"> (2024). “Where Do Children Go?”: Exploring Children’s Daily Destinations with Children, Parents, and Experts. Urban Planning, 9(0). </w:t>
            </w:r>
            <w:r>
              <w:rPr>
                <w:rFonts w:ascii="times new roman" w:hAnsi="times new roman"/>
                <w:sz w:val="24"/>
                <w:szCs w:val="24"/>
              </w:rPr>
              <w:t>https://doi.org/10.17645/up.8478</w:t>
            </w:r>
          </w:p>
        </w:tc>
      </w:tr>
      <w:tr xmlns:wp14="http://schemas.microsoft.com/office/word/2010/wordml" w14:paraId="34E21EA0" wp14:textId="77777777">
        <w:trPr>
          <w:trHeight w:val="300" w:hRule="atLeast"/>
        </w:trPr>
        <w:tc>
          <w:tcPr>
            <w:tcW w:w="816" w:type="dxa"/>
            <w:tcBorders/>
            <w:vAlign w:val="center"/>
          </w:tcPr>
          <w:p w14:paraId="62F24AC4"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65D06B35"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Tavakoli, Z.</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Abdollahi, S.</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Waygood, E. O. D.,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&amp; Boisjoly, G. (2024). Traffic danger’s potential impact on children’s accessibility. Transportation Research Part D: Transport and Environment, 135, 104370. </w:t>
            </w:r>
            <w:r>
              <w:rPr>
                <w:rFonts w:ascii="times new roman" w:hAnsi="times new roman"/>
                <w:sz w:val="24"/>
                <w:szCs w:val="24"/>
              </w:rPr>
              <w:t>https://doi.org/10.1016/j.trd.2024.104370</w:t>
            </w:r>
          </w:p>
        </w:tc>
      </w:tr>
      <w:tr xmlns:wp14="http://schemas.microsoft.com/office/word/2010/wordml" w14:paraId="4EAC3EEF" wp14:textId="77777777">
        <w:trPr>
          <w:trHeight w:val="300" w:hRule="atLeast"/>
        </w:trPr>
        <w:tc>
          <w:tcPr>
            <w:tcW w:w="816" w:type="dxa"/>
            <w:tcBorders/>
            <w:vAlign w:val="center"/>
          </w:tcPr>
          <w:p w14:paraId="62431CDC"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06027318"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sz w:val="24"/>
                <w:szCs w:val="24"/>
              </w:rPr>
              <w:t xml:space="preserve">Jamal, S. </w:t>
            </w:r>
            <w:r>
              <w:rPr>
                <w:rFonts w:ascii="times new roman" w:hAnsi="times new roman"/>
                <w:b/>
                <w:bCs/>
                <w:sz w:val="24"/>
                <w:szCs w:val="24"/>
              </w:rPr>
              <w:t>(+)</w:t>
            </w:r>
            <w:r>
              <w:rPr>
                <w:rFonts w:ascii="times new roman" w:hAnsi="times new roman"/>
                <w:sz w:val="24"/>
                <w:szCs w:val="24"/>
              </w:rPr>
              <w:t xml:space="preserve">, &amp; </w:t>
            </w:r>
            <w:r>
              <w:rPr>
                <w:rFonts w:ascii="times new roman" w:hAnsi="times new roman"/>
                <w:b/>
                <w:bCs/>
                <w:sz w:val="24"/>
                <w:szCs w:val="24"/>
              </w:rPr>
              <w:t>Páez, A.</w:t>
            </w:r>
            <w:r>
              <w:rPr>
                <w:rFonts w:ascii="times new roman" w:hAnsi="times new roman"/>
                <w:sz w:val="24"/>
                <w:szCs w:val="24"/>
              </w:rPr>
              <w:t xml:space="preserve"> (2024). Well-being implications of immobility during COVID-19: Evidence from a student sample in Bangladesh using the satisfaction with life scale. Transportation, 51(5), 2019–2049. https://doi.org/10.1007/s11116-023-10395-z</w:t>
            </w:r>
          </w:p>
        </w:tc>
      </w:tr>
      <w:tr xmlns:wp14="http://schemas.microsoft.com/office/word/2010/wordml" w14:paraId="74A8904D" wp14:textId="77777777">
        <w:trPr>
          <w:trHeight w:val="300" w:hRule="atLeast"/>
        </w:trPr>
        <w:tc>
          <w:tcPr>
            <w:tcW w:w="816" w:type="dxa"/>
            <w:tcBorders/>
            <w:vAlign w:val="center"/>
          </w:tcPr>
          <w:p w14:paraId="1A97E123"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78A03050"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Desjardins, E., Lam, J., Reynard, D., Collins, D., Waygood, E.O.D.,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(2024). Framing active school travel in </w:t>
            </w:r>
            <w:r>
              <w:rPr>
                <w:rFonts w:ascii="times new roman" w:hAnsi="times new roman"/>
                <w:sz w:val="24"/>
                <w:szCs w:val="24"/>
              </w:rPr>
              <w:tab/>
            </w:r>
            <w:r>
              <w:rPr>
                <w:rFonts w:ascii="times new roman" w:hAnsi="times new roman" w:eastAsia="Times New Roman" w:cs="Times New Roman"/>
                <w:color w:val="000000" w:themeColor="text1"/>
                <w:sz w:val="24"/>
                <w:szCs w:val="24"/>
              </w:rPr>
              <w:t>Ontario, or how spinach is good for you. Transportation Research Part A: Policy and Practice, 180, 1039</w:t>
            </w:r>
            <w:r>
              <w:rPr>
                <w:rFonts w:ascii="times new roman" w:hAnsi="times new roman" w:eastAsia="" w:eastAsiaTheme="minorEastAsia"/>
                <w:color w:val="000000" w:themeColor="text1"/>
                <w:sz w:val="24"/>
                <w:szCs w:val="24"/>
              </w:rPr>
              <w:t>53. https://doi.org/10.1016/j.tra.2024.103953</w:t>
            </w:r>
          </w:p>
        </w:tc>
      </w:tr>
      <w:tr xmlns:wp14="http://schemas.microsoft.com/office/word/2010/wordml" w14:paraId="5B54CA42" wp14:textId="77777777">
        <w:trPr>
          <w:trHeight w:val="300" w:hRule="atLeast"/>
        </w:trPr>
        <w:tc>
          <w:tcPr>
            <w:tcW w:w="816" w:type="dxa"/>
            <w:tcBorders/>
            <w:vAlign w:val="center"/>
          </w:tcPr>
          <w:p w14:paraId="48BB38D9"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7FBDC5FB"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Soukhov, A.</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Tarriño</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Ortiz, J.</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Soria</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Lara, J. A.,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(2024). Multimodal spatial availability: A singly</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constrained measure of accessibility considering multiple modes. PLOS ONE, 19(2), e0299077. </w:t>
            </w:r>
            <w:r>
              <w:rPr>
                <w:rFonts w:ascii="times new roman" w:hAnsi="times new roman"/>
                <w:sz w:val="24"/>
                <w:szCs w:val="24"/>
              </w:rPr>
              <w:t>https://doi.org/10.1371/journal.pone.0299077</w:t>
            </w:r>
          </w:p>
        </w:tc>
      </w:tr>
      <w:tr xmlns:wp14="http://schemas.microsoft.com/office/word/2010/wordml" w14:paraId="02FAD85A" wp14:textId="77777777">
        <w:trPr>
          <w:trHeight w:val="300" w:hRule="atLeast"/>
        </w:trPr>
        <w:tc>
          <w:tcPr>
            <w:tcW w:w="816" w:type="dxa"/>
            <w:tcBorders/>
            <w:vAlign w:val="center"/>
          </w:tcPr>
          <w:p w14:paraId="49E398E2"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76C900FF"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sz w:val="24"/>
                <w:szCs w:val="24"/>
              </w:rPr>
              <w:t xml:space="preserve">Rey-Blanco, D., Arbués, P., López, F. A., &amp; </w:t>
            </w:r>
            <w:r>
              <w:rPr>
                <w:rFonts w:ascii="times new roman" w:hAnsi="times new roman"/>
                <w:b/>
                <w:bCs/>
                <w:sz w:val="24"/>
                <w:szCs w:val="24"/>
              </w:rPr>
              <w:t>Páez, A.</w:t>
            </w:r>
            <w:r>
              <w:rPr>
                <w:rFonts w:ascii="times new roman" w:hAnsi="times new roman"/>
                <w:sz w:val="24"/>
                <w:szCs w:val="24"/>
              </w:rPr>
              <w:t xml:space="preserve"> (2024). Using machine learning to identify spatial market segments. A reproducible study of major Spanish markets. Environment and Planning B: Urban Analytics and City Science, 51(1), 89–108. https://doi.org/10.1177/23998083231166952</w:t>
            </w:r>
          </w:p>
        </w:tc>
      </w:tr>
      <w:tr xmlns:wp14="http://schemas.microsoft.com/office/word/2010/wordml" w14:paraId="4180A2FF" wp14:textId="77777777">
        <w:trPr>
          <w:trHeight w:val="300" w:hRule="atLeast"/>
        </w:trPr>
        <w:tc>
          <w:tcPr>
            <w:tcW w:w="816" w:type="dxa"/>
            <w:tcBorders/>
            <w:vAlign w:val="center"/>
          </w:tcPr>
          <w:p w14:paraId="65A84B8B"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11C8CB3B"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Merrall, J.</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Higgins, C. D.,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(2024). What’s a school worth to a neighborhood? A spatial hedonic analysis of property prices in the context of accommodation reviews in Ontario. Geographical Analysis, 56(2), 217–243. </w:t>
            </w:r>
            <w:r>
              <w:rPr>
                <w:rFonts w:ascii="times new roman" w:hAnsi="times new roman"/>
                <w:sz w:val="24"/>
                <w:szCs w:val="24"/>
              </w:rPr>
              <w:t>https://doi.org/https://doi.org/10.1111/gean.12377</w:t>
            </w:r>
          </w:p>
        </w:tc>
      </w:tr>
      <w:tr xmlns:wp14="http://schemas.microsoft.com/office/word/2010/wordml" w14:paraId="53EF75BE" wp14:textId="77777777">
        <w:trPr>
          <w:trHeight w:val="300" w:hRule="atLeast"/>
        </w:trPr>
        <w:tc>
          <w:tcPr>
            <w:tcW w:w="816" w:type="dxa"/>
            <w:tcBorders/>
            <w:vAlign w:val="center"/>
          </w:tcPr>
          <w:p w14:paraId="5076BC48"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3A4F3467"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Soukhov, A.</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Higgins, C. D., &amp; Mohamed, M. (2023). Introducing spatial availability, a singly</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constrained measure of competitive accessibility. PLOS ONE, 18(1), e0278468. </w:t>
            </w:r>
            <w:r>
              <w:rPr>
                <w:rFonts w:ascii="times new roman" w:hAnsi="times new roman"/>
                <w:sz w:val="24"/>
                <w:szCs w:val="24"/>
              </w:rPr>
              <w:t>https://doi.org/10.1371/journal.pone.0278468</w:t>
            </w:r>
          </w:p>
        </w:tc>
      </w:tr>
      <w:tr xmlns:wp14="http://schemas.microsoft.com/office/word/2010/wordml" w14:paraId="2E035F18" wp14:textId="77777777">
        <w:trPr>
          <w:trHeight w:val="300" w:hRule="atLeast"/>
        </w:trPr>
        <w:tc>
          <w:tcPr>
            <w:tcW w:w="816" w:type="dxa"/>
            <w:tcBorders/>
            <w:vAlign w:val="center"/>
          </w:tcPr>
          <w:p w14:paraId="48EC7657"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3C30C21A"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Soukhov, A.</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(2023). TTS2016R: A data set to study population and employment patterns from the 2016 Transportation Tomorrow Survey in the Greater Golden Horseshoe Area, Ontario, Canada. Environment and Planning B: Urban Analytics and City Science, 50(2), 556–563. </w:t>
            </w:r>
            <w:r>
              <w:rPr>
                <w:rFonts w:ascii="times new roman" w:hAnsi="times new roman"/>
                <w:sz w:val="24"/>
                <w:szCs w:val="24"/>
              </w:rPr>
              <w:t>https://doi.org/10.1177/23998083221146781</w:t>
            </w:r>
          </w:p>
        </w:tc>
      </w:tr>
      <w:tr xmlns:wp14="http://schemas.microsoft.com/office/word/2010/wordml" w14:paraId="33A916F4" wp14:textId="77777777">
        <w:trPr>
          <w:trHeight w:val="300" w:hRule="atLeast"/>
        </w:trPr>
        <w:tc>
          <w:tcPr>
            <w:tcW w:w="816" w:type="dxa"/>
            <w:tcBorders/>
            <w:vAlign w:val="center"/>
          </w:tcPr>
          <w:p w14:paraId="53DC6811"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5AEB32F"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Sears, S.</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Moataz, M., Ferguson, M., Razavi, S.,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(2022). Perceived barriers to the movement of goods in Canada: A grounded theory investigation. Transportation Research Part A: Policy and Practice, 162, 27–45. </w:t>
            </w:r>
            <w:r>
              <w:rPr>
                <w:rFonts w:ascii="times new roman" w:hAnsi="times new roman"/>
                <w:sz w:val="24"/>
                <w:szCs w:val="24"/>
              </w:rPr>
              <w:t>https://doi.org/10.1016/j.tra.2022.05.011</w:t>
            </w:r>
          </w:p>
        </w:tc>
      </w:tr>
      <w:tr xmlns:wp14="http://schemas.microsoft.com/office/word/2010/wordml" w14:paraId="1142ED82" wp14:textId="77777777">
        <w:trPr>
          <w:trHeight w:val="300" w:hRule="atLeast"/>
        </w:trPr>
        <w:tc>
          <w:tcPr>
            <w:tcW w:w="816" w:type="dxa"/>
            <w:tcBorders/>
            <w:vAlign w:val="center"/>
          </w:tcPr>
          <w:p w14:paraId="2923E5F7"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086D7CA2"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Desjardins, E.</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Tavakoli, Z.</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&amp; Waygood, E. O. (2022). Children’s access to non</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school destinations by active or independent travel: A scoping review. In International Journal of Environmental Research and Public Health, No. 19; Vol. 19. </w:t>
            </w:r>
            <w:r>
              <w:rPr>
                <w:rFonts w:ascii="times new roman" w:hAnsi="times new roman"/>
                <w:sz w:val="24"/>
                <w:szCs w:val="24"/>
              </w:rPr>
              <w:t>https://doi.org/10.3390/ijerph191912345</w:t>
            </w:r>
          </w:p>
        </w:tc>
      </w:tr>
      <w:tr xmlns:wp14="http://schemas.microsoft.com/office/word/2010/wordml" w14:paraId="09A03D43" wp14:textId="77777777">
        <w:trPr>
          <w:trHeight w:val="300" w:hRule="atLeast"/>
        </w:trPr>
        <w:tc>
          <w:tcPr>
            <w:tcW w:w="816" w:type="dxa"/>
            <w:tcBorders/>
            <w:vAlign w:val="center"/>
          </w:tcPr>
          <w:p w14:paraId="16287F21"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07CCDB1B"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Desjardins, E.</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Higgins, C. D., Scott, D. M., Apatu, E.,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(2022). Correlates of bicycling trip flows in Hamilton, Ontario: Fastest, quietest, or balanced routes? Transportation, 49(3), 867–895. </w:t>
            </w:r>
            <w:r>
              <w:rPr>
                <w:rFonts w:ascii="times new roman" w:hAnsi="times new roman"/>
                <w:sz w:val="24"/>
                <w:szCs w:val="24"/>
              </w:rPr>
              <w:t>https://doi.org/10.1007/s11116-021-10197-1</w:t>
            </w:r>
          </w:p>
        </w:tc>
      </w:tr>
      <w:tr xmlns:wp14="http://schemas.microsoft.com/office/word/2010/wordml" w14:paraId="7428C99C" wp14:textId="77777777">
        <w:trPr>
          <w:trHeight w:val="300" w:hRule="atLeast"/>
        </w:trPr>
        <w:tc>
          <w:tcPr>
            <w:tcW w:w="816" w:type="dxa"/>
            <w:tcBorders/>
            <w:vAlign w:val="center"/>
          </w:tcPr>
          <w:p w14:paraId="5BE93A62"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51CEF4DA"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Desjardins, E.</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Higgins, C. D., &amp; </w:t>
            </w:r>
            <w:r>
              <w:rPr>
                <w:rFonts w:ascii="times new roman" w:hAnsi="times new roman" w:eastAsia="Times New Roman" w:cs="Times New Roman"/>
                <w:b/>
                <w:bCs/>
                <w:color w:val="000000" w:themeColor="text1"/>
                <w:sz w:val="24"/>
                <w:szCs w:val="24"/>
              </w:rPr>
              <w:t xml:space="preserve">Páez, A. </w:t>
            </w:r>
            <w:r>
              <w:rPr>
                <w:rFonts w:ascii="times new roman" w:hAnsi="times new roman" w:eastAsia="Times New Roman" w:cs="Times New Roman"/>
                <w:color w:val="000000" w:themeColor="text1"/>
                <w:sz w:val="24"/>
                <w:szCs w:val="24"/>
              </w:rPr>
              <w:t xml:space="preserve">(2022). Examining equity in accessibility to bike share: A balanced floating catchment area approach. Transportation Research Part D: Transport and Environment, 102, 103091. </w:t>
            </w:r>
            <w:r>
              <w:rPr>
                <w:rFonts w:ascii="times new roman" w:hAnsi="times new roman"/>
                <w:sz w:val="24"/>
                <w:szCs w:val="24"/>
              </w:rPr>
              <w:t>https://doi.org/https://doi.org/10.1016/j.trd.2021.103091</w:t>
            </w:r>
          </w:p>
        </w:tc>
      </w:tr>
      <w:tr xmlns:wp14="http://schemas.microsoft.com/office/word/2010/wordml" w14:paraId="1ADA0955" wp14:textId="77777777">
        <w:trPr>
          <w:trHeight w:val="300" w:hRule="atLeast"/>
        </w:trPr>
        <w:tc>
          <w:tcPr>
            <w:tcW w:w="816" w:type="dxa"/>
            <w:tcBorders/>
            <w:vAlign w:val="center"/>
          </w:tcPr>
          <w:p w14:paraId="34617564"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42C6675C"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Demitiry, M.</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Higgins, C. D.,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&amp; Miller, E. J. (2022). Accessibility to primary care physicians: Comparing floating catchments with a utility</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based approach. Journal of Transport Geography, 101, 103356. </w:t>
            </w:r>
            <w:r>
              <w:rPr>
                <w:rFonts w:ascii="times new roman" w:hAnsi="times new roman"/>
                <w:sz w:val="24"/>
                <w:szCs w:val="24"/>
              </w:rPr>
              <w:t>https://doi.org/10.1016/j.jtrangeo.2022.103356</w:t>
            </w:r>
          </w:p>
        </w:tc>
      </w:tr>
      <w:tr xmlns:wp14="http://schemas.microsoft.com/office/word/2010/wordml" w14:paraId="7D2444D9" wp14:textId="77777777">
        <w:trPr>
          <w:trHeight w:val="300" w:hRule="atLeast"/>
        </w:trPr>
        <w:tc>
          <w:tcPr>
            <w:tcW w:w="816" w:type="dxa"/>
            <w:tcBorders/>
            <w:vAlign w:val="center"/>
          </w:tcPr>
          <w:p w14:paraId="05D4D11D"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3A50E6CD"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&amp; Higgins, C. D. (2021). An examination of the accessibility implications of a pilot COVID</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19 vaccination program in Hamilton, Ontario. Findings. </w:t>
            </w:r>
            <w:r>
              <w:rPr>
                <w:rFonts w:ascii="times new roman" w:hAnsi="times new roman"/>
                <w:sz w:val="24"/>
                <w:szCs w:val="24"/>
              </w:rPr>
              <w:t>https://doi.org/10.32866/001c.24082</w:t>
            </w:r>
          </w:p>
        </w:tc>
      </w:tr>
      <w:tr xmlns:wp14="http://schemas.microsoft.com/office/word/2010/wordml" w14:paraId="0D5128C9" wp14:textId="77777777">
        <w:trPr>
          <w:trHeight w:val="300" w:hRule="atLeast"/>
        </w:trPr>
        <w:tc>
          <w:tcPr>
            <w:tcW w:w="816" w:type="dxa"/>
            <w:tcBorders/>
            <w:vAlign w:val="center"/>
          </w:tcPr>
          <w:p w14:paraId="384BA73E"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7D177AFE"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b/>
                <w:bCs/>
                <w:sz w:val="24"/>
                <w:szCs w:val="24"/>
              </w:rPr>
              <w:t>Páez, A.</w:t>
            </w:r>
            <w:r>
              <w:rPr>
                <w:rFonts w:ascii="times new roman" w:hAnsi="times new roman"/>
                <w:sz w:val="24"/>
                <w:szCs w:val="24"/>
              </w:rPr>
              <w:t xml:space="preserve"> (2021). Open spatial sciences: An introduction. Journal of Geographical Systems, 23(4), 467–476. https://doi.org/10.1007/s10109-021-00364-4</w:t>
            </w:r>
          </w:p>
        </w:tc>
      </w:tr>
      <w:tr xmlns:wp14="http://schemas.microsoft.com/office/word/2010/wordml" w14:paraId="3FFC2AF5" wp14:textId="77777777">
        <w:trPr>
          <w:trHeight w:val="300" w:hRule="atLeast"/>
        </w:trPr>
        <w:tc>
          <w:tcPr>
            <w:tcW w:w="816" w:type="dxa"/>
            <w:tcBorders/>
            <w:vAlign w:val="center"/>
          </w:tcPr>
          <w:p w14:paraId="34B3F2EB"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07F45BEF"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Pereira, R. H. M., Braga, C. K. V., Servo, L. M., Serra, B., Amaral, P., Gouveia, N.,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(2021). Geographic access to COVID</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19 healthcare in Brazil using a balanced float catchment area approach. Social Science &amp; Medicine, 273. </w:t>
            </w:r>
            <w:r>
              <w:rPr>
                <w:rFonts w:ascii="times new roman" w:hAnsi="times new roman"/>
                <w:sz w:val="24"/>
                <w:szCs w:val="24"/>
              </w:rPr>
              <w:t>https://doi.org/10.1016/j.socscimed.2021.113773</w:t>
            </w:r>
          </w:p>
        </w:tc>
      </w:tr>
      <w:tr xmlns:wp14="http://schemas.microsoft.com/office/word/2010/wordml" w14:paraId="004C61D0" wp14:textId="77777777">
        <w:trPr>
          <w:trHeight w:val="300" w:hRule="atLeast"/>
        </w:trPr>
        <w:tc>
          <w:tcPr>
            <w:tcW w:w="816" w:type="dxa"/>
            <w:tcBorders/>
            <w:vAlign w:val="center"/>
          </w:tcPr>
          <w:p w14:paraId="1C37DEC3"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5B4D1C3"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Higgins, C. D.,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Kim, G.</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&amp; Wang, J. (2021). Changes in accessibility to emergency and community food services during COVID</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19 and implications for low income populations in Hamilton, Ontario. Social Science &amp; Medicine, 291. </w:t>
            </w:r>
            <w:r>
              <w:rPr>
                <w:rFonts w:ascii="times new roman" w:hAnsi="times new roman"/>
                <w:sz w:val="24"/>
                <w:szCs w:val="24"/>
              </w:rPr>
              <w:t>https://doi.org/10.1016/j.socscimed.2021.114442</w:t>
            </w:r>
          </w:p>
        </w:tc>
      </w:tr>
      <w:tr xmlns:wp14="http://schemas.microsoft.com/office/word/2010/wordml" w14:paraId="163B2708" wp14:textId="77777777">
        <w:trPr>
          <w:trHeight w:val="300" w:hRule="atLeast"/>
        </w:trPr>
        <w:tc>
          <w:tcPr>
            <w:tcW w:w="816" w:type="dxa"/>
            <w:tcBorders/>
            <w:vAlign w:val="center"/>
          </w:tcPr>
          <w:p w14:paraId="7D34F5C7"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2FA3196E"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 xml:space="preserve">Eldeeb, G. </w:t>
            </w:r>
            <w:r>
              <w:rPr>
                <w:rFonts w:ascii="times new roman" w:hAnsi="times new roman" w:eastAsia="Times New Roman" w:cs="Times New Roman"/>
                <w:b/>
                <w:bCs/>
                <w:color w:val="000000" w:themeColor="text1"/>
                <w:sz w:val="24"/>
                <w:szCs w:val="24"/>
              </w:rPr>
              <w:t>(+)</w:t>
            </w:r>
            <w:r>
              <w:rPr>
                <w:rFonts w:ascii="times new roman" w:hAnsi="times new roman" w:eastAsia="Times New Roman" w:cs="Times New Roman"/>
                <w:color w:val="000000" w:themeColor="text1"/>
                <w:sz w:val="24"/>
                <w:szCs w:val="24"/>
              </w:rPr>
              <w:t xml:space="preserve">, Mohamed, M.,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(2021). Built for active travel? Investigating the contextual effects of the built environment on transportation mode choice. Journal of Transport Geography, 96. </w:t>
            </w:r>
            <w:r>
              <w:rPr>
                <w:rFonts w:ascii="times new roman" w:hAnsi="times new roman"/>
                <w:sz w:val="24"/>
                <w:szCs w:val="24"/>
              </w:rPr>
              <w:t>https://doi.org/10.1016/j.jtrangeo.2021.103158</w:t>
            </w:r>
          </w:p>
        </w:tc>
      </w:tr>
      <w:tr xmlns:wp14="http://schemas.microsoft.com/office/word/2010/wordml" w14:paraId="433EE764" wp14:textId="77777777">
        <w:trPr>
          <w:trHeight w:val="300" w:hRule="atLeast"/>
        </w:trPr>
        <w:tc>
          <w:tcPr>
            <w:tcW w:w="816" w:type="dxa"/>
            <w:tcBorders/>
            <w:vAlign w:val="center"/>
          </w:tcPr>
          <w:p w14:paraId="0B4020A7"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5023A058"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Desjardins, E.</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Higgins, C. D., Scott, D. M., Apatu, E.,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(2021). Using environmental audits and photo</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journeys to compare objective attributes and bicyclists’ perceptions of bicycle routes. Journal of Transport &amp; Health, 22. </w:t>
            </w:r>
            <w:r>
              <w:rPr>
                <w:rFonts w:ascii="times new roman" w:hAnsi="times new roman"/>
                <w:sz w:val="24"/>
                <w:szCs w:val="24"/>
              </w:rPr>
              <w:t>https://doi.org/10.1016/j.jth.2021.101092</w:t>
            </w:r>
          </w:p>
        </w:tc>
      </w:tr>
      <w:tr xmlns:wp14="http://schemas.microsoft.com/office/word/2010/wordml" w14:paraId="5F721500" wp14:textId="77777777">
        <w:trPr>
          <w:trHeight w:val="300" w:hRule="atLeast"/>
        </w:trPr>
        <w:tc>
          <w:tcPr>
            <w:tcW w:w="816" w:type="dxa"/>
            <w:tcBorders/>
            <w:vAlign w:val="center"/>
          </w:tcPr>
          <w:p w14:paraId="1D7B270A"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12A96429"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Desjardins, E.</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Apatu, E., Razavi, S. D., Higgins, C. D., Scott, D. M., &amp; </w:t>
            </w:r>
            <w:r>
              <w:rPr>
                <w:rFonts w:ascii="times new roman" w:hAnsi="times new roman" w:eastAsia="Times New Roman" w:cs="Times New Roman"/>
                <w:b/>
                <w:bCs/>
                <w:color w:val="000000" w:themeColor="text1"/>
                <w:sz w:val="24"/>
                <w:szCs w:val="24"/>
              </w:rPr>
              <w:t xml:space="preserve">Páez, A. </w:t>
            </w:r>
            <w:r>
              <w:rPr>
                <w:rFonts w:ascii="times new roman" w:hAnsi="times new roman" w:eastAsia="Times New Roman" w:cs="Times New Roman"/>
                <w:color w:val="000000" w:themeColor="text1"/>
                <w:sz w:val="24"/>
                <w:szCs w:val="24"/>
              </w:rPr>
              <w:t>(2021). “Going through a little bit of growing pains”: A qualitative study of the factors that influence the route choice of regular bicyclists in a developing cycling city. Transportation Research Part F</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Traffic Psychology and Behaviour, 81, 431–444. </w:t>
            </w:r>
            <w:r>
              <w:rPr>
                <w:rFonts w:ascii="times new roman" w:hAnsi="times new roman"/>
                <w:sz w:val="24"/>
                <w:szCs w:val="24"/>
              </w:rPr>
              <w:t>https://doi.org/10.1016/j.trf.2021.06.005</w:t>
            </w:r>
          </w:p>
        </w:tc>
      </w:tr>
      <w:tr xmlns:wp14="http://schemas.microsoft.com/office/word/2010/wordml" w14:paraId="05FEAB70" wp14:textId="77777777">
        <w:trPr>
          <w:trHeight w:val="300" w:hRule="atLeast"/>
        </w:trPr>
        <w:tc>
          <w:tcPr>
            <w:tcW w:w="816" w:type="dxa"/>
            <w:tcBorders/>
            <w:vAlign w:val="center"/>
          </w:tcPr>
          <w:p w14:paraId="4F904CB7"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080DBFE2"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Sarlas, G.</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&amp; Axhausen, K. W. (2020). </w:t>
            </w:r>
            <w:r>
              <w:rPr>
                <w:rFonts w:ascii="times new roman" w:hAnsi="times new roman"/>
                <w:sz w:val="24"/>
                <w:szCs w:val="24"/>
              </w:rPr>
              <w:tab/>
            </w:r>
            <w:r>
              <w:rPr>
                <w:rFonts w:ascii="times new roman" w:hAnsi="times new roman" w:eastAsia="Times New Roman" w:cs="Times New Roman"/>
                <w:color w:val="000000" w:themeColor="text1"/>
                <w:sz w:val="24"/>
                <w:szCs w:val="24"/>
              </w:rPr>
              <w:t>Betweenness</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accessibility: Estimating impacts of accessibility on networks. Journal of Transport Geography, 84. </w:t>
            </w:r>
            <w:r>
              <w:rPr>
                <w:rFonts w:ascii="times new roman" w:hAnsi="times new roman"/>
                <w:sz w:val="24"/>
                <w:szCs w:val="24"/>
              </w:rPr>
              <w:t>https://doi.org/10.1016/j.jtrangeo.2020.102680</w:t>
            </w:r>
          </w:p>
        </w:tc>
      </w:tr>
      <w:tr xmlns:wp14="http://schemas.microsoft.com/office/word/2010/wordml" w14:paraId="7271F292" wp14:textId="77777777">
        <w:trPr>
          <w:trHeight w:val="300" w:hRule="atLeast"/>
        </w:trPr>
        <w:tc>
          <w:tcPr>
            <w:tcW w:w="816" w:type="dxa"/>
            <w:tcBorders/>
            <w:vAlign w:val="center"/>
          </w:tcPr>
          <w:p w14:paraId="06971CD3"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r>
          </w:p>
        </w:tc>
        <w:tc>
          <w:tcPr>
            <w:tcW w:w="9263" w:type="dxa"/>
            <w:tcBorders/>
            <w:vAlign w:val="center"/>
          </w:tcPr>
          <w:p w14:paraId="7A434141"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sz w:val="24"/>
                <w:szCs w:val="24"/>
              </w:rPr>
              <w:t xml:space="preserve">Jamal, S. </w:t>
            </w:r>
            <w:r>
              <w:rPr>
                <w:rFonts w:ascii="times new roman" w:hAnsi="times new roman"/>
                <w:b/>
                <w:bCs/>
                <w:sz w:val="24"/>
                <w:szCs w:val="24"/>
              </w:rPr>
              <w:t>(+)</w:t>
            </w:r>
            <w:r>
              <w:rPr>
                <w:rFonts w:ascii="times new roman" w:hAnsi="times new roman"/>
                <w:sz w:val="24"/>
                <w:szCs w:val="24"/>
              </w:rPr>
              <w:t xml:space="preserve">, &amp; </w:t>
            </w:r>
            <w:r>
              <w:rPr>
                <w:rFonts w:ascii="times new roman" w:hAnsi="times new roman"/>
                <w:b/>
                <w:bCs/>
                <w:sz w:val="24"/>
                <w:szCs w:val="24"/>
              </w:rPr>
              <w:t>Páez, A.</w:t>
            </w:r>
            <w:r>
              <w:rPr>
                <w:rFonts w:ascii="times new roman" w:hAnsi="times new roman"/>
                <w:sz w:val="24"/>
                <w:szCs w:val="24"/>
              </w:rPr>
              <w:t xml:space="preserve"> (2020). Changes in trip-making frequency by mode during the COVID-19 emergency in Bangladesh. Findings. https://doi.org/10.32866/001c.17977</w:t>
            </w:r>
          </w:p>
        </w:tc>
      </w:tr>
      <w:tr xmlns:wp14="http://schemas.microsoft.com/office/word/2010/wordml" w14:paraId="218295AD" wp14:textId="77777777">
        <w:trPr>
          <w:trHeight w:val="300" w:hRule="atLeast"/>
        </w:trPr>
        <w:tc>
          <w:tcPr>
            <w:tcW w:w="816" w:type="dxa"/>
            <w:tcBorders/>
            <w:vAlign w:val="center"/>
          </w:tcPr>
          <w:p w14:paraId="1BD30B0D"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1CF72417" wp14:textId="77777777">
            <w:pPr>
              <w:pStyle w:val="ListParagraph"/>
              <w:numPr>
                <w:ilvl w:val="0"/>
                <w:numId w:val="3"/>
              </w:numPr>
              <w:spacing w:line="240" w:lineRule="auto"/>
              <w:ind w:left="360" w:hanging="360"/>
              <w:jc w:val="left"/>
              <w:rPr>
                <w:rFonts w:ascii="times new roman" w:hAnsi="times new roman"/>
                <w:sz w:val="24"/>
                <w:szCs w:val="24"/>
              </w:rPr>
            </w:pPr>
            <w:r>
              <w:rPr>
                <w:rFonts w:ascii="times new roman" w:hAnsi="times new roman" w:eastAsia="Times New Roman" w:cs="Times New Roman"/>
                <w:color w:val="000000" w:themeColor="text1"/>
                <w:sz w:val="24"/>
                <w:szCs w:val="24"/>
              </w:rPr>
              <w:t>Jamal, S.</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color w:val="000000" w:themeColor="text1"/>
                <w:sz w:val="24"/>
                <w:szCs w:val="24"/>
              </w:rPr>
              <w:t xml:space="preserve">, Mohiuddin, H., &amp; </w:t>
            </w:r>
            <w:r>
              <w:rPr>
                <w:rFonts w:ascii="times new roman" w:hAnsi="times new roman" w:eastAsia="Times New Roman" w:cs="Times New Roman"/>
                <w:b/>
                <w:bCs/>
                <w:color w:val="000000" w:themeColor="text1"/>
                <w:sz w:val="24"/>
                <w:szCs w:val="24"/>
              </w:rPr>
              <w:t>Páez, A.</w:t>
            </w:r>
            <w:r>
              <w:rPr>
                <w:rFonts w:ascii="times new roman" w:hAnsi="times new roman" w:eastAsia="Times New Roman" w:cs="Times New Roman"/>
                <w:color w:val="000000" w:themeColor="text1"/>
                <w:sz w:val="24"/>
                <w:szCs w:val="24"/>
              </w:rPr>
              <w:t xml:space="preserve"> (2020). How do the perceptions of neighborhood conditions impact active transportation? A study in Rajshahi, Bangladesh. Transportation Research Part D</w:t>
            </w:r>
            <w:r>
              <w:rPr>
                <w:rFonts w:ascii="times new roman" w:hAnsi="times new roman"/>
                <w:sz w:val="24"/>
                <w:szCs w:val="24"/>
              </w:rPr>
              <w:noBreakHyphen/>
            </w:r>
            <w:r>
              <w:rPr>
                <w:rFonts w:ascii="times new roman" w:hAnsi="times new roman" w:eastAsia="Times New Roman" w:cs="Times New Roman"/>
                <w:color w:val="000000" w:themeColor="text1"/>
                <w:sz w:val="24"/>
                <w:szCs w:val="24"/>
              </w:rPr>
              <w:t xml:space="preserve">Transport and Environment, 87. </w:t>
            </w:r>
            <w:r>
              <w:rPr>
                <w:rFonts w:ascii="times new roman" w:hAnsi="times new roman"/>
                <w:sz w:val="24"/>
                <w:szCs w:val="24"/>
              </w:rPr>
              <w:t>https://doi.org/10.1016/j.trd.2020.102525</w:t>
            </w:r>
          </w:p>
        </w:tc>
      </w:tr>
    </w:tbl>
    <w:p xmlns:wp14="http://schemas.microsoft.com/office/word/2010/wordml" w14:paraId="7AC419E2" wp14:textId="77777777">
      <w:pPr>
        <w:pStyle w:val="Heading1"/>
        <w:rPr>
          <w:rFonts w:ascii="times new roman" w:hAnsi="times new roman"/>
          <w:sz w:val="24"/>
          <w:szCs w:val="24"/>
        </w:rPr>
      </w:pPr>
      <w:r>
        <w:rPr>
          <w:rFonts w:ascii="times new roman" w:hAnsi="times new roman"/>
          <w:sz w:val="24"/>
          <w:szCs w:val="24"/>
        </w:rPr>
        <w:t>Forthcoming contributions JOURNAL ARTICLES (*: SSHRC supported; +: Student author)</w:t>
      </w:r>
    </w:p>
    <w:tbl>
      <w:tblPr>
        <w:tblW w:w="1008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816"/>
        <w:gridCol w:w="9263"/>
      </w:tblGrid>
      <w:tr xmlns:wp14="http://schemas.microsoft.com/office/word/2010/wordml" w14:paraId="3A89FE6F" wp14:textId="77777777">
        <w:trPr>
          <w:trHeight w:val="300" w:hRule="atLeast"/>
        </w:trPr>
        <w:tc>
          <w:tcPr>
            <w:tcW w:w="816" w:type="dxa"/>
            <w:tcBorders/>
            <w:vAlign w:val="center"/>
          </w:tcPr>
          <w:p w14:paraId="1D52A6F5"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8B4C7E6" wp14:textId="77777777">
            <w:pPr>
              <w:pStyle w:val="ListParagraph"/>
              <w:numPr>
                <w:ilvl w:val="0"/>
                <w:numId w:val="4"/>
              </w:numPr>
              <w:spacing w:line="240" w:lineRule="auto"/>
              <w:ind w:left="360" w:hanging="360"/>
              <w:jc w:val="left"/>
              <w:rPr/>
            </w:pPr>
            <w:r>
              <w:rPr>
                <w:rFonts w:ascii="times new roman" w:hAnsi="times new roman"/>
                <w:sz w:val="24"/>
                <w:szCs w:val="24"/>
              </w:rPr>
              <w:t>Soukhov, A.</w:t>
            </w:r>
            <w:r>
              <w:rPr>
                <w:rFonts w:ascii="times new roman" w:hAnsi="times new roman"/>
                <w:b/>
                <w:bCs/>
                <w:sz w:val="24"/>
                <w:szCs w:val="24"/>
              </w:rPr>
              <w:t xml:space="preserve"> (+)</w:t>
            </w:r>
            <w:r>
              <w:rPr>
                <w:rFonts w:ascii="times new roman" w:hAnsi="times new roman"/>
                <w:sz w:val="24"/>
                <w:szCs w:val="24"/>
              </w:rPr>
              <w:t>, Tiznado</w:t>
            </w:r>
            <w:r>
              <w:rPr>
                <w:rFonts w:ascii="times new roman" w:hAnsi="times new roman"/>
                <w:sz w:val="24"/>
                <w:szCs w:val="24"/>
              </w:rPr>
              <w:noBreakHyphen/>
            </w:r>
            <w:r>
              <w:rPr>
                <w:rFonts w:ascii="times new roman" w:hAnsi="times new roman"/>
                <w:sz w:val="24"/>
                <w:szCs w:val="24"/>
              </w:rPr>
              <w:t xml:space="preserve">Aitken, I., Palm, M., Farber, S., &amp; </w:t>
            </w:r>
            <w:r>
              <w:rPr>
                <w:rFonts w:ascii="times new roman" w:hAnsi="times new roman"/>
                <w:b/>
                <w:bCs/>
                <w:sz w:val="24"/>
                <w:szCs w:val="24"/>
              </w:rPr>
              <w:t>Paez, A.</w:t>
            </w:r>
            <w:r>
              <w:rPr>
                <w:rFonts w:ascii="times new roman" w:hAnsi="times new roman"/>
                <w:sz w:val="24"/>
                <w:szCs w:val="24"/>
              </w:rPr>
              <w:t xml:space="preserve"> (2025). Standards of fairness in the transportation literature. Transportation. </w:t>
            </w:r>
            <w:hyperlink r:id="rId6">
              <w:r>
                <w:rPr>
                  <w:rStyle w:val="ListLabel1"/>
                  <w:rFonts w:ascii="times new roman" w:hAnsi="times new roman"/>
                  <w:sz w:val="24"/>
                  <w:szCs w:val="24"/>
                </w:rPr>
                <w:t>https://doi.org/10.1007/s11116-025-10693-8</w:t>
              </w:r>
            </w:hyperlink>
            <w:r>
              <w:rPr>
                <w:rFonts w:ascii="times new roman" w:hAnsi="times new roman"/>
                <w:sz w:val="24"/>
                <w:szCs w:val="24"/>
              </w:rPr>
              <w:t xml:space="preserve"> (in press)</w:t>
            </w:r>
          </w:p>
        </w:tc>
      </w:tr>
      <w:tr xmlns:wp14="http://schemas.microsoft.com/office/word/2010/wordml" w14:paraId="3A28143D" wp14:textId="77777777">
        <w:trPr>
          <w:trHeight w:val="300" w:hRule="atLeast"/>
        </w:trPr>
        <w:tc>
          <w:tcPr>
            <w:tcW w:w="816" w:type="dxa"/>
            <w:tcBorders/>
            <w:vAlign w:val="center"/>
          </w:tcPr>
          <w:p w14:paraId="76F18270"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3B5088E" wp14:textId="77777777">
            <w:pPr>
              <w:pStyle w:val="ListParagraph"/>
              <w:numPr>
                <w:ilvl w:val="0"/>
                <w:numId w:val="4"/>
              </w:numPr>
              <w:spacing w:line="240" w:lineRule="auto"/>
              <w:ind w:left="360" w:hanging="360"/>
              <w:jc w:val="left"/>
              <w:rPr>
                <w:rFonts w:ascii="times new roman" w:hAnsi="times new roman"/>
                <w:sz w:val="24"/>
                <w:szCs w:val="24"/>
              </w:rPr>
            </w:pPr>
            <w:r>
              <w:rPr>
                <w:rFonts w:ascii="times new roman" w:hAnsi="times new roman"/>
                <w:sz w:val="24"/>
                <w:szCs w:val="24"/>
              </w:rPr>
              <w:t>Soukhov, A.</w:t>
            </w:r>
            <w:r>
              <w:rPr>
                <w:rFonts w:ascii="times new roman" w:hAnsi="times new roman"/>
                <w:b/>
                <w:bCs/>
                <w:sz w:val="24"/>
                <w:szCs w:val="24"/>
              </w:rPr>
              <w:t xml:space="preserve"> (+)</w:t>
            </w:r>
            <w:r>
              <w:rPr>
                <w:rFonts w:ascii="times new roman" w:hAnsi="times new roman"/>
                <w:sz w:val="24"/>
                <w:szCs w:val="24"/>
              </w:rPr>
              <w:t xml:space="preserve">, Higgins, C. D., Mohamed, M., &amp; </w:t>
            </w:r>
            <w:r>
              <w:rPr>
                <w:rFonts w:ascii="times new roman" w:hAnsi="times new roman"/>
                <w:b/>
                <w:bCs/>
                <w:sz w:val="24"/>
                <w:szCs w:val="24"/>
              </w:rPr>
              <w:t>Páez, A.</w:t>
            </w:r>
            <w:r>
              <w:rPr>
                <w:rFonts w:ascii="times new roman" w:hAnsi="times new roman"/>
                <w:sz w:val="24"/>
                <w:szCs w:val="24"/>
              </w:rPr>
              <w:t xml:space="preserve"> (2025). Ten years of school closures and consolidations in Hamilton, Canada and the impact on multimodal accessibility. Spatial Networks and Economics. https://doi.org/10.1007/s11067-025-09677-z (in press)</w:t>
            </w:r>
          </w:p>
        </w:tc>
      </w:tr>
      <w:tr xmlns:wp14="http://schemas.microsoft.com/office/word/2010/wordml" w14:paraId="2CC101F9" wp14:textId="77777777">
        <w:trPr>
          <w:trHeight w:val="300" w:hRule="atLeast"/>
        </w:trPr>
        <w:tc>
          <w:tcPr>
            <w:tcW w:w="816" w:type="dxa"/>
            <w:tcBorders/>
            <w:vAlign w:val="center"/>
          </w:tcPr>
          <w:p w14:paraId="6942D066"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82DB7D2" wp14:textId="77777777">
            <w:pPr>
              <w:pStyle w:val="ListParagraph"/>
              <w:numPr>
                <w:ilvl w:val="0"/>
                <w:numId w:val="4"/>
              </w:numPr>
              <w:spacing w:line="240" w:lineRule="auto"/>
              <w:ind w:left="360" w:hanging="360"/>
              <w:jc w:val="left"/>
              <w:rPr>
                <w:rFonts w:ascii="times new roman" w:hAnsi="times new roman"/>
                <w:sz w:val="24"/>
                <w:szCs w:val="24"/>
              </w:rPr>
            </w:pPr>
            <w:r>
              <w:rPr>
                <w:rFonts w:ascii="times new roman" w:hAnsi="times new roman"/>
                <w:sz w:val="24"/>
                <w:szCs w:val="24"/>
              </w:rPr>
              <w:t>Dos Santos, B.D.</w:t>
            </w:r>
            <w:r>
              <w:rPr>
                <w:rFonts w:ascii="times new roman" w:hAnsi="times new roman"/>
                <w:b/>
                <w:bCs/>
                <w:sz w:val="24"/>
                <w:szCs w:val="24"/>
              </w:rPr>
              <w:t xml:space="preserve"> (+)</w:t>
            </w:r>
            <w:r>
              <w:rPr>
                <w:rFonts w:ascii="times new roman" w:hAnsi="times new roman"/>
                <w:sz w:val="24"/>
                <w:szCs w:val="24"/>
              </w:rPr>
              <w:t xml:space="preserve">, Hansen, T., &amp; </w:t>
            </w:r>
            <w:r>
              <w:rPr>
                <w:rFonts w:ascii="times new roman" w:hAnsi="times new roman"/>
                <w:b/>
                <w:bCs/>
                <w:sz w:val="24"/>
                <w:szCs w:val="24"/>
              </w:rPr>
              <w:t>Páez, A.</w:t>
            </w:r>
            <w:r>
              <w:rPr>
                <w:rFonts w:ascii="times new roman" w:hAnsi="times new roman"/>
                <w:sz w:val="24"/>
                <w:szCs w:val="24"/>
              </w:rPr>
              <w:t xml:space="preserve"> (2026). Transportation and dignity: A scoping review and theoretical framework. Transport Reviews (revised and submitted)</w:t>
            </w:r>
          </w:p>
        </w:tc>
      </w:tr>
      <w:tr xmlns:wp14="http://schemas.microsoft.com/office/word/2010/wordml" w14:paraId="4D114C29" wp14:textId="77777777">
        <w:trPr>
          <w:trHeight w:val="300" w:hRule="atLeast"/>
        </w:trPr>
        <w:tc>
          <w:tcPr>
            <w:tcW w:w="816" w:type="dxa"/>
            <w:tcBorders/>
            <w:vAlign w:val="center"/>
          </w:tcPr>
          <w:p w14:paraId="69FE5E9C"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13E3B52" wp14:textId="77777777">
            <w:pPr>
              <w:pStyle w:val="ListParagraph"/>
              <w:numPr>
                <w:ilvl w:val="0"/>
                <w:numId w:val="4"/>
              </w:numPr>
              <w:spacing w:line="240" w:lineRule="auto"/>
              <w:ind w:left="360" w:hanging="360"/>
              <w:jc w:val="left"/>
              <w:rPr>
                <w:rFonts w:ascii="times new roman" w:hAnsi="times new roman"/>
                <w:sz w:val="24"/>
                <w:szCs w:val="24"/>
              </w:rPr>
            </w:pPr>
            <w:r>
              <w:rPr>
                <w:rFonts w:ascii="times new roman" w:hAnsi="times new roman"/>
                <w:sz w:val="24"/>
                <w:szCs w:val="24"/>
              </w:rPr>
              <w:t xml:space="preserve">Jamal, S., &amp; </w:t>
            </w:r>
            <w:r>
              <w:rPr>
                <w:rFonts w:ascii="times new roman" w:hAnsi="times new roman"/>
                <w:b/>
                <w:bCs/>
                <w:sz w:val="24"/>
                <w:szCs w:val="24"/>
              </w:rPr>
              <w:t>Páez, A.</w:t>
            </w:r>
            <w:r>
              <w:rPr>
                <w:rFonts w:ascii="times new roman" w:hAnsi="times new roman"/>
                <w:sz w:val="24"/>
                <w:szCs w:val="24"/>
              </w:rPr>
              <w:t xml:space="preserve"> (2026). Changes in walking frequency and its equity implications during the first wave of COVID</w:t>
            </w:r>
            <w:r>
              <w:rPr>
                <w:rFonts w:ascii="times new roman" w:hAnsi="times new roman"/>
                <w:sz w:val="24"/>
                <w:szCs w:val="24"/>
              </w:rPr>
              <w:noBreakHyphen/>
            </w:r>
            <w:r>
              <w:rPr>
                <w:rFonts w:ascii="times new roman" w:hAnsi="times new roman"/>
                <w:sz w:val="24"/>
                <w:szCs w:val="24"/>
              </w:rPr>
              <w:t>19 in Bangladesh. Journal of Transport &amp; Health (revised and submitted)</w:t>
            </w:r>
          </w:p>
        </w:tc>
      </w:tr>
      <w:tr xmlns:wp14="http://schemas.microsoft.com/office/word/2010/wordml" w14:paraId="61DF86F3" wp14:textId="77777777">
        <w:trPr>
          <w:trHeight w:val="300" w:hRule="atLeast"/>
        </w:trPr>
        <w:tc>
          <w:tcPr>
            <w:tcW w:w="816" w:type="dxa"/>
            <w:tcBorders/>
            <w:vAlign w:val="center"/>
          </w:tcPr>
          <w:p w14:paraId="54107F82" wp14:textId="77777777">
            <w:pPr>
              <w:pStyle w:val="Normal"/>
              <w:spacing w:line="240" w:lineRule="auto"/>
              <w:ind w:hanging="0"/>
              <w:jc w:val="left"/>
              <w:rPr>
                <w:rFonts w:ascii="times new roman" w:hAnsi="times new roman"/>
                <w:sz w:val="24"/>
                <w:szCs w:val="24"/>
              </w:rPr>
            </w:pPr>
            <w:r>
              <w:rPr>
                <w:rFonts w:ascii="times new roman" w:hAnsi="times new roman"/>
                <w:sz w:val="24"/>
                <w:szCs w:val="24"/>
              </w:rPr>
              <w:t>*</w:t>
            </w:r>
          </w:p>
        </w:tc>
        <w:tc>
          <w:tcPr>
            <w:tcW w:w="9263" w:type="dxa"/>
            <w:tcBorders/>
            <w:vAlign w:val="center"/>
          </w:tcPr>
          <w:p w14:paraId="5BC1CE33" wp14:textId="77777777">
            <w:pPr>
              <w:pStyle w:val="ListParagraph"/>
              <w:numPr>
                <w:ilvl w:val="0"/>
                <w:numId w:val="4"/>
              </w:numPr>
              <w:spacing w:line="240" w:lineRule="auto"/>
              <w:ind w:left="360" w:hanging="360"/>
              <w:jc w:val="left"/>
              <w:rPr>
                <w:rFonts w:ascii="times new roman" w:hAnsi="times new roman"/>
                <w:sz w:val="24"/>
                <w:szCs w:val="24"/>
              </w:rPr>
            </w:pPr>
            <w:r>
              <w:rPr>
                <w:rFonts w:ascii="times new roman" w:hAnsi="times new roman"/>
                <w:sz w:val="24"/>
                <w:szCs w:val="24"/>
                <w:lang w:val="en-US"/>
              </w:rPr>
              <w:t xml:space="preserve">Dos Santos, B.D. </w:t>
            </w:r>
            <w:r>
              <w:rPr>
                <w:rFonts w:ascii="times new roman" w:hAnsi="times new roman"/>
                <w:b/>
                <w:bCs/>
                <w:sz w:val="24"/>
                <w:szCs w:val="24"/>
                <w:lang w:val="en-US"/>
              </w:rPr>
              <w:t>(+)</w:t>
            </w:r>
            <w:r>
              <w:rPr>
                <w:rFonts w:ascii="times new roman" w:hAnsi="times new roman"/>
                <w:sz w:val="24"/>
                <w:szCs w:val="24"/>
                <w:lang w:val="en-US"/>
              </w:rPr>
              <w:t xml:space="preserve">, Soukhov, A., &amp; </w:t>
            </w:r>
            <w:r>
              <w:rPr>
                <w:rFonts w:ascii="times new roman" w:hAnsi="times new roman"/>
                <w:b/>
                <w:bCs/>
                <w:sz w:val="24"/>
                <w:szCs w:val="24"/>
                <w:lang w:val="en-US"/>
              </w:rPr>
              <w:t>Páez, A.</w:t>
            </w:r>
            <w:r>
              <w:rPr>
                <w:rFonts w:ascii="times new roman" w:hAnsi="times new roman"/>
                <w:sz w:val="24"/>
                <w:szCs w:val="24"/>
                <w:lang w:val="en-US"/>
              </w:rPr>
              <w:t xml:space="preserve"> (2026) Equity Standards for transport policy: using objective accessibility, perceived accessibility and employment outcomes to set thresholds for equity planning. Transportation Research Part A: Policy and Practice (submitted)</w:t>
            </w:r>
          </w:p>
        </w:tc>
      </w:tr>
    </w:tbl>
    <w:p xmlns:wp14="http://schemas.microsoft.com/office/word/2010/wordml" w14:paraId="3F2D34FE" wp14:textId="77777777">
      <w:pPr>
        <w:pStyle w:val="Heading1"/>
        <w:rPr>
          <w:rFonts w:ascii="times new roman" w:hAnsi="times new roman"/>
          <w:sz w:val="24"/>
          <w:szCs w:val="24"/>
        </w:rPr>
      </w:pPr>
      <w:r>
        <w:rPr>
          <w:rFonts w:ascii="times new roman" w:hAnsi="times new roman"/>
          <w:sz w:val="24"/>
          <w:szCs w:val="24"/>
        </w:rPr>
        <w:t>Other research contributions (2020-2026)</w:t>
      </w:r>
    </w:p>
    <w:p xmlns:wp14="http://schemas.microsoft.com/office/word/2010/wordml" w14:paraId="19C05593" wp14:textId="77777777">
      <w:pPr>
        <w:pStyle w:val="ListParagraph"/>
        <w:numPr>
          <w:ilvl w:val="0"/>
          <w:numId w:val="2"/>
        </w:numPr>
        <w:ind w:left="360" w:hanging="360"/>
        <w:rPr>
          <w:rFonts w:ascii="times new roman" w:hAnsi="times new roman"/>
          <w:sz w:val="24"/>
          <w:szCs w:val="24"/>
        </w:rPr>
      </w:pPr>
      <w:r>
        <w:rPr>
          <w:rFonts w:ascii="times new roman" w:hAnsi="times new roman"/>
          <w:sz w:val="24"/>
          <w:szCs w:val="24"/>
        </w:rPr>
        <w:t>Between 2020-2026 I co-authored two reports (for Mobilizing Justice) and two book chapters.</w:t>
      </w:r>
    </w:p>
    <w:p xmlns:wp14="http://schemas.microsoft.com/office/word/2010/wordml" w14:paraId="10A531B4" wp14:textId="77777777">
      <w:pPr>
        <w:pStyle w:val="ListParagraph"/>
        <w:numPr>
          <w:ilvl w:val="0"/>
          <w:numId w:val="2"/>
        </w:numPr>
        <w:ind w:left="360" w:hanging="360"/>
        <w:rPr>
          <w:rFonts w:ascii="times new roman" w:hAnsi="times new roman"/>
          <w:sz w:val="24"/>
          <w:szCs w:val="24"/>
        </w:rPr>
      </w:pPr>
      <w:r>
        <w:rPr>
          <w:rFonts w:ascii="times new roman" w:hAnsi="times new roman"/>
          <w:sz w:val="24"/>
          <w:szCs w:val="24"/>
        </w:rPr>
        <w:t>Editor-in-Chief, Journal of Geographical Systems.</w:t>
      </w:r>
    </w:p>
    <w:p xmlns:wp14="http://schemas.microsoft.com/office/word/2010/wordml" w14:paraId="78D974C5" wp14:textId="77777777">
      <w:pPr>
        <w:pStyle w:val="ListParagraph"/>
        <w:numPr>
          <w:ilvl w:val="0"/>
          <w:numId w:val="2"/>
        </w:numPr>
        <w:ind w:left="360" w:hanging="360"/>
        <w:rPr>
          <w:rFonts w:ascii="times new roman" w:hAnsi="times new roman"/>
          <w:sz w:val="24"/>
          <w:szCs w:val="24"/>
        </w:rPr>
      </w:pPr>
      <w:r>
        <w:rPr>
          <w:rFonts w:ascii="times new roman" w:hAnsi="times new roman"/>
          <w:sz w:val="24"/>
          <w:szCs w:val="24"/>
        </w:rPr>
        <w:t>Editorial Board Member (Annals of the Association of American Geographers; Economic and Business Letters; Geographical Analysis; International Journal of Geographical Information Science; Papers in Regional Science; Transportation).</w:t>
      </w:r>
    </w:p>
    <w:p xmlns:wp14="http://schemas.microsoft.com/office/word/2010/wordml" w14:paraId="37823E08" wp14:textId="77777777">
      <w:pPr>
        <w:pStyle w:val="ListParagraph"/>
        <w:numPr>
          <w:ilvl w:val="0"/>
          <w:numId w:val="2"/>
        </w:numPr>
        <w:ind w:left="360" w:hanging="360"/>
        <w:rPr>
          <w:rFonts w:ascii="times new roman" w:hAnsi="times new roman"/>
          <w:sz w:val="24"/>
          <w:szCs w:val="24"/>
        </w:rPr>
      </w:pPr>
      <w:r>
        <w:rPr>
          <w:rFonts w:ascii="times new roman" w:hAnsi="times new roman"/>
          <w:sz w:val="24"/>
          <w:szCs w:val="24"/>
        </w:rPr>
        <w:t>36 invited talks (17: Canada, 6: Spain, 4: Brazil, 3: USA, 2: Australia, 2: UK, 1: Italy, 1: Portugal).</w:t>
      </w:r>
    </w:p>
    <w:p xmlns:wp14="http://schemas.microsoft.com/office/word/2010/wordml" w14:paraId="66355458" wp14:textId="77777777">
      <w:pPr>
        <w:pStyle w:val="Heading1"/>
        <w:rPr>
          <w:rFonts w:ascii="times new roman" w:hAnsi="times new roman"/>
          <w:sz w:val="24"/>
          <w:szCs w:val="24"/>
        </w:rPr>
      </w:pPr>
      <w:r>
        <w:rPr>
          <w:rFonts w:ascii="times new roman" w:hAnsi="times new roman"/>
          <w:sz w:val="24"/>
          <w:szCs w:val="24"/>
        </w:rPr>
        <w:t>Most significant career research contributions</w:t>
      </w:r>
    </w:p>
    <w:p xmlns:wp14="http://schemas.microsoft.com/office/word/2010/wordml" w14:paraId="48926A00" wp14:textId="77777777">
      <w:pPr>
        <w:pStyle w:val="Normal"/>
        <w:rPr>
          <w:rFonts w:ascii="times new roman" w:hAnsi="times new roman"/>
          <w:sz w:val="24"/>
          <w:szCs w:val="24"/>
        </w:rPr>
      </w:pPr>
      <w:r>
        <w:rPr>
          <w:rFonts w:ascii="times new roman" w:hAnsi="times new roman"/>
          <w:sz w:val="24"/>
          <w:szCs w:val="24"/>
          <w:lang w:val="en-US"/>
        </w:rPr>
        <w:t>A total of 177 publications in my record are indexed in Scopus. These publications have been cited 8,473 times (as of September 23, 2026). The average number of citations per indexed publication is 47.87, and the h-index is 50 (50 publications have been cited 50 times or more). Most significant career contributions are:</w:t>
      </w:r>
    </w:p>
    <w:p xmlns:wp14="http://schemas.microsoft.com/office/word/2010/wordml" w14:paraId="7AA6C850" wp14:textId="77777777">
      <w:pPr>
        <w:pStyle w:val="ListParagraph"/>
        <w:numPr>
          <w:ilvl w:val="0"/>
          <w:numId w:val="1"/>
        </w:numPr>
        <w:ind w:left="360" w:hanging="360"/>
        <w:jc w:val="left"/>
        <w:rPr>
          <w:rFonts w:ascii="times new roman" w:hAnsi="times new roman"/>
          <w:sz w:val="24"/>
          <w:szCs w:val="24"/>
        </w:rPr>
      </w:pPr>
      <w:r>
        <w:rPr>
          <w:rFonts w:ascii="times new roman" w:hAnsi="times new roman"/>
          <w:b/>
          <w:bCs/>
          <w:sz w:val="24"/>
          <w:szCs w:val="24"/>
          <w:lang w:val="en-US"/>
        </w:rPr>
        <w:t>Páez A,</w:t>
      </w:r>
      <w:r>
        <w:rPr>
          <w:rFonts w:ascii="times new roman" w:hAnsi="times new roman"/>
          <w:sz w:val="24"/>
          <w:szCs w:val="24"/>
          <w:lang w:val="en-US"/>
        </w:rPr>
        <w:t xml:space="preserve"> Scott DM, Morency C (2012). Measuring accessibility: positive and normative implementations of various accessibility indicators, Journal of Transport Geography, 25 141-153. 141–153. https://doi.org/10.1016/j.jtrangeo.2012.03.016 (</w:t>
      </w:r>
      <w:r>
        <w:rPr>
          <w:rFonts w:ascii="times new roman" w:hAnsi="times new roman"/>
          <w:b/>
          <w:bCs/>
          <w:sz w:val="24"/>
          <w:szCs w:val="24"/>
          <w:lang w:val="en-US"/>
        </w:rPr>
        <w:t>656 citations</w:t>
      </w:r>
      <w:r>
        <w:rPr>
          <w:rFonts w:ascii="times new roman" w:hAnsi="times new roman"/>
          <w:sz w:val="24"/>
          <w:szCs w:val="24"/>
          <w:lang w:val="en-US"/>
        </w:rPr>
        <w:t>). This research was key to distinguishing between behavioral processes and policy aims in accessibility analysis. A key finding was the identification of critical issues in the way accessibility measures are interpreted depending on their implementation. By providing concrete guidance for interpretation, this paper has become a key reference in accessibility research and has been cited in the fields of transportation, geography, economics, environmental studies, civil engineering, urban studies, and operations research.</w:t>
      </w:r>
    </w:p>
    <w:p xmlns:wp14="http://schemas.microsoft.com/office/word/2010/wordml" w14:paraId="3C725C34" wp14:textId="77777777">
      <w:pPr>
        <w:pStyle w:val="ListParagraph"/>
        <w:numPr>
          <w:ilvl w:val="0"/>
          <w:numId w:val="1"/>
        </w:numPr>
        <w:ind w:left="360" w:hanging="360"/>
        <w:jc w:val="left"/>
        <w:rPr>
          <w:rFonts w:ascii="times new roman" w:hAnsi="times new roman"/>
          <w:sz w:val="24"/>
          <w:szCs w:val="24"/>
        </w:rPr>
      </w:pPr>
      <w:r>
        <w:rPr>
          <w:rFonts w:ascii="times new roman" w:hAnsi="times new roman"/>
          <w:b/>
          <w:bCs/>
          <w:sz w:val="24"/>
          <w:szCs w:val="24"/>
          <w:lang w:val="en-US"/>
        </w:rPr>
        <w:t>Páez, A.</w:t>
      </w:r>
      <w:r>
        <w:rPr>
          <w:rFonts w:ascii="times new roman" w:hAnsi="times new roman"/>
          <w:sz w:val="24"/>
          <w:szCs w:val="24"/>
          <w:lang w:val="en-US"/>
        </w:rPr>
        <w:t>, &amp; Whalen, K. (+) (2010). Enjoyment of commute: A comparison of different transportation modes. Transportation Research Part A</w:t>
      </w:r>
      <w:r>
        <w:rPr>
          <w:rFonts w:ascii="times new roman" w:hAnsi="times new roman"/>
          <w:sz w:val="24"/>
          <w:szCs w:val="24"/>
        </w:rPr>
        <w:noBreakHyphen/>
      </w:r>
      <w:r>
        <w:rPr>
          <w:rFonts w:ascii="times new roman" w:hAnsi="times new roman"/>
          <w:sz w:val="24"/>
          <w:szCs w:val="24"/>
          <w:lang w:val="en-US"/>
        </w:rPr>
        <w:t>Policy and Practice, 44(7), 537–549. https://doi.org/10.1016/j.tra.2010.04.003 (</w:t>
      </w:r>
      <w:r>
        <w:rPr>
          <w:rFonts w:ascii="times new roman" w:hAnsi="times new roman"/>
          <w:b/>
          <w:bCs/>
          <w:sz w:val="24"/>
          <w:szCs w:val="24"/>
          <w:lang w:val="en-US"/>
        </w:rPr>
        <w:t>273 citations</w:t>
      </w:r>
      <w:r>
        <w:rPr>
          <w:rFonts w:ascii="times new roman" w:hAnsi="times new roman"/>
          <w:sz w:val="24"/>
          <w:szCs w:val="24"/>
          <w:lang w:val="en-US"/>
        </w:rPr>
        <w:t>). This paper provided evidence of the intrinsic utility of active travel and challenged the conventional wisdom that travel time is always a disutility, with important implications for policy. Kate Whale was a Master student when this paper was written. It has become a valued reference for research in the fields of transportation, geography, business economics, public administration, and engineering.</w:t>
      </w:r>
    </w:p>
    <w:p xmlns:wp14="http://schemas.microsoft.com/office/word/2010/wordml" w14:paraId="6FA2C277" wp14:textId="77777777">
      <w:pPr>
        <w:pStyle w:val="ListParagraph"/>
        <w:numPr>
          <w:ilvl w:val="0"/>
          <w:numId w:val="1"/>
        </w:numPr>
        <w:ind w:left="360" w:hanging="360"/>
        <w:jc w:val="left"/>
        <w:rPr>
          <w:rFonts w:ascii="times new roman" w:hAnsi="times new roman"/>
          <w:sz w:val="24"/>
          <w:szCs w:val="24"/>
        </w:rPr>
      </w:pPr>
      <w:r>
        <w:rPr>
          <w:rFonts w:ascii="times new roman" w:hAnsi="times new roman"/>
          <w:b/>
          <w:bCs/>
          <w:sz w:val="24"/>
          <w:szCs w:val="24"/>
          <w:lang w:val="en-US"/>
        </w:rPr>
        <w:t>Páez A</w:t>
      </w:r>
      <w:r>
        <w:rPr>
          <w:rFonts w:ascii="times new roman" w:hAnsi="times new roman"/>
          <w:sz w:val="24"/>
          <w:szCs w:val="24"/>
          <w:lang w:val="en-US"/>
        </w:rPr>
        <w:t xml:space="preserve">, Mercado RG </w:t>
      </w:r>
      <w:r>
        <w:rPr>
          <w:rFonts w:ascii="times new roman" w:hAnsi="times new roman"/>
          <w:b/>
          <w:bCs/>
          <w:sz w:val="24"/>
          <w:szCs w:val="24"/>
          <w:lang w:val="en-US"/>
        </w:rPr>
        <w:t>(+)</w:t>
      </w:r>
      <w:r>
        <w:rPr>
          <w:rFonts w:ascii="times new roman" w:hAnsi="times new roman"/>
          <w:sz w:val="24"/>
          <w:szCs w:val="24"/>
          <w:lang w:val="en-US"/>
        </w:rPr>
        <w:t xml:space="preserve">, Farber S. </w:t>
      </w:r>
      <w:r>
        <w:rPr>
          <w:rFonts w:ascii="times new roman" w:hAnsi="times new roman"/>
          <w:b/>
          <w:bCs/>
          <w:sz w:val="24"/>
          <w:szCs w:val="24"/>
          <w:lang w:val="en-US"/>
        </w:rPr>
        <w:t>(+)</w:t>
      </w:r>
      <w:r>
        <w:rPr>
          <w:rFonts w:ascii="times new roman" w:hAnsi="times new roman"/>
          <w:sz w:val="24"/>
          <w:szCs w:val="24"/>
          <w:lang w:val="en-US"/>
        </w:rPr>
        <w:t>, Morency C, Roorda M (2010). Relative Accessibility Deprivation Indicators for Urban Settings: Definitions and Application to Food Deserts in Montreal, Urban Studies, 47 (7) 1415-1438. https://doi.org/10.1177/0042098009353626 (</w:t>
      </w:r>
      <w:r>
        <w:rPr>
          <w:rFonts w:ascii="times new roman" w:hAnsi="times new roman"/>
          <w:b/>
          <w:bCs/>
          <w:sz w:val="24"/>
          <w:szCs w:val="24"/>
          <w:lang w:val="en-US"/>
        </w:rPr>
        <w:t>234 citations</w:t>
      </w:r>
      <w:r>
        <w:rPr>
          <w:rFonts w:ascii="times new roman" w:hAnsi="times new roman"/>
          <w:sz w:val="24"/>
          <w:szCs w:val="24"/>
          <w:lang w:val="en-US"/>
        </w:rPr>
        <w:t>). The methods presented in this paper were an early attempt at obtaining benchmarks for equity analysis. They provided the tools to assess differences in accessibility from a selected baseline, similar to the way poverty lines are measured with respect to some judiciously selected “median household”. This paper has become an important resource for research in geography, transportation, economics, environmental studies, public health, and urban studies.</w:t>
      </w:r>
    </w:p>
    <w:p xmlns:wp14="http://schemas.microsoft.com/office/word/2010/wordml" w14:paraId="5E707402" wp14:textId="77777777">
      <w:pPr>
        <w:pStyle w:val="ListParagraph"/>
        <w:numPr>
          <w:ilvl w:val="0"/>
          <w:numId w:val="1"/>
        </w:numPr>
        <w:ind w:left="360" w:hanging="360"/>
        <w:jc w:val="left"/>
        <w:rPr>
          <w:rFonts w:ascii="times new roman" w:hAnsi="times new roman"/>
          <w:sz w:val="24"/>
          <w:szCs w:val="24"/>
        </w:rPr>
      </w:pPr>
      <w:r>
        <w:rPr>
          <w:rFonts w:ascii="times new roman" w:hAnsi="times new roman"/>
          <w:sz w:val="24"/>
          <w:szCs w:val="24"/>
          <w:lang w:val="en-US"/>
        </w:rPr>
        <w:t>Reyes, M.</w:t>
      </w:r>
      <w:r>
        <w:rPr>
          <w:rFonts w:ascii="times new roman" w:hAnsi="times new roman"/>
          <w:b/>
          <w:bCs/>
          <w:sz w:val="24"/>
          <w:szCs w:val="24"/>
          <w:lang w:val="en-US"/>
        </w:rPr>
        <w:t>(+)</w:t>
      </w:r>
      <w:r>
        <w:rPr>
          <w:rFonts w:ascii="times new roman" w:hAnsi="times new roman"/>
          <w:sz w:val="24"/>
          <w:szCs w:val="24"/>
          <w:lang w:val="en-US"/>
        </w:rPr>
        <w:t xml:space="preserve">, </w:t>
      </w:r>
      <w:r>
        <w:rPr>
          <w:rFonts w:ascii="times new roman" w:hAnsi="times new roman"/>
          <w:b/>
          <w:bCs/>
          <w:sz w:val="24"/>
          <w:szCs w:val="24"/>
          <w:lang w:val="en-US"/>
        </w:rPr>
        <w:t>Páez, A.</w:t>
      </w:r>
      <w:r>
        <w:rPr>
          <w:rFonts w:ascii="times new roman" w:hAnsi="times new roman"/>
          <w:sz w:val="24"/>
          <w:szCs w:val="24"/>
          <w:lang w:val="en-US"/>
        </w:rPr>
        <w:t>, &amp; Morency, C. (2014). Walking accessibility to urban parks by children: A case study of Montreal. Landscape and Urban Planning, 125, 38–47. https://doi.org/10.1016/j.landurbplan.2014.02.002 (</w:t>
      </w:r>
      <w:r>
        <w:rPr>
          <w:rFonts w:ascii="times new roman" w:hAnsi="times new roman"/>
          <w:b/>
          <w:bCs/>
          <w:sz w:val="24"/>
          <w:szCs w:val="24"/>
          <w:lang w:val="en-US"/>
        </w:rPr>
        <w:t>196 citations</w:t>
      </w:r>
      <w:r>
        <w:rPr>
          <w:rFonts w:ascii="times new roman" w:hAnsi="times new roman"/>
          <w:sz w:val="24"/>
          <w:szCs w:val="24"/>
          <w:lang w:val="en-US"/>
        </w:rPr>
        <w:t>). This research was led by Mario Reyes as a Master student, and it was among the first papers to examine the provision of green spaces from the perspective of children. This paper has been cited in the fields of environmental sciences, economics, public health, geography, and public administration.</w:t>
      </w:r>
    </w:p>
    <w:p xmlns:wp14="http://schemas.microsoft.com/office/word/2010/wordml" w14:paraId="4E3DBB5C" wp14:textId="77777777">
      <w:pPr>
        <w:pStyle w:val="ListParagraph"/>
        <w:numPr>
          <w:ilvl w:val="0"/>
          <w:numId w:val="1"/>
        </w:numPr>
        <w:ind w:left="360" w:hanging="360"/>
        <w:jc w:val="left"/>
        <w:rPr>
          <w:rFonts w:ascii="times new roman" w:hAnsi="times new roman"/>
          <w:sz w:val="24"/>
          <w:szCs w:val="24"/>
        </w:rPr>
      </w:pPr>
      <w:r>
        <w:rPr>
          <w:rFonts w:ascii="times new roman" w:hAnsi="times new roman"/>
          <w:sz w:val="24"/>
          <w:szCs w:val="24"/>
          <w:lang w:val="en-US"/>
        </w:rPr>
        <w:t xml:space="preserve">Black J, </w:t>
      </w:r>
      <w:r>
        <w:rPr>
          <w:rFonts w:ascii="times new roman" w:hAnsi="times new roman"/>
          <w:b/>
          <w:bCs/>
          <w:sz w:val="24"/>
          <w:szCs w:val="24"/>
          <w:lang w:val="en-US"/>
        </w:rPr>
        <w:t>Páez A</w:t>
      </w:r>
      <w:r>
        <w:rPr>
          <w:rFonts w:ascii="times new roman" w:hAnsi="times new roman"/>
          <w:sz w:val="24"/>
          <w:szCs w:val="24"/>
          <w:lang w:val="en-US"/>
        </w:rPr>
        <w:t xml:space="preserve">, Suthanaya P, </w:t>
      </w:r>
      <w:r>
        <w:rPr>
          <w:rFonts w:ascii="times new roman" w:hAnsi="times new roman"/>
          <w:b/>
          <w:bCs/>
          <w:sz w:val="24"/>
          <w:szCs w:val="24"/>
          <w:lang w:val="en-US"/>
        </w:rPr>
        <w:t>(+)</w:t>
      </w:r>
      <w:r>
        <w:rPr>
          <w:rFonts w:ascii="times new roman" w:hAnsi="times new roman"/>
          <w:sz w:val="24"/>
          <w:szCs w:val="24"/>
          <w:lang w:val="en-US"/>
        </w:rPr>
        <w:t xml:space="preserve"> (2002), Sustainable Urban Transportation: Performance Indicators and Some Analytical Approaches, ASCE Journal of Urban Planning and Development, 128 (4) 184-209 (</w:t>
      </w:r>
      <w:r>
        <w:rPr>
          <w:rFonts w:ascii="times new roman" w:hAnsi="times new roman"/>
          <w:b/>
          <w:bCs/>
          <w:sz w:val="24"/>
          <w:szCs w:val="24"/>
          <w:lang w:val="en-US"/>
        </w:rPr>
        <w:t>195 citations</w:t>
      </w:r>
      <w:r>
        <w:rPr>
          <w:rFonts w:ascii="times new roman" w:hAnsi="times new roman"/>
          <w:sz w:val="24"/>
          <w:szCs w:val="24"/>
          <w:lang w:val="en-US"/>
        </w:rPr>
        <w:t>). Sustainability has long been an interest of mine, particularly the social pillar of sustainability. This collaboration with John Black and Putu Suthanaya has been influential in civil engineering, transportation, urban studies, economics, and environmental science.</w:t>
      </w:r>
    </w:p>
    <w:p xmlns:wp14="http://schemas.microsoft.com/office/word/2010/wordml" w14:paraId="1EFF026A" wp14:textId="77777777">
      <w:pPr>
        <w:pStyle w:val="Heading1"/>
        <w:rPr>
          <w:rFonts w:ascii="times new roman" w:hAnsi="times new roman"/>
          <w:sz w:val="24"/>
          <w:szCs w:val="24"/>
        </w:rPr>
      </w:pPr>
      <w:r>
        <w:rPr>
          <w:rFonts w:ascii="times new roman" w:hAnsi="times new roman"/>
          <w:sz w:val="24"/>
          <w:szCs w:val="24"/>
        </w:rPr>
        <w:t>Contributions to training</w:t>
      </w:r>
    </w:p>
    <w:p xmlns:wp14="http://schemas.microsoft.com/office/word/2010/wordml" w14:paraId="3D56C8F9" wp14:textId="77777777">
      <w:pPr>
        <w:pStyle w:val="Normal"/>
        <w:rPr>
          <w:rFonts w:ascii="times new roman" w:hAnsi="times new roman"/>
          <w:sz w:val="24"/>
          <w:szCs w:val="24"/>
        </w:rPr>
      </w:pPr>
      <w:r>
        <w:rPr>
          <w:rFonts w:ascii="times new roman" w:hAnsi="times new roman"/>
          <w:sz w:val="24"/>
          <w:szCs w:val="24"/>
          <w:lang w:val="en-US"/>
        </w:rPr>
        <w:t xml:space="preserve">Since 2020, I have supervised 8 senior undergraduate students in the programs of Engineering and Society (3), Geography (2), Life Sciences (2), and Economics (1). All these students completed a capstone project or thesis. I supervised 4 master’s students (3 in Geography, 1 in Public Health) and cosupervised 3 master students (2 in Geography and 1 in eHealth). I supervised 2 doctoral students (both in Geography, including a recipient of a Canada Graduate Scholarship award) and cosupervised 1 doctoral student in Civil Engineering. I currently supervise two master’s students in Geography and two doctoral students in Geography (including 1 Vanier Scholar). One master student (Desjardins) was the winner of the Master’s Thesis Competition in Transport Geography by the American Association of Geographers (2021). One doctoral student (Soukhov) was the winner of the Doctoral Thesis Competition in Transport Geography by the Association of American Geographers (2025). Graduate students </w:t>
      </w:r>
      <w:r>
        <w:rPr>
          <w:rFonts w:ascii="times new roman" w:hAnsi="times new roman"/>
          <w:sz w:val="24"/>
          <w:szCs w:val="24"/>
          <w:lang w:val="en-US"/>
        </w:rPr>
        <w:t xml:space="preserve">working with me </w:t>
      </w:r>
      <w:r>
        <w:rPr>
          <w:rFonts w:ascii="times new roman" w:hAnsi="times new roman"/>
          <w:sz w:val="24"/>
          <w:szCs w:val="24"/>
          <w:lang w:val="en-US"/>
        </w:rPr>
        <w:t xml:space="preserve">always </w:t>
      </w:r>
      <w:r>
        <w:rPr>
          <w:rFonts w:ascii="times new roman" w:hAnsi="times new roman"/>
          <w:sz w:val="24"/>
          <w:szCs w:val="24"/>
          <w:lang w:val="en-US"/>
        </w:rPr>
        <w:t xml:space="preserve">are </w:t>
      </w:r>
      <w:r>
        <w:rPr>
          <w:rFonts w:ascii="times new roman" w:hAnsi="times new roman"/>
          <w:sz w:val="24"/>
          <w:szCs w:val="24"/>
          <w:lang w:val="en-US"/>
        </w:rPr>
        <w:t>offered opportunities to participate in research projects. Graduate students have participated in research leading to 37 out of a total of 54 peer-reviewed publications on record in the period since 2020, and their contributions are recognized with coauthorships.</w:t>
      </w:r>
      <w:r>
        <w:br w:type="page"/>
      </w:r>
    </w:p>
    <w:p xmlns:wp14="http://schemas.microsoft.com/office/word/2010/wordml" w14:paraId="252CB5AE" wp14:textId="77777777">
      <w:pPr>
        <w:pStyle w:val="Title"/>
        <w:spacing w:before="0" w:after="80"/>
        <w:contextualSpacing/>
        <w:rPr>
          <w:rFonts w:ascii="times new roman" w:hAnsi="times new roman"/>
          <w:sz w:val="24"/>
          <w:szCs w:val="24"/>
        </w:rPr>
      </w:pPr>
      <w:r>
        <w:rPr>
          <w:rFonts w:ascii="times new roman" w:hAnsi="times new roman"/>
          <w:sz w:val="24"/>
          <w:szCs w:val="24"/>
          <w:lang w:val="en-US"/>
        </w:rPr>
        <w:t>Special circumstances</w:t>
      </w:r>
    </w:p>
    <w:p xmlns:wp14="http://schemas.microsoft.com/office/word/2010/wordml" w14:paraId="3D08C031" wp14:textId="77777777">
      <w:pPr>
        <w:pStyle w:val="Normal"/>
        <w:rPr>
          <w:rFonts w:ascii="times new roman" w:hAnsi="times new roman"/>
          <w:sz w:val="24"/>
          <w:szCs w:val="24"/>
        </w:rPr>
      </w:pPr>
      <w:r>
        <w:rPr>
          <w:rFonts w:ascii="times new roman" w:hAnsi="times new roman"/>
          <w:sz w:val="24"/>
          <w:szCs w:val="24"/>
          <w:lang w:val="en-US"/>
        </w:rPr>
        <w:t>Since starting at McMaster in 2002, I have had four episodes of major depression. The first three were in 2005, 2013, and 2015. Unwisely, instead of taking the time necessary to heal at any of those opportunities, I pushed ahead with a work schedule that distracted me, but did not address my health needs. In 2025 I had another episode of major depression that was darker and longer than any of the preceding ones. Finally, I realized that I needed to recover, and was on medical leave from the university from November, 2025, until April 2026. This period of time away from work accounts for a gap in my teaching record and a decrease in my research activities, including grant writing and publishing.</w:t>
      </w:r>
    </w:p>
    <w:p xmlns:wp14="http://schemas.microsoft.com/office/word/2010/wordml" w14:paraId="2A1F701D" wp14:textId="77777777">
      <w:pPr>
        <w:pStyle w:val="Normal"/>
        <w:rPr>
          <w:rFonts w:ascii="times new roman" w:hAnsi="times new roman"/>
          <w:sz w:val="24"/>
          <w:szCs w:val="24"/>
        </w:rPr>
      </w:pPr>
      <w:r>
        <w:rPr>
          <w:rFonts w:ascii="times new roman" w:hAnsi="times new roman"/>
          <w:sz w:val="24"/>
          <w:szCs w:val="24"/>
        </w:rPr>
      </w:r>
      <w:r>
        <w:br w:type="page"/>
      </w:r>
    </w:p>
    <w:p xmlns:wp14="http://schemas.microsoft.com/office/word/2010/wordml" w14:paraId="2CB14C3F" wp14:textId="77777777">
      <w:pPr>
        <w:pStyle w:val="Title"/>
        <w:spacing w:before="0" w:after="80"/>
        <w:contextualSpacing/>
        <w:rPr>
          <w:rFonts w:ascii="times new roman" w:hAnsi="times new roman"/>
          <w:sz w:val="24"/>
          <w:szCs w:val="24"/>
        </w:rPr>
      </w:pPr>
      <w:r>
        <w:rPr>
          <w:rFonts w:ascii="times new roman" w:hAnsi="times new roman"/>
          <w:sz w:val="24"/>
          <w:szCs w:val="24"/>
          <w:lang w:val="en-CA"/>
        </w:rPr>
        <w:t>List of References (max. 10 pages)</w:t>
      </w:r>
    </w:p>
    <w:p xmlns:wp14="http://schemas.microsoft.com/office/word/2010/wordml" w14:paraId="70B3E79B" wp14:textId="77777777">
      <w:pPr>
        <w:pStyle w:val="Bibliography"/>
        <w:spacing w:before="0" w:after="120" w:afterAutospacing="0" w:line="240" w:lineRule="auto"/>
        <w:rPr>
          <w:rFonts w:ascii="times new roman" w:hAnsi="times new roman"/>
        </w:rPr>
      </w:pPr>
      <w:r>
        <w:fldChar w:fldCharType="begin"/>
      </w:r>
      <w:r>
        <w:rPr>
          <w:rFonts w:ascii="times new roman" w:hAnsi="times new roman"/>
        </w:rPr>
        <w:instrText xml:space="preserve">ADDIN ZOTERO_BIBL {"uncited":[],"omitted":[],"custom":[]} CSL_BIBLIOGRAPHY</w:instrText>
      </w:r>
      <w:r>
        <w:rPr>
          <w:rFonts w:ascii="times new roman" w:hAnsi="times new roman"/>
        </w:rPr>
      </w:r>
      <w:r>
        <w:rPr>
          <w:rFonts w:ascii="times new roman" w:hAnsi="times new roman"/>
        </w:rPr>
        <w:fldChar w:fldCharType="separate"/>
      </w:r>
      <w:r>
        <w:t>1.</w:t>
      </w:r>
      <w:r>
        <w:tab/>
      </w:r>
      <w:r>
        <w:t>Mazloumi E, Currie G, Rose G. Using GPS Data to Gain Insight into Public Transport Travel Time Variability. J Transp Eng. 2010 Jul;136(7):623–31. doi:10.1061/(ASCE)TE.1943-5436.0000126</w:t>
      </w:r>
      <w:r>
        <w:rPr>
          <w:rFonts w:ascii="times new roman" w:hAnsi="times new roman"/>
        </w:rPr>
      </w:r>
    </w:p>
    <w:p xmlns:wp14="http://schemas.microsoft.com/office/word/2010/wordml" w14:paraId="30815986" wp14:textId="77777777">
      <w:pPr>
        <w:pStyle w:val="Bibliography"/>
        <w:spacing w:before="0" w:after="120" w:afterAutospacing="0" w:line="240" w:lineRule="auto"/>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Sami J, Pascal F, Younes B. Public Road Transport Efficiency: A Stochastic Frontier Analysis. Journal of Transportation Systems Engineering and Information Technology. 2013 Oct 1;13(5):64–71. doi:10.1016/S1570-6672(13)60123-3</w:t>
      </w:r>
    </w:p>
    <w:p xmlns:wp14="http://schemas.microsoft.com/office/word/2010/wordml" w14:paraId="651257C1" wp14:textId="77777777">
      <w:pPr>
        <w:pStyle w:val="Bibliography"/>
        <w:spacing w:before="0" w:after="120" w:afterAutospacing="0" w:line="240" w:lineRule="auto"/>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Zhang L, Liu Y, Li S, Chen H, Liu Y. Evaluating public transport performance to guide public transport planning: A unified prior method. Travel Behaviour and Society. 2023 Oct 1;33:100605. doi:10.1016/j.tbs.2023.100605</w:t>
      </w:r>
    </w:p>
    <w:p xmlns:wp14="http://schemas.microsoft.com/office/word/2010/wordml" w14:paraId="38EBAF7F" wp14:textId="77777777">
      <w:pPr>
        <w:pStyle w:val="Bibliography"/>
        <w:spacing w:before="0" w:after="120" w:afterAutospacing="0" w:line="240" w:lineRule="auto"/>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Trompet M, Liu X, Graham DJ. Development of Key Performance Indicator to Compare Regularity of Service between Urban Bus Operators. Transportation Research Record: Journal of the Transportation Research Board. 2011 Jan;2216(1):33–41. doi:10.3141/2216-04</w:t>
      </w:r>
    </w:p>
    <w:p xmlns:wp14="http://schemas.microsoft.com/office/word/2010/wordml" w14:paraId="0D3921E6" wp14:textId="77777777">
      <w:pPr>
        <w:pStyle w:val="Bibliography"/>
        <w:spacing w:before="0" w:after="120" w:afterAutospacing="0" w:line="240" w:lineRule="auto"/>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Joewono TB, Kubota H. SAFETY AND SECURITY IMPROVEMENT IN PUBLIC TRANSPORTATION BASED ON PUBLIC PERCEPTION IN DEVELOPING COUNTRIES. IATSS Research. 2006 Jan 1;30(1):86–100. doi:10.1016/S0386-1112(14)60159-X</w:t>
      </w:r>
    </w:p>
    <w:p xmlns:wp14="http://schemas.microsoft.com/office/word/2010/wordml" w14:paraId="1CF673E9" wp14:textId="77777777">
      <w:pPr>
        <w:pStyle w:val="Bibliography"/>
        <w:spacing w:before="0" w:after="120" w:afterAutospacing="0" w:line="240" w:lineRule="auto"/>
        <w:rPr>
          <w:rFonts w:ascii="times new roman" w:hAnsi="times new roman"/>
        </w:rPr>
      </w:pPr>
      <w:r>
        <w:rPr>
          <w:rFonts w:ascii="times new roman" w:hAnsi="times new roman"/>
        </w:rPr>
        <w:t>6.</w:t>
      </w:r>
      <w:r>
        <w:rPr>
          <w:rFonts w:ascii="times new roman" w:hAnsi="times new roman"/>
        </w:rPr>
        <w:tab/>
      </w:r>
      <w:r>
        <w:rPr>
          <w:rFonts w:ascii="times new roman" w:hAnsi="times new roman"/>
        </w:rPr>
        <w:t>Adli SN, Chowdhury S. A Critical Review of Social Justice Theories in Public Transit Planning. Sustainability. 2021 Jan;13(8):4289. doi:10.3390/su13084289</w:t>
      </w:r>
    </w:p>
    <w:p xmlns:wp14="http://schemas.microsoft.com/office/word/2010/wordml" w14:paraId="68159B7A" wp14:textId="77777777">
      <w:pPr>
        <w:pStyle w:val="Bibliography"/>
        <w:spacing w:before="0" w:after="120" w:afterAutospacing="0" w:line="240" w:lineRule="auto"/>
        <w:rPr>
          <w:rFonts w:ascii="times new roman" w:hAnsi="times new roman"/>
        </w:rPr>
      </w:pPr>
      <w:r>
        <w:rPr>
          <w:rFonts w:ascii="times new roman" w:hAnsi="times new roman"/>
        </w:rPr>
        <w:t>7.</w:t>
      </w:r>
      <w:r>
        <w:rPr>
          <w:rFonts w:ascii="times new roman" w:hAnsi="times new roman"/>
        </w:rPr>
        <w:tab/>
      </w:r>
      <w:r>
        <w:rPr>
          <w:rFonts w:ascii="times new roman" w:hAnsi="times new roman"/>
        </w:rPr>
        <w:t>İmre Ş, Çelebi D. Measuring Comfort in Public Transport: A case study for İstanbul. Transportation Research Procedia. 2017 Jan 1;World Conference on Transport Research - WCTR 2016 Shanghai. 10-15 July 201625:2441–9. doi:10.1016/j.trpro.2017.05.261</w:t>
      </w:r>
    </w:p>
    <w:p xmlns:wp14="http://schemas.microsoft.com/office/word/2010/wordml" w14:paraId="572F5E6B" wp14:textId="77777777">
      <w:pPr>
        <w:pStyle w:val="Bibliography"/>
        <w:spacing w:before="0" w:after="120" w:afterAutospacing="0" w:line="240" w:lineRule="auto"/>
        <w:rPr>
          <w:rFonts w:ascii="times new roman" w:hAnsi="times new roman"/>
        </w:rPr>
      </w:pPr>
      <w:r>
        <w:rPr>
          <w:rFonts w:ascii="times new roman" w:hAnsi="times new roman"/>
        </w:rPr>
        <w:t>8.</w:t>
      </w:r>
      <w:r>
        <w:rPr>
          <w:rFonts w:ascii="times new roman" w:hAnsi="times new roman"/>
        </w:rPr>
        <w:tab/>
      </w:r>
      <w:r>
        <w:rPr>
          <w:rFonts w:ascii="times new roman" w:hAnsi="times new roman"/>
        </w:rPr>
        <w:t>Lucas K. Transport and social exclusion: Where are we now? Transport Policy. 2012 Mar 1;URBAN TRANSPORT INITIATIVES20:105–13. doi:10.1016/j.tranpol.2012.01.013</w:t>
      </w:r>
    </w:p>
    <w:p xmlns:wp14="http://schemas.microsoft.com/office/word/2010/wordml" w14:paraId="1FE20947" wp14:textId="77777777">
      <w:pPr>
        <w:pStyle w:val="Bibliography"/>
        <w:spacing w:before="0" w:after="120" w:afterAutospacing="0" w:line="240" w:lineRule="auto"/>
        <w:rPr>
          <w:rFonts w:ascii="times new roman" w:hAnsi="times new roman"/>
        </w:rPr>
      </w:pPr>
      <w:r>
        <w:rPr>
          <w:rFonts w:ascii="times new roman" w:hAnsi="times new roman"/>
        </w:rPr>
        <w:t>9.</w:t>
      </w:r>
      <w:r>
        <w:rPr>
          <w:rFonts w:ascii="times new roman" w:hAnsi="times new roman"/>
        </w:rPr>
        <w:tab/>
      </w:r>
      <w:r>
        <w:rPr>
          <w:rFonts w:ascii="times new roman" w:hAnsi="times new roman"/>
        </w:rPr>
        <w:t>Calabrò G, Pira ML, Giuffrida N, Inturri G, Ignaccolo M, Correia GH de A. Designing demand responsive transport services in small-sized cities using an agent-based model. Transportation Research Procedia. 2023 Jan 1;AIIT 3rd International Conference on Transport Infrastructure and Systems (TIS ROMA 2022), 15th-16th September 2022, Rome, Italy69:759–66. doi:10.1016/j.trpro.2023.02.233</w:t>
      </w:r>
    </w:p>
    <w:p xmlns:wp14="http://schemas.microsoft.com/office/word/2010/wordml" w14:paraId="3FEF433A" wp14:textId="77777777">
      <w:pPr>
        <w:pStyle w:val="Bibliography"/>
        <w:spacing w:before="0" w:after="120" w:afterAutospacing="0" w:line="240" w:lineRule="auto"/>
        <w:rPr>
          <w:rFonts w:ascii="times new roman" w:hAnsi="times new roman"/>
        </w:rPr>
      </w:pPr>
      <w:r>
        <w:rPr>
          <w:rFonts w:ascii="times new roman" w:hAnsi="times new roman"/>
        </w:rPr>
        <w:t>10.</w:t>
      </w:r>
      <w:r>
        <w:rPr>
          <w:rFonts w:ascii="times new roman" w:hAnsi="times new roman"/>
        </w:rPr>
        <w:tab/>
      </w:r>
      <w:r>
        <w:rPr>
          <w:rFonts w:ascii="times new roman" w:hAnsi="times new roman"/>
        </w:rPr>
        <w:t>Currie G, Fournier N. Why most DRT/Micro-Transits fail – What the survivors tell us about progress. Research in Transportation Economics. 2020 Nov 1;Thredbo 16 conference83:100895. doi:10.1016/j.retrec.2020.100895</w:t>
      </w:r>
    </w:p>
    <w:p xmlns:wp14="http://schemas.microsoft.com/office/word/2010/wordml" w14:paraId="69C7BB78" wp14:textId="77777777">
      <w:pPr>
        <w:pStyle w:val="Bibliography"/>
        <w:spacing w:before="0" w:after="120" w:afterAutospacing="0" w:line="240" w:lineRule="auto"/>
        <w:rPr>
          <w:rFonts w:ascii="times new roman" w:hAnsi="times new roman"/>
        </w:rPr>
      </w:pPr>
      <w:r>
        <w:rPr>
          <w:rFonts w:ascii="times new roman" w:hAnsi="times new roman"/>
        </w:rPr>
        <w:t>11.</w:t>
      </w:r>
      <w:r>
        <w:rPr>
          <w:rFonts w:ascii="times new roman" w:hAnsi="times new roman"/>
        </w:rPr>
        <w:tab/>
      </w:r>
      <w:r>
        <w:rPr>
          <w:rFonts w:ascii="times new roman" w:hAnsi="times new roman"/>
        </w:rPr>
        <w:t>Mishra S, Mehran B, Sahu PK. Assessment of delivery models for semi-flexible transit operation in low-demand conditions. Transport Policy. 2020 Dec 1;99:275–87. doi:10.1016/j.tranpol.2020.09.004</w:t>
      </w:r>
    </w:p>
    <w:p xmlns:wp14="http://schemas.microsoft.com/office/word/2010/wordml" w14:paraId="7284D288" wp14:textId="77777777">
      <w:pPr>
        <w:pStyle w:val="Bibliography"/>
        <w:spacing w:before="0" w:after="120" w:afterAutospacing="0" w:line="240" w:lineRule="auto"/>
        <w:rPr>
          <w:rFonts w:ascii="times new roman" w:hAnsi="times new roman"/>
        </w:rPr>
      </w:pPr>
      <w:r>
        <w:rPr>
          <w:rFonts w:ascii="times new roman" w:hAnsi="times new roman"/>
        </w:rPr>
        <w:t>12.</w:t>
      </w:r>
      <w:r>
        <w:rPr>
          <w:rFonts w:ascii="times new roman" w:hAnsi="times new roman"/>
        </w:rPr>
        <w:tab/>
      </w:r>
      <w:r>
        <w:rPr>
          <w:rFonts w:ascii="times new roman" w:hAnsi="times new roman"/>
        </w:rPr>
        <w:t>Bürstlein J, López D, Farooq B. Exploring first-mile on-demand transit solutions for North American suburbia: A case study of Markham, Canada. Transportation Research Part A: Policy and Practice. 2021 Nov 1;153:261–83. doi:10.1016/j.tra.2021.08.018</w:t>
      </w:r>
    </w:p>
    <w:p xmlns:wp14="http://schemas.microsoft.com/office/word/2010/wordml" w14:paraId="7C12105B" wp14:textId="77777777">
      <w:pPr>
        <w:pStyle w:val="Bibliography"/>
        <w:spacing w:before="0" w:after="120" w:afterAutospacing="0" w:line="240" w:lineRule="auto"/>
        <w:rPr>
          <w:rFonts w:ascii="times new roman" w:hAnsi="times new roman"/>
        </w:rPr>
      </w:pPr>
      <w:r>
        <w:rPr>
          <w:rFonts w:ascii="times new roman" w:hAnsi="times new roman"/>
        </w:rPr>
        <w:t>13.</w:t>
      </w:r>
      <w:r>
        <w:rPr>
          <w:rFonts w:ascii="times new roman" w:hAnsi="times new roman"/>
        </w:rPr>
        <w:tab/>
      </w:r>
      <w:r>
        <w:rPr>
          <w:rFonts w:ascii="times new roman" w:hAnsi="times new roman"/>
        </w:rPr>
        <w:t>Davison L, Enoch M, Ryley T, Quddus M, Wang C. A survey of Demand Responsive Transport in Great Britain. Transport Policy. 2014 Jan 1;31:47–54. doi:10.1016/j.tranpol.2013.11.004</w:t>
      </w:r>
    </w:p>
    <w:p xmlns:wp14="http://schemas.microsoft.com/office/word/2010/wordml" w14:paraId="2D64C86F" wp14:textId="77777777">
      <w:pPr>
        <w:pStyle w:val="Bibliography"/>
        <w:spacing w:before="0" w:after="120" w:afterAutospacing="0" w:line="240" w:lineRule="auto"/>
        <w:rPr>
          <w:rFonts w:ascii="times new roman" w:hAnsi="times new roman"/>
        </w:rPr>
      </w:pPr>
      <w:r>
        <w:rPr>
          <w:rFonts w:ascii="times new roman" w:hAnsi="times new roman"/>
        </w:rPr>
        <w:t>14.</w:t>
      </w:r>
      <w:r>
        <w:rPr>
          <w:rFonts w:ascii="times new roman" w:hAnsi="times new roman"/>
        </w:rPr>
        <w:tab/>
      </w:r>
      <w:r>
        <w:rPr>
          <w:rFonts w:ascii="times new roman" w:hAnsi="times new roman"/>
        </w:rPr>
        <w:t>Nelson JD, Wright S, Masson B, Ambrosino G, Naniopoulos A. Recent developments in Flexible Transport Services. Research in Transportation Economics. 2010 Jan 1;Reforming Public Transport throughout the World29(1):243–8. doi:10.1016/j.retrec.2010.07.030</w:t>
      </w:r>
    </w:p>
    <w:p xmlns:wp14="http://schemas.microsoft.com/office/word/2010/wordml" w14:paraId="41963422" wp14:textId="77777777">
      <w:pPr>
        <w:pStyle w:val="Bibliography"/>
        <w:spacing w:before="0" w:after="120" w:afterAutospacing="0" w:line="240" w:lineRule="auto"/>
        <w:rPr>
          <w:rFonts w:ascii="times new roman" w:hAnsi="times new roman"/>
        </w:rPr>
      </w:pPr>
      <w:r>
        <w:rPr>
          <w:rFonts w:ascii="times new roman" w:hAnsi="times new roman"/>
        </w:rPr>
        <w:t>15.</w:t>
      </w:r>
      <w:r>
        <w:rPr>
          <w:rFonts w:ascii="times new roman" w:hAnsi="times new roman"/>
        </w:rPr>
        <w:tab/>
      </w:r>
      <w:r>
        <w:rPr>
          <w:rFonts w:ascii="times new roman" w:hAnsi="times new roman"/>
        </w:rPr>
        <w:t>Diana M, Quadrifoglio L, Pronello C. Emissions of demand responsive services as an alternative to conventional transit systems. Transportation Research Part D: Transport and Environment. 2007 May 1;12(3):183–8. doi:10.1016/j.trd.2007.01.009</w:t>
      </w:r>
    </w:p>
    <w:p xmlns:wp14="http://schemas.microsoft.com/office/word/2010/wordml" w14:paraId="6EAAA0DD" wp14:textId="77777777">
      <w:pPr>
        <w:pStyle w:val="Bibliography"/>
        <w:spacing w:before="0" w:after="120" w:afterAutospacing="0" w:line="240" w:lineRule="auto"/>
        <w:rPr>
          <w:rFonts w:ascii="times new roman" w:hAnsi="times new roman"/>
        </w:rPr>
      </w:pPr>
      <w:r>
        <w:rPr>
          <w:rFonts w:ascii="times new roman" w:hAnsi="times new roman"/>
        </w:rPr>
        <w:t>16.</w:t>
      </w:r>
      <w:r>
        <w:rPr>
          <w:rFonts w:ascii="times new roman" w:hAnsi="times new roman"/>
        </w:rPr>
        <w:tab/>
      </w:r>
      <w:r>
        <w:rPr>
          <w:rFonts w:ascii="times new roman" w:hAnsi="times new roman"/>
        </w:rPr>
        <w:t>Dytckov S, Persson JA, Lorig F, Davidsson P. Potential Benefits of Demand Responsive Transport in Rural Areas: A Simulation Study in Lolland, Denmark. Sustainability. 2022 Jan;14(6):3252. doi:10.3390/su14063252</w:t>
      </w:r>
    </w:p>
    <w:p xmlns:wp14="http://schemas.microsoft.com/office/word/2010/wordml" w14:paraId="6EAA6639" wp14:textId="77777777">
      <w:pPr>
        <w:pStyle w:val="Bibliography"/>
        <w:spacing w:before="0" w:after="120" w:afterAutospacing="0" w:line="240" w:lineRule="auto"/>
        <w:rPr>
          <w:rFonts w:ascii="times new roman" w:hAnsi="times new roman"/>
        </w:rPr>
      </w:pPr>
      <w:r>
        <w:rPr>
          <w:rFonts w:ascii="times new roman" w:hAnsi="times new roman"/>
        </w:rPr>
        <w:t>17.</w:t>
      </w:r>
      <w:r>
        <w:rPr>
          <w:rFonts w:ascii="times new roman" w:hAnsi="times new roman"/>
        </w:rPr>
        <w:tab/>
      </w:r>
      <w:r>
        <w:rPr>
          <w:rFonts w:ascii="times new roman" w:hAnsi="times new roman"/>
        </w:rPr>
        <w:t>Palm M, Allen J, Farber S. Shifted out: The well-being and justice implications of evening and night commuting. Transportation research Part D, Transport and environment. 2023;122:103875-. doi:10.1016/j.trd.2023.103875</w:t>
      </w:r>
    </w:p>
    <w:p xmlns:wp14="http://schemas.microsoft.com/office/word/2010/wordml" w14:paraId="39CA5DCA" wp14:textId="77777777">
      <w:pPr>
        <w:pStyle w:val="Bibliography"/>
        <w:spacing w:before="0" w:after="120" w:afterAutospacing="0" w:line="240" w:lineRule="auto"/>
        <w:rPr>
          <w:rFonts w:ascii="times new roman" w:hAnsi="times new roman"/>
        </w:rPr>
      </w:pPr>
      <w:r>
        <w:rPr>
          <w:rFonts w:ascii="times new roman" w:hAnsi="times new roman"/>
        </w:rPr>
        <w:t>18.</w:t>
      </w:r>
      <w:r>
        <w:rPr>
          <w:rFonts w:ascii="times new roman" w:hAnsi="times new roman"/>
        </w:rPr>
        <w:tab/>
      </w:r>
      <w:r>
        <w:rPr>
          <w:rFonts w:ascii="times new roman" w:hAnsi="times new roman"/>
        </w:rPr>
        <w:t>Ravensbergen L, Fournier J, El-Geneidy A. Exploratory Analysis of Mobility of Care in Montreal, Canada. Transportation Research Record: Journal of the Transportation Research Board. 2023 Jan;2677(1):1499–509. doi:10.1177/03611981221105070</w:t>
      </w:r>
    </w:p>
    <w:p xmlns:wp14="http://schemas.microsoft.com/office/word/2010/wordml" w14:paraId="357C580B" wp14:textId="77777777">
      <w:pPr>
        <w:pStyle w:val="Bibliography"/>
        <w:spacing w:before="0" w:after="120" w:afterAutospacing="0" w:line="240" w:lineRule="auto"/>
        <w:rPr>
          <w:rFonts w:ascii="times new roman" w:hAnsi="times new roman"/>
        </w:rPr>
      </w:pPr>
      <w:r>
        <w:rPr>
          <w:rFonts w:ascii="times new roman" w:hAnsi="times new roman"/>
        </w:rPr>
        <w:t>19.</w:t>
      </w:r>
      <w:r>
        <w:rPr>
          <w:rFonts w:ascii="times new roman" w:hAnsi="times new roman"/>
        </w:rPr>
        <w:tab/>
      </w:r>
      <w:r>
        <w:rPr>
          <w:rFonts w:ascii="times new roman" w:hAnsi="times new roman"/>
        </w:rPr>
        <w:t>Statistics Canada G of C. The Daily — Number of Canadian commuters increases for fourth straight year in 2025 [Internet]. 2025 [cited 2026 May 21]. Available from: https://www150.statcan.gc.ca/n1/daily-quotidien/250826/dq250826a-eng.htm</w:t>
      </w:r>
    </w:p>
    <w:p xmlns:wp14="http://schemas.microsoft.com/office/word/2010/wordml" w14:paraId="57C8B32A" wp14:textId="77777777">
      <w:pPr>
        <w:pStyle w:val="Bibliography"/>
        <w:spacing w:before="0" w:after="120" w:afterAutospacing="0" w:line="240" w:lineRule="auto"/>
        <w:rPr>
          <w:rFonts w:ascii="times new roman" w:hAnsi="times new roman"/>
        </w:rPr>
      </w:pPr>
      <w:r>
        <w:rPr>
          <w:rFonts w:ascii="times new roman" w:hAnsi="times new roman"/>
        </w:rPr>
        <w:t>20.</w:t>
      </w:r>
      <w:r>
        <w:rPr>
          <w:rFonts w:ascii="times new roman" w:hAnsi="times new roman"/>
        </w:rPr>
        <w:tab/>
      </w:r>
      <w:r>
        <w:rPr>
          <w:rFonts w:ascii="times new roman" w:hAnsi="times new roman"/>
        </w:rPr>
        <w:t>Tabascio A, Tiznado-Aitken I, Higgins C, Farber S. Incorporating equity into transit performance measures: A disaggregated bus route level approach. Case studies on transport policy. 2024;17:101256-. doi:10.1016/j.cstp.2024.101256</w:t>
      </w:r>
    </w:p>
    <w:p xmlns:wp14="http://schemas.microsoft.com/office/word/2010/wordml" w14:paraId="5D615C83" wp14:textId="77777777">
      <w:pPr>
        <w:pStyle w:val="Bibliography"/>
        <w:spacing w:before="0" w:after="120" w:afterAutospacing="0" w:line="240" w:lineRule="auto"/>
        <w:rPr>
          <w:rFonts w:ascii="times new roman" w:hAnsi="times new roman"/>
        </w:rPr>
      </w:pPr>
      <w:r>
        <w:rPr>
          <w:rFonts w:ascii="times new roman" w:hAnsi="times new roman"/>
        </w:rPr>
        <w:t>21.</w:t>
      </w:r>
      <w:r>
        <w:rPr>
          <w:rFonts w:ascii="times new roman" w:hAnsi="times new roman"/>
        </w:rPr>
        <w:tab/>
      </w:r>
      <w:r>
        <w:rPr>
          <w:rFonts w:ascii="times new roman" w:hAnsi="times new roman"/>
        </w:rPr>
        <w:t>Luz G, Portugal L da S. Understanding transport-related social exclusion through the lens of capabilities approach. Transport Reviews. 2022 Jul 1;42(4):503–25. doi:10.1080/01441647.2021.2005183</w:t>
      </w:r>
    </w:p>
    <w:p xmlns:wp14="http://schemas.microsoft.com/office/word/2010/wordml" w14:paraId="2EE6D04E" wp14:textId="77777777">
      <w:pPr>
        <w:pStyle w:val="Bibliography"/>
        <w:spacing w:before="0" w:after="120" w:afterAutospacing="0" w:line="240" w:lineRule="auto"/>
        <w:rPr>
          <w:rFonts w:ascii="times new roman" w:hAnsi="times new roman"/>
        </w:rPr>
      </w:pPr>
      <w:r>
        <w:rPr>
          <w:rFonts w:ascii="times new roman" w:hAnsi="times new roman"/>
        </w:rPr>
        <w:t>22.</w:t>
      </w:r>
      <w:r>
        <w:rPr>
          <w:rFonts w:ascii="times new roman" w:hAnsi="times new roman"/>
        </w:rPr>
        <w:tab/>
      </w:r>
      <w:r>
        <w:rPr>
          <w:rFonts w:ascii="times new roman" w:hAnsi="times new roman"/>
        </w:rPr>
        <w:t>Martens K. Defining sufficient accessibility. In: Transport Justice. Routledge; 2016.</w:t>
      </w:r>
    </w:p>
    <w:p xmlns:wp14="http://schemas.microsoft.com/office/word/2010/wordml" w14:paraId="2A58667F" wp14:textId="77777777">
      <w:pPr>
        <w:pStyle w:val="Bibliography"/>
        <w:spacing w:before="0" w:after="120" w:afterAutospacing="0" w:line="240" w:lineRule="auto"/>
        <w:rPr>
          <w:rFonts w:ascii="times new roman" w:hAnsi="times new roman"/>
        </w:rPr>
      </w:pPr>
      <w:r>
        <w:rPr>
          <w:rFonts w:ascii="times new roman" w:hAnsi="times new roman"/>
        </w:rPr>
        <w:t>23.</w:t>
      </w:r>
      <w:r>
        <w:rPr>
          <w:rFonts w:ascii="times new roman" w:hAnsi="times new roman"/>
        </w:rPr>
        <w:tab/>
      </w:r>
      <w:r>
        <w:rPr>
          <w:rFonts w:ascii="times new roman" w:hAnsi="times new roman"/>
        </w:rPr>
        <w:t>Statistics Canada G of C. The Daily — Has the COVID-19 pandemic changed commuting patterns for good? [Internet]. 2022 [cited 2026 May 21]. Available from: https://www150.statcan.gc.ca/n1/daily-quotidien/221130/dq221130c-eng.htm</w:t>
      </w:r>
    </w:p>
    <w:p xmlns:wp14="http://schemas.microsoft.com/office/word/2010/wordml" w14:paraId="66567400" wp14:textId="77777777">
      <w:pPr>
        <w:pStyle w:val="Bibliography"/>
        <w:spacing w:before="0" w:after="120" w:afterAutospacing="0" w:line="240" w:lineRule="auto"/>
        <w:rPr>
          <w:rFonts w:ascii="times new roman" w:hAnsi="times new roman"/>
        </w:rPr>
      </w:pPr>
      <w:r>
        <w:rPr>
          <w:rFonts w:ascii="times new roman" w:hAnsi="times new roman"/>
        </w:rPr>
        <w:t>24.</w:t>
      </w:r>
      <w:r>
        <w:rPr>
          <w:rFonts w:ascii="times new roman" w:hAnsi="times new roman"/>
        </w:rPr>
        <w:tab/>
      </w:r>
      <w:r>
        <w:rPr>
          <w:rFonts w:ascii="times new roman" w:hAnsi="times new roman"/>
        </w:rPr>
        <w:t>Statistics Canada G of C. The Daily — Number of Canadian commuters increases for fourth straight year in 2025 [Internet]. 2025 [cited 2026 May 21]. Available from: https://www150.statcan.gc.ca/n1/daily-quotidien/250826/dq250826a-eng.htm</w:t>
      </w:r>
    </w:p>
    <w:p xmlns:wp14="http://schemas.microsoft.com/office/word/2010/wordml" w14:paraId="55B76BDD" wp14:textId="77777777">
      <w:pPr>
        <w:pStyle w:val="Bibliography"/>
        <w:spacing w:before="0" w:after="120" w:afterAutospacing="0" w:line="240" w:lineRule="auto"/>
        <w:rPr>
          <w:rFonts w:ascii="times new roman" w:hAnsi="times new roman"/>
        </w:rPr>
      </w:pPr>
      <w:r>
        <w:rPr>
          <w:rFonts w:ascii="times new roman" w:hAnsi="times new roman"/>
        </w:rPr>
        <w:t>25.</w:t>
      </w:r>
      <w:r>
        <w:rPr>
          <w:rFonts w:ascii="times new roman" w:hAnsi="times new roman"/>
        </w:rPr>
        <w:tab/>
      </w:r>
      <w:r>
        <w:rPr>
          <w:rFonts w:ascii="times new roman" w:hAnsi="times new roman"/>
        </w:rPr>
        <w:t>Allen J, Farber S. Sizing up transport poverty: A national scale accounting of low-income households suffering from inaccessibility in Canada, and what to do about it. Transport policy. 2019;74:214–23. doi:10.1016/j.tranpol.2018.11.018</w:t>
      </w:r>
    </w:p>
    <w:p xmlns:wp14="http://schemas.microsoft.com/office/word/2010/wordml" w14:paraId="1703760B" wp14:textId="77777777">
      <w:pPr>
        <w:pStyle w:val="Bibliography"/>
        <w:spacing w:before="0" w:after="120" w:afterAutospacing="0" w:line="240" w:lineRule="auto"/>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Ravensbergen L, Fournier J, El-Geneidy A. Exploratory Analysis of Mobility of Care in Montreal, Canada. Transportation research record. 2023;2677(1):1499–509. doi:10.1177/03611981221105070</w:t>
      </w:r>
    </w:p>
    <w:p xmlns:wp14="http://schemas.microsoft.com/office/word/2010/wordml" w14:paraId="00834E33" wp14:textId="77777777">
      <w:pPr>
        <w:pStyle w:val="Bibliography"/>
        <w:spacing w:before="0" w:after="120" w:afterAutospacing="0" w:line="240" w:lineRule="auto"/>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Pereira RHM, Schwanen T, Banister D. Distributive justice and equity in transportation. Transport Reviews. 2017;37(2):170–91. doi:10.1080/01441647.2016.1257660</w:t>
      </w:r>
    </w:p>
    <w:p xmlns:wp14="http://schemas.microsoft.com/office/word/2010/wordml" w14:paraId="2AF2861B" wp14:textId="77777777">
      <w:pPr>
        <w:pStyle w:val="Bibliography"/>
        <w:spacing w:before="0" w:after="120" w:afterAutospacing="0" w:line="240" w:lineRule="auto"/>
        <w:rPr>
          <w:rFonts w:ascii="times new roman" w:hAnsi="times new roman"/>
        </w:rPr>
      </w:pPr>
      <w:r>
        <w:rPr>
          <w:rFonts w:ascii="times new roman" w:hAnsi="times new roman"/>
        </w:rPr>
        <w:t>28.</w:t>
      </w:r>
      <w:r>
        <w:rPr>
          <w:rFonts w:ascii="times new roman" w:hAnsi="times new roman"/>
        </w:rPr>
        <w:tab/>
      </w:r>
      <w:r>
        <w:rPr>
          <w:rFonts w:ascii="times new roman" w:hAnsi="times new roman"/>
        </w:rPr>
        <w:t>Karner A, Pereira RHM, Farber S. Advances and pitfalls in measuring transportation equity. Transportation (Dordrecht). 2025;52(4):1399–427. doi:10.1007/s11116-023-10460-7</w:t>
      </w:r>
    </w:p>
    <w:p xmlns:wp14="http://schemas.microsoft.com/office/word/2010/wordml" w14:paraId="59ACC28E" wp14:textId="77777777">
      <w:pPr>
        <w:pStyle w:val="Bibliography"/>
        <w:spacing w:before="0" w:after="120" w:afterAutospacing="0" w:line="240" w:lineRule="auto"/>
        <w:rPr>
          <w:rFonts w:ascii="times new roman" w:hAnsi="times new roman"/>
        </w:rPr>
      </w:pPr>
      <w:r>
        <w:rPr>
          <w:rFonts w:ascii="times new roman" w:hAnsi="times new roman"/>
        </w:rPr>
        <w:t>29.</w:t>
      </w:r>
      <w:r>
        <w:rPr>
          <w:rFonts w:ascii="times new roman" w:hAnsi="times new roman"/>
        </w:rPr>
        <w:tab/>
      </w:r>
      <w:r>
        <w:rPr>
          <w:rFonts w:ascii="times new roman" w:hAnsi="times new roman"/>
        </w:rPr>
        <w:t>Soukhov, Anastasia, Tiznado-Aitken, Ignacio, Palm, Matthew, Farber, Steven, Páez, Antonio. Searching for standards of fairness in the transportation justice literature [Internet]. Mobilizing Justice; 2024 Jan [cited 2024 Sep 27]. p. 22. Report MJ-0001. Available from: https://mobilizingjustice.ca/wp-content/uploads/2024/01/tools-report-2.pdf</w:t>
      </w:r>
    </w:p>
    <w:p xmlns:wp14="http://schemas.microsoft.com/office/word/2010/wordml" w14:paraId="00C42D69" wp14:textId="77777777">
      <w:pPr>
        <w:pStyle w:val="Bibliography"/>
        <w:spacing w:before="0" w:after="120" w:afterAutospacing="0" w:line="240" w:lineRule="auto"/>
        <w:rPr>
          <w:rFonts w:ascii="times new roman" w:hAnsi="times new roman"/>
        </w:rPr>
      </w:pPr>
      <w:r>
        <w:rPr>
          <w:rFonts w:ascii="times new roman" w:hAnsi="times new roman"/>
        </w:rPr>
        <w:t>30.</w:t>
      </w:r>
      <w:r>
        <w:rPr>
          <w:rFonts w:ascii="times new roman" w:hAnsi="times new roman"/>
        </w:rPr>
        <w:tab/>
      </w:r>
      <w:r>
        <w:rPr>
          <w:rFonts w:ascii="times new roman" w:hAnsi="times new roman"/>
        </w:rPr>
        <w:t>Jaggar AM. The philosophical challenges of global gender justice. Philosophical Topics. 2009;37(2):1+. Located at: Gale Academic OneFile</w:t>
      </w:r>
    </w:p>
    <w:p xmlns:wp14="http://schemas.microsoft.com/office/word/2010/wordml" w14:paraId="5B4CA2C6" wp14:textId="77777777">
      <w:pPr>
        <w:pStyle w:val="Bibliography"/>
        <w:spacing w:before="0" w:after="120" w:afterAutospacing="0" w:line="240" w:lineRule="auto"/>
        <w:rPr>
          <w:rFonts w:ascii="times new roman" w:hAnsi="times new roman"/>
        </w:rPr>
      </w:pPr>
      <w:r>
        <w:rPr>
          <w:rFonts w:ascii="times new roman" w:hAnsi="times new roman"/>
        </w:rPr>
        <w:t>31.</w:t>
      </w:r>
      <w:r>
        <w:rPr>
          <w:rFonts w:ascii="times new roman" w:hAnsi="times new roman"/>
        </w:rPr>
        <w:tab/>
      </w:r>
      <w:r>
        <w:rPr>
          <w:rFonts w:ascii="times new roman" w:hAnsi="times new roman"/>
        </w:rPr>
        <w:t>Lucas K. A new evolution for transport-related social exclusion research? Journal of Transport Geography. 2019 Dec 1;Celebrating 25 years of Journal of Transport Geography81:102529. doi:10.1016/j.jtrangeo.2019.102529</w:t>
      </w:r>
    </w:p>
    <w:p xmlns:wp14="http://schemas.microsoft.com/office/word/2010/wordml" w14:paraId="4EA28106" wp14:textId="77777777">
      <w:pPr>
        <w:pStyle w:val="Bibliography"/>
        <w:spacing w:before="0" w:after="120" w:afterAutospacing="0" w:line="240" w:lineRule="auto"/>
        <w:rPr>
          <w:rFonts w:ascii="times new roman" w:hAnsi="times new roman"/>
        </w:rPr>
      </w:pPr>
      <w:r>
        <w:rPr>
          <w:rFonts w:ascii="times new roman" w:hAnsi="times new roman"/>
        </w:rPr>
        <w:t>32.</w:t>
      </w:r>
      <w:r>
        <w:rPr>
          <w:rFonts w:ascii="times new roman" w:hAnsi="times new roman"/>
        </w:rPr>
        <w:tab/>
      </w:r>
      <w:r>
        <w:rPr>
          <w:rFonts w:ascii="times new roman" w:hAnsi="times new roman"/>
        </w:rPr>
        <w:t>Pereira RHM, Karner A. Transportation Equity. In: Vickerman R, editor. International Encyclopedia of Transportation [Internet]. Oxford: Elsevier; 2021 [cited 2024 Sep 24]. p. 271–7. Available from: https://www.sciencedirect.com/science/article/pii/B9780081026717100533 doi:10.1016/B978-0-08-102671-7.10053-3</w:t>
      </w:r>
    </w:p>
    <w:p xmlns:wp14="http://schemas.microsoft.com/office/word/2010/wordml" w14:paraId="7E37B6D6" wp14:textId="77777777">
      <w:pPr>
        <w:pStyle w:val="Bibliography"/>
        <w:spacing w:before="0" w:after="120" w:afterAutospacing="0" w:line="240" w:lineRule="auto"/>
        <w:rPr>
          <w:rFonts w:ascii="times new roman" w:hAnsi="times new roman"/>
        </w:rPr>
      </w:pPr>
      <w:r>
        <w:rPr>
          <w:rFonts w:ascii="times new roman" w:hAnsi="times new roman"/>
        </w:rPr>
        <w:t>33.</w:t>
      </w:r>
      <w:r>
        <w:rPr>
          <w:rFonts w:ascii="times new roman" w:hAnsi="times new roman"/>
        </w:rPr>
        <w:tab/>
      </w:r>
      <w:r>
        <w:rPr>
          <w:rFonts w:ascii="times new roman" w:hAnsi="times new roman"/>
        </w:rPr>
        <w:t>Bania N, Leete L, Coulton C. Job Access, Employment and Earnings: Outcomes for Welfare Leavers in a US Urban Labour Market. Urban Studies. 2008 Oct 1;45(11):2179–202. doi:10.1177/0042098008095864</w:t>
      </w:r>
    </w:p>
    <w:p xmlns:wp14="http://schemas.microsoft.com/office/word/2010/wordml" w14:paraId="4D78C54E" wp14:textId="77777777">
      <w:pPr>
        <w:pStyle w:val="Bibliography"/>
        <w:spacing w:before="0" w:after="120" w:afterAutospacing="0" w:line="240" w:lineRule="auto"/>
        <w:rPr>
          <w:rFonts w:ascii="times new roman" w:hAnsi="times new roman"/>
        </w:rPr>
      </w:pPr>
      <w:r>
        <w:rPr>
          <w:rFonts w:ascii="times new roman" w:hAnsi="times new roman"/>
        </w:rPr>
        <w:t>34.</w:t>
      </w:r>
      <w:r>
        <w:rPr>
          <w:rFonts w:ascii="times new roman" w:hAnsi="times new roman"/>
        </w:rPr>
        <w:tab/>
      </w:r>
      <w:r>
        <w:rPr>
          <w:rFonts w:ascii="times new roman" w:hAnsi="times new roman"/>
        </w:rPr>
        <w:t>Martens K, Bastiaanssen J, Lucas K. 2 - Measuring transport equity: Key components, framings and metrics. In: Lucas K, Martens K, Di Ciommo F, Dupont-Kieffer A, editors. Measuring Transport Equity [Internet]. Elsevier; 2019 [cited 2024 Nov 1]. p. 13–36. Available from: https://www.sciencedirect.com/science/article/pii/B9780128148181000020 doi:10.1016/B978-0-12-814818-1.00002-0</w:t>
      </w:r>
    </w:p>
    <w:p xmlns:wp14="http://schemas.microsoft.com/office/word/2010/wordml" w14:paraId="1B0F90DC" wp14:textId="77777777">
      <w:pPr>
        <w:pStyle w:val="Bibliography"/>
        <w:spacing w:before="0" w:after="120" w:afterAutospacing="0" w:line="240" w:lineRule="auto"/>
        <w:rPr>
          <w:rFonts w:ascii="times new roman" w:hAnsi="times new roman"/>
        </w:rPr>
      </w:pPr>
      <w:r>
        <w:rPr>
          <w:rFonts w:ascii="times new roman" w:hAnsi="times new roman"/>
        </w:rPr>
        <w:t>35.</w:t>
      </w:r>
      <w:r>
        <w:rPr>
          <w:rFonts w:ascii="times new roman" w:hAnsi="times new roman"/>
        </w:rPr>
        <w:tab/>
      </w:r>
      <w:r>
        <w:rPr>
          <w:rFonts w:ascii="times new roman" w:hAnsi="times new roman"/>
        </w:rPr>
        <w:t>Merlin LA, Hu L. Does competition matter in measures of job accessibility? Explaining employment in Los Angeles. Journal of Transport Geography. 2017 Oct 1;64:77–88. doi:10.1016/j.jtrangeo.2017.08.009</w:t>
      </w:r>
    </w:p>
    <w:p xmlns:wp14="http://schemas.microsoft.com/office/word/2010/wordml" w14:paraId="183F0DCB" wp14:textId="77777777">
      <w:pPr>
        <w:pStyle w:val="Bibliography"/>
        <w:spacing w:before="0" w:after="120" w:afterAutospacing="0" w:line="240" w:lineRule="auto"/>
        <w:rPr>
          <w:rFonts w:ascii="times new roman" w:hAnsi="times new roman"/>
        </w:rPr>
      </w:pPr>
      <w:r>
        <w:rPr>
          <w:rFonts w:ascii="times new roman" w:hAnsi="times new roman"/>
        </w:rPr>
        <w:t>36.</w:t>
      </w:r>
      <w:r>
        <w:rPr>
          <w:rFonts w:ascii="times new roman" w:hAnsi="times new roman"/>
        </w:rPr>
        <w:tab/>
      </w:r>
      <w:r>
        <w:rPr>
          <w:rFonts w:ascii="times new roman" w:hAnsi="times new roman"/>
        </w:rPr>
        <w:t>Middleton J, Spinney J. 4 Social inclusion, accessibility and emotional work. In: Docherty I, Shaw J, editors. Transport Matters [Internet]. Policy Press; 2019 [cited 2025 Feb 13]. p. 83–104. Available from: https://www.degruyter.com/document/doi/10.56687/9781447329572-009/html?srsltid=AfmBOoqjdOQp3sJesUxgtJPEfg6LVN1eBYG9y6E9ev22CTBXZAruyRCd doi:10.56687/9781447329572-009</w:t>
      </w:r>
    </w:p>
    <w:p xmlns:wp14="http://schemas.microsoft.com/office/word/2010/wordml" w14:paraId="5DDBDE02" wp14:textId="77777777">
      <w:pPr>
        <w:pStyle w:val="Bibliography"/>
        <w:spacing w:before="0" w:after="120" w:afterAutospacing="0" w:line="240" w:lineRule="auto"/>
        <w:rPr>
          <w:rFonts w:ascii="times new roman" w:hAnsi="times new roman"/>
        </w:rPr>
      </w:pPr>
      <w:r>
        <w:rPr>
          <w:rFonts w:ascii="times new roman" w:hAnsi="times new roman"/>
        </w:rPr>
        <w:t>37.</w:t>
      </w:r>
      <w:r>
        <w:rPr>
          <w:rFonts w:ascii="times new roman" w:hAnsi="times new roman"/>
        </w:rPr>
        <w:tab/>
      </w:r>
      <w:r>
        <w:rPr>
          <w:rFonts w:ascii="times new roman" w:hAnsi="times new roman"/>
        </w:rPr>
        <w:t>Soukhov A, Mooney N, Ravensbergen L. Exploring mobility of care with measures of accessibility. Journal of Transport Geography. 2025 Feb 1;123:104050. doi:10.1016/j.jtrangeo.2024.104050</w:t>
      </w:r>
    </w:p>
    <w:p xmlns:wp14="http://schemas.microsoft.com/office/word/2010/wordml" w14:paraId="2EA220B5" wp14:textId="77777777">
      <w:pPr>
        <w:pStyle w:val="Bibliography"/>
        <w:spacing w:before="0" w:after="120" w:afterAutospacing="0" w:line="240" w:lineRule="auto"/>
        <w:rPr>
          <w:rFonts w:ascii="times new roman" w:hAnsi="times new roman"/>
        </w:rPr>
      </w:pPr>
      <w:r>
        <w:rPr>
          <w:rFonts w:ascii="times new roman" w:hAnsi="times new roman"/>
        </w:rPr>
        <w:t>38.</w:t>
      </w:r>
      <w:r>
        <w:rPr>
          <w:rFonts w:ascii="times new roman" w:hAnsi="times new roman"/>
        </w:rPr>
        <w:tab/>
      </w:r>
      <w:r>
        <w:rPr>
          <w:rFonts w:ascii="times new roman" w:hAnsi="times new roman"/>
        </w:rPr>
        <w:t>Tabascio A, Tiznado-Aitken I, Higgins C, Farber S. Incorporating equity into transit performance measures: A disaggregated bus route level approach. Case Studies on Transport Policy. 2024 Sep 1;17:101256. doi:10.1016/j.cstp.2024.101256</w:t>
      </w:r>
    </w:p>
    <w:p xmlns:wp14="http://schemas.microsoft.com/office/word/2010/wordml" w14:paraId="47B33AD3" wp14:textId="77777777">
      <w:pPr>
        <w:pStyle w:val="Bibliography"/>
        <w:spacing w:before="0" w:after="120" w:afterAutospacing="0" w:line="240" w:lineRule="auto"/>
        <w:rPr>
          <w:rFonts w:ascii="times new roman" w:hAnsi="times new roman"/>
        </w:rPr>
      </w:pPr>
      <w:r>
        <w:rPr>
          <w:rFonts w:ascii="times new roman" w:hAnsi="times new roman"/>
        </w:rPr>
        <w:t>39.</w:t>
      </w:r>
      <w:r>
        <w:rPr>
          <w:rFonts w:ascii="times new roman" w:hAnsi="times new roman"/>
        </w:rPr>
        <w:tab/>
      </w:r>
      <w:r>
        <w:rPr>
          <w:rFonts w:ascii="times new roman" w:hAnsi="times new roman"/>
        </w:rPr>
        <w:t>Bharadwaj S, Ballare S, Rohit, Chandel MK. Impact of congestion on greenhouse gas emissions for road transport in Mumbai metropolitan region. Transportation Research Procedia. 2017 Jan 1;World Conference on Transport Research - WCTR 2016 Shanghai. 10-15 July 201625:3538–51. doi:10.1016/j.trpro.2017.05.282</w:t>
      </w:r>
    </w:p>
    <w:p xmlns:wp14="http://schemas.microsoft.com/office/word/2010/wordml" w14:paraId="07538311" wp14:textId="77777777">
      <w:pPr>
        <w:pStyle w:val="Bibliography"/>
        <w:spacing w:before="0" w:after="120" w:afterAutospacing="0" w:line="240" w:lineRule="auto"/>
        <w:rPr>
          <w:rFonts w:ascii="times new roman" w:hAnsi="times new roman"/>
        </w:rPr>
      </w:pPr>
      <w:r>
        <w:rPr>
          <w:rFonts w:ascii="times new roman" w:hAnsi="times new roman"/>
        </w:rPr>
        <w:t>40.</w:t>
      </w:r>
      <w:r>
        <w:rPr>
          <w:rFonts w:ascii="times new roman" w:hAnsi="times new roman"/>
        </w:rPr>
        <w:tab/>
      </w:r>
      <w:r>
        <w:rPr>
          <w:rFonts w:ascii="times new roman" w:hAnsi="times new roman"/>
        </w:rPr>
        <w:t>Li J, Huang Y, Zhang C, Yao D. How does public transport development contribute to carbon emission reduction? Transportation Research Part A: Policy and Practice. 2025 Jan 1;191:104327. doi:10.1016/j.tra.2024.104327</w:t>
      </w:r>
    </w:p>
    <w:p xmlns:wp14="http://schemas.microsoft.com/office/word/2010/wordml" w14:paraId="07F996B0" wp14:textId="77777777">
      <w:pPr>
        <w:pStyle w:val="Bibliography"/>
        <w:spacing w:before="0" w:after="120" w:afterAutospacing="0" w:line="240" w:lineRule="auto"/>
        <w:rPr>
          <w:rFonts w:ascii="times new roman" w:hAnsi="times new roman"/>
        </w:rPr>
      </w:pPr>
      <w:r>
        <w:rPr>
          <w:rFonts w:ascii="times new roman" w:hAnsi="times new roman"/>
        </w:rPr>
        <w:t>41.</w:t>
      </w:r>
      <w:r>
        <w:rPr>
          <w:rFonts w:ascii="times new roman" w:hAnsi="times new roman"/>
        </w:rPr>
        <w:tab/>
      </w:r>
      <w:r>
        <w:rPr>
          <w:rFonts w:ascii="times new roman" w:hAnsi="times new roman"/>
        </w:rPr>
        <w:t>Lu IJ, Lin SJ, Lewis C. Decomposition and decoupling effects of carbon dioxide emission from highway transportation in Taiwan, Germany, Japan and South Korea. Energy Policy. 2007 Jun 1;35(6):3226–35. doi:10.1016/j.enpol.2006.11.003</w:t>
      </w:r>
    </w:p>
    <w:p xmlns:wp14="http://schemas.microsoft.com/office/word/2010/wordml" w14:paraId="190C0A95" wp14:textId="77777777">
      <w:pPr>
        <w:pStyle w:val="Bibliography"/>
        <w:spacing w:before="0" w:after="120" w:afterAutospacing="0" w:line="240" w:lineRule="auto"/>
        <w:rPr>
          <w:rFonts w:ascii="times new roman" w:hAnsi="times new roman"/>
        </w:rPr>
      </w:pPr>
      <w:r>
        <w:rPr>
          <w:rFonts w:ascii="times new roman" w:hAnsi="times new roman"/>
        </w:rPr>
        <w:t>42.</w:t>
      </w:r>
      <w:r>
        <w:rPr>
          <w:rFonts w:ascii="times new roman" w:hAnsi="times new roman"/>
        </w:rPr>
        <w:tab/>
      </w:r>
      <w:r>
        <w:rPr>
          <w:rFonts w:ascii="times new roman" w:hAnsi="times new roman"/>
        </w:rPr>
        <w:t>Hansen WG. How Accessibility Shapes Land Use. Journal of the American Institute of Planners. 1959 May 1;25(2):73–6. doi:10.1080/01944365908978307</w:t>
      </w:r>
    </w:p>
    <w:p xmlns:wp14="http://schemas.microsoft.com/office/word/2010/wordml" w14:paraId="733E15C1" wp14:textId="77777777">
      <w:pPr>
        <w:pStyle w:val="Bibliography"/>
        <w:spacing w:before="0" w:after="120" w:afterAutospacing="0" w:line="240" w:lineRule="auto"/>
        <w:rPr>
          <w:rFonts w:ascii="times new roman" w:hAnsi="times new roman"/>
        </w:rPr>
      </w:pPr>
      <w:r>
        <w:rPr>
          <w:rFonts w:ascii="times new roman" w:hAnsi="times new roman"/>
        </w:rPr>
        <w:t>43.</w:t>
      </w:r>
      <w:r>
        <w:rPr>
          <w:rFonts w:ascii="times new roman" w:hAnsi="times new roman"/>
        </w:rPr>
        <w:tab/>
      </w:r>
      <w:r>
        <w:rPr>
          <w:rFonts w:ascii="times new roman" w:hAnsi="times new roman"/>
        </w:rPr>
        <w:t>Soukhov A, Pereira RHM, Higgins CD, Páez A. A family of accessibility measures derived from spatial interaction principles. PLOS ONE. 2025 Nov 14;20(11):e0335951. doi:10.1371/journal.pone.0335951</w:t>
      </w:r>
    </w:p>
    <w:p xmlns:wp14="http://schemas.microsoft.com/office/word/2010/wordml" w14:paraId="454B4F5E" wp14:textId="77777777">
      <w:pPr>
        <w:pStyle w:val="Bibliography"/>
        <w:spacing w:before="0" w:after="120" w:afterAutospacing="0" w:line="240" w:lineRule="auto"/>
        <w:rPr>
          <w:rFonts w:ascii="times new roman" w:hAnsi="times new roman"/>
        </w:rPr>
      </w:pPr>
      <w:r>
        <w:rPr>
          <w:rFonts w:ascii="times new roman" w:hAnsi="times new roman"/>
        </w:rPr>
        <w:t>44.</w:t>
      </w:r>
      <w:r>
        <w:rPr>
          <w:rFonts w:ascii="times new roman" w:hAnsi="times new roman"/>
        </w:rPr>
        <w:tab/>
      </w:r>
      <w:r>
        <w:rPr>
          <w:rFonts w:ascii="times new roman" w:hAnsi="times new roman"/>
        </w:rPr>
        <w:t>El-Geneidy A, Levinson D. Making accessibility work in practice. Transport Reviews. 2022 Mar 4;42(2):129–33. doi:10.1080/01441647.2021.1975954</w:t>
      </w:r>
    </w:p>
    <w:p xmlns:wp14="http://schemas.microsoft.com/office/word/2010/wordml" w14:paraId="23DEC20C" wp14:textId="77777777">
      <w:pPr>
        <w:pStyle w:val="Bibliography"/>
        <w:spacing w:before="0" w:after="120" w:afterAutospacing="0" w:line="240" w:lineRule="auto"/>
        <w:rPr>
          <w:rFonts w:ascii="times new roman" w:hAnsi="times new roman"/>
        </w:rPr>
      </w:pPr>
      <w:r>
        <w:rPr>
          <w:rFonts w:ascii="times new roman" w:hAnsi="times new roman"/>
        </w:rPr>
        <w:t>45.</w:t>
      </w:r>
      <w:r>
        <w:rPr>
          <w:rFonts w:ascii="times new roman" w:hAnsi="times new roman"/>
        </w:rPr>
        <w:tab/>
      </w:r>
      <w:r>
        <w:rPr>
          <w:rFonts w:ascii="times new roman" w:hAnsi="times new roman"/>
        </w:rPr>
        <w:t>Palm M, Teel S, Tiznado-Aitken I, Soukhov A, Paez A, Farber S, et al. Developing Data Driven Equity Standards: Stakeholder Perspectives [Internet]. Mobilizing Justice; 2023 May [cited 2023 Dec 12]. p. 26. Report no.: 1. Available from: https://mobilizingjustice.ca/wp-content/uploads/2023/06/Developing_Data_Driven_Standards_FINAL_2023_06_06.pdf</w:t>
      </w:r>
    </w:p>
    <w:p xmlns:wp14="http://schemas.microsoft.com/office/word/2010/wordml" w14:paraId="3F3ADA86" wp14:textId="77777777">
      <w:pPr>
        <w:pStyle w:val="Bibliography"/>
        <w:spacing w:before="0" w:after="120" w:afterAutospacing="0" w:line="240" w:lineRule="auto"/>
        <w:rPr>
          <w:rFonts w:ascii="times new roman" w:hAnsi="times new roman"/>
        </w:rPr>
      </w:pPr>
      <w:r>
        <w:rPr>
          <w:rFonts w:ascii="times new roman" w:hAnsi="times new roman"/>
        </w:rPr>
        <w:t>46.</w:t>
      </w:r>
      <w:r>
        <w:rPr>
          <w:rFonts w:ascii="times new roman" w:hAnsi="times new roman"/>
        </w:rPr>
        <w:tab/>
      </w:r>
      <w:r>
        <w:rPr>
          <w:rFonts w:ascii="times new roman" w:hAnsi="times new roman"/>
        </w:rPr>
        <w:t>Martens K. Transportation Planning Based on Principles of Justice. In: Transport Justice. Routledge; 2016.</w:t>
      </w:r>
    </w:p>
    <w:p xmlns:wp14="http://schemas.microsoft.com/office/word/2010/wordml" w14:paraId="0E86E42B" wp14:textId="77777777">
      <w:pPr>
        <w:pStyle w:val="Bibliography"/>
        <w:spacing w:before="0" w:after="120" w:afterAutospacing="0" w:line="240" w:lineRule="auto"/>
        <w:rPr>
          <w:rFonts w:ascii="times new roman" w:hAnsi="times new roman"/>
        </w:rPr>
      </w:pPr>
      <w:r>
        <w:rPr>
          <w:rFonts w:ascii="times new roman" w:hAnsi="times new roman"/>
        </w:rPr>
        <w:t>47.</w:t>
      </w:r>
      <w:r>
        <w:rPr>
          <w:rFonts w:ascii="times new roman" w:hAnsi="times new roman"/>
        </w:rPr>
        <w:tab/>
      </w:r>
      <w:r>
        <w:rPr>
          <w:rFonts w:ascii="times new roman" w:hAnsi="times new roman"/>
        </w:rPr>
        <w:t>Wu H, Avner P, Boisjoly G, Braga CKV, El-Geneidy A, Huang J, et al. Urban access across the globe: an international comparison of different transport modes. npj Urban Sustain. 2021 May 27;1(1):16. doi:10.1038/s42949-021-00020-2</w:t>
      </w:r>
    </w:p>
    <w:p xmlns:wp14="http://schemas.microsoft.com/office/word/2010/wordml" w14:paraId="79A6071A" wp14:textId="77777777">
      <w:pPr>
        <w:pStyle w:val="Bibliography"/>
        <w:spacing w:before="0" w:after="120" w:afterAutospacing="0" w:line="240" w:lineRule="auto"/>
        <w:rPr>
          <w:rFonts w:ascii="times new roman" w:hAnsi="times new roman"/>
        </w:rPr>
      </w:pPr>
      <w:r>
        <w:rPr>
          <w:rFonts w:ascii="times new roman" w:hAnsi="times new roman"/>
        </w:rPr>
        <w:t>48.</w:t>
      </w:r>
      <w:r>
        <w:rPr>
          <w:rFonts w:ascii="times new roman" w:hAnsi="times new roman"/>
        </w:rPr>
        <w:tab/>
      </w:r>
      <w:r>
        <w:rPr>
          <w:rFonts w:ascii="times new roman" w:hAnsi="times new roman"/>
        </w:rPr>
        <w:t>Ryan J, Martens K. Defining and implementing a sufficient level of accessibility: What’s stopping us? Transportation Research Part A: Policy and Practice. 2023 Sep 1;175:103792. doi:10.1016/j.tra.2023.103792</w:t>
      </w:r>
    </w:p>
    <w:p xmlns:wp14="http://schemas.microsoft.com/office/word/2010/wordml" w14:paraId="2A3733F1" wp14:textId="77777777">
      <w:pPr>
        <w:pStyle w:val="Bibliography"/>
        <w:spacing w:before="0" w:after="120" w:afterAutospacing="0" w:line="240" w:lineRule="auto"/>
        <w:rPr>
          <w:rFonts w:ascii="times new roman" w:hAnsi="times new roman"/>
        </w:rPr>
      </w:pPr>
      <w:r>
        <w:rPr>
          <w:rFonts w:ascii="times new roman" w:hAnsi="times new roman"/>
        </w:rPr>
        <w:t>49.</w:t>
      </w:r>
      <w:r>
        <w:rPr>
          <w:rFonts w:ascii="times new roman" w:hAnsi="times new roman"/>
        </w:rPr>
        <w:tab/>
      </w:r>
      <w:r>
        <w:rPr>
          <w:rFonts w:ascii="times new roman" w:hAnsi="times new roman"/>
        </w:rPr>
        <w:t>Wee B van, Geurs K. Discussing Equity and Social Exclusion in Accessibility Evaluations. European Journal of Transport and Infrastructure Research. 2011 Sep 1;11(4):4. doi:10.18757/ejtir.2011.11.4.2940</w:t>
      </w:r>
    </w:p>
    <w:p xmlns:wp14="http://schemas.microsoft.com/office/word/2010/wordml" w14:paraId="671D1F5D" wp14:textId="77777777">
      <w:pPr>
        <w:pStyle w:val="Bibliography"/>
        <w:spacing w:before="0" w:after="120" w:afterAutospacing="0" w:line="240" w:lineRule="auto"/>
        <w:rPr>
          <w:rFonts w:ascii="times new roman" w:hAnsi="times new roman"/>
        </w:rPr>
      </w:pPr>
      <w:r>
        <w:rPr>
          <w:rFonts w:ascii="times new roman" w:hAnsi="times new roman"/>
        </w:rPr>
        <w:t>50.</w:t>
      </w:r>
      <w:r>
        <w:rPr>
          <w:rFonts w:ascii="times new roman" w:hAnsi="times new roman"/>
        </w:rPr>
        <w:tab/>
      </w:r>
      <w:r>
        <w:rPr>
          <w:rFonts w:ascii="times new roman" w:hAnsi="times new roman"/>
        </w:rPr>
        <w:t>Marc Steen, Menno Manschot, Nicole De Koning. Benefits of Co-design in Service Design Projects. International Journal of Design [Internet]. 2011 [cited 2026 Sep 8];5(2). Available from: https://www.ijdesign.org/index.php/IJDesign/article/view/890/346</w:t>
      </w:r>
    </w:p>
    <w:p xmlns:wp14="http://schemas.microsoft.com/office/word/2010/wordml" w14:paraId="7E83E10D" wp14:textId="77777777">
      <w:pPr>
        <w:pStyle w:val="Bibliography"/>
        <w:spacing w:before="0" w:after="120" w:afterAutospacing="0" w:line="240" w:lineRule="auto"/>
        <w:rPr>
          <w:rFonts w:ascii="times new roman" w:hAnsi="times new roman"/>
        </w:rPr>
      </w:pPr>
      <w:r>
        <w:rPr>
          <w:rFonts w:ascii="times new roman" w:hAnsi="times new roman"/>
        </w:rPr>
        <w:t>51.</w:t>
      </w:r>
      <w:r>
        <w:rPr>
          <w:rFonts w:ascii="times new roman" w:hAnsi="times new roman"/>
        </w:rPr>
        <w:tab/>
      </w:r>
      <w:r>
        <w:rPr>
          <w:rFonts w:ascii="times new roman" w:hAnsi="times new roman"/>
        </w:rPr>
        <w:t>Sánchez De La Guía L, Puyuelo Cazorla M, de-Miguel-Molina B. Terms and meanings of “participation” in product design: From “user involvement” to “co-design.” The Design Journal. 2017 Jul 28;20(sup1):S4539–51. doi:10.1080/14606925.2017.1352951</w:t>
      </w:r>
    </w:p>
    <w:p xmlns:wp14="http://schemas.microsoft.com/office/word/2010/wordml" w14:paraId="254E7AB0" wp14:textId="77777777">
      <w:pPr>
        <w:pStyle w:val="Bibliography"/>
        <w:spacing w:before="0" w:after="120" w:afterAutospacing="0" w:line="240" w:lineRule="auto"/>
        <w:rPr>
          <w:rFonts w:ascii="times new roman" w:hAnsi="times new roman"/>
        </w:rPr>
      </w:pPr>
      <w:r>
        <w:rPr>
          <w:rFonts w:ascii="times new roman" w:hAnsi="times new roman"/>
        </w:rPr>
        <w:t>52.</w:t>
      </w:r>
      <w:r>
        <w:rPr>
          <w:rFonts w:ascii="times new roman" w:hAnsi="times new roman"/>
        </w:rPr>
        <w:tab/>
      </w:r>
      <w:r>
        <w:rPr>
          <w:rFonts w:ascii="times new roman" w:hAnsi="times new roman"/>
        </w:rPr>
        <w:t>Vargas C, Zorbas C, Longworth GR, Ugalde A, Needham C, Sunil A, et al. Exploring co-design: a systematic review of concepts, processes, models, and frameworks used in public health research. Journal of Public Health. 2025 Dec 1;47(4):e616–39. doi:10.1093/pubmed/fdaf084</w:t>
      </w:r>
    </w:p>
    <w:p xmlns:wp14="http://schemas.microsoft.com/office/word/2010/wordml" w14:paraId="42AB18F2" wp14:textId="77777777">
      <w:pPr>
        <w:pStyle w:val="Bibliography"/>
        <w:spacing w:before="0" w:after="120" w:afterAutospacing="0" w:line="240" w:lineRule="auto"/>
        <w:rPr>
          <w:rFonts w:ascii="times new roman" w:hAnsi="times new roman"/>
        </w:rPr>
      </w:pPr>
      <w:r>
        <w:rPr>
          <w:rFonts w:ascii="times new roman" w:hAnsi="times new roman"/>
        </w:rPr>
        <w:t>53.</w:t>
      </w:r>
      <w:r>
        <w:rPr>
          <w:rFonts w:ascii="times new roman" w:hAnsi="times new roman"/>
        </w:rPr>
        <w:tab/>
      </w:r>
      <w:r>
        <w:rPr>
          <w:rFonts w:ascii="times new roman" w:hAnsi="times new roman"/>
        </w:rPr>
        <w:t>DeLuca PF, Kanaroglou PS, DeLuca PF, Kanaroglou PS. Code Red: Explaining Average Age of Death in the City of Hamilton. AIMSPH. 2015;2(4):730–45. doi:10.3934/publichealth.2015.4.730</w:t>
      </w:r>
    </w:p>
    <w:p xmlns:wp14="http://schemas.microsoft.com/office/word/2010/wordml" w14:paraId="11989096" wp14:textId="77777777">
      <w:pPr>
        <w:pStyle w:val="Bibliography"/>
        <w:spacing w:before="0" w:after="120" w:afterAutospacing="0" w:line="240" w:lineRule="auto"/>
        <w:rPr>
          <w:rFonts w:ascii="times new roman" w:hAnsi="times new roman"/>
        </w:rPr>
      </w:pPr>
      <w:r>
        <w:rPr>
          <w:rFonts w:ascii="times new roman" w:hAnsi="times new roman"/>
        </w:rPr>
        <w:t>54.</w:t>
      </w:r>
      <w:r>
        <w:rPr>
          <w:rFonts w:ascii="times new roman" w:hAnsi="times new roman"/>
        </w:rPr>
        <w:tab/>
      </w:r>
      <w:r>
        <w:rPr>
          <w:rFonts w:ascii="times new roman" w:hAnsi="times new roman"/>
        </w:rPr>
        <w:t>Hasso Plattner Institute of Design. An Introduction to Design Thinking PROCESS GUIDE [Internet]. Hasso Plattner Institute of Design. Available from: https://web.stanford.edu/~mshanks/MichaelShanks/files/509554.pdf</w:t>
      </w:r>
    </w:p>
    <w:p xmlns:wp14="http://schemas.microsoft.com/office/word/2010/wordml" w14:paraId="49FCEDC9" wp14:textId="77777777">
      <w:pPr>
        <w:pStyle w:val="Bibliography"/>
        <w:spacing w:before="0" w:after="120" w:afterAutospacing="0" w:line="240" w:lineRule="auto"/>
        <w:rPr>
          <w:rFonts w:ascii="times new roman" w:hAnsi="times new roman"/>
        </w:rPr>
      </w:pPr>
      <w:r>
        <w:rPr>
          <w:rFonts w:ascii="times new roman" w:hAnsi="times new roman"/>
        </w:rPr>
        <w:t>55.</w:t>
      </w:r>
      <w:r>
        <w:rPr>
          <w:rFonts w:ascii="times new roman" w:hAnsi="times new roman"/>
        </w:rPr>
        <w:tab/>
      </w:r>
      <w:r>
        <w:rPr>
          <w:rFonts w:ascii="times new roman" w:hAnsi="times new roman"/>
        </w:rPr>
        <w:t>McMaster University. Equity-based Co-Creation Hub [Internet]. 2026 [cited 2026 Sep 8]. McMaster University’s Equity-based Co-Creation Hub. Available from: https://codesign.mcmaster.ca/</w:t>
      </w:r>
    </w:p>
    <w:p xmlns:wp14="http://schemas.microsoft.com/office/word/2010/wordml" w14:paraId="20DE64C7" wp14:textId="77777777">
      <w:pPr>
        <w:pStyle w:val="Bibliography"/>
        <w:spacing w:before="0" w:after="120" w:afterAutospacing="0" w:line="240" w:lineRule="auto"/>
        <w:rPr>
          <w:rFonts w:ascii="times new roman" w:hAnsi="times new roman"/>
        </w:rPr>
      </w:pPr>
      <w:r>
        <w:rPr>
          <w:rFonts w:ascii="times new roman" w:hAnsi="times new roman"/>
        </w:rPr>
        <w:t>56.</w:t>
      </w:r>
      <w:r>
        <w:rPr>
          <w:rFonts w:ascii="times new roman" w:hAnsi="times new roman"/>
        </w:rPr>
        <w:tab/>
      </w:r>
      <w:r>
        <w:rPr>
          <w:rFonts w:ascii="times new roman" w:hAnsi="times new roman"/>
        </w:rPr>
        <w:t>Jens  von B, Dmitry S, Jacobs A. cancensus: R package to access, retrieve, and work with Canadian Census data and geography [Internet]. 2026. Available from: https://mountainmath.github.io/cancensus/</w:t>
      </w:r>
    </w:p>
    <w:p xmlns:wp14="http://schemas.microsoft.com/office/word/2010/wordml" w14:paraId="1A82D04B" wp14:textId="77777777">
      <w:pPr>
        <w:pStyle w:val="Bibliography"/>
        <w:spacing w:before="0" w:after="120" w:afterAutospacing="0" w:line="240" w:lineRule="auto"/>
        <w:rPr>
          <w:rFonts w:ascii="times new roman" w:hAnsi="times new roman"/>
        </w:rPr>
      </w:pPr>
      <w:r>
        <w:rPr>
          <w:rFonts w:ascii="times new roman" w:hAnsi="times new roman"/>
        </w:rPr>
        <w:t>57.</w:t>
      </w:r>
      <w:r>
        <w:rPr>
          <w:rFonts w:ascii="times new roman" w:hAnsi="times new roman"/>
        </w:rPr>
        <w:tab/>
      </w:r>
      <w:r>
        <w:rPr>
          <w:rFonts w:ascii="times new roman" w:hAnsi="times new roman"/>
        </w:rPr>
        <w:t>Pereira RHM, Saraiva M, Herszenhut D, Braga CKV, Conway MW. r5r: Rapid Realistic Routing on Multimodal Transport Networks with R</w:t>
      </w:r>
      <w:r>
        <w:rPr>
          <w:rFonts w:ascii="times new roman" w:hAnsi="times new roman"/>
          <w:vertAlign w:val="superscript"/>
        </w:rPr>
        <w:t>5</w:t>
      </w:r>
      <w:r>
        <w:rPr>
          <w:rFonts w:ascii="times new roman" w:hAnsi="times new roman"/>
        </w:rPr>
        <w:t xml:space="preserve"> in R. Findings. 2021 Mar 4. doi:10.32866/001c.21262</w:t>
      </w:r>
    </w:p>
    <w:p xmlns:wp14="http://schemas.microsoft.com/office/word/2010/wordml" w14:paraId="000640B8" wp14:textId="77777777">
      <w:pPr>
        <w:pStyle w:val="Bibliography"/>
        <w:spacing w:before="0" w:after="120" w:afterAutospacing="0" w:line="240" w:lineRule="auto"/>
        <w:rPr>
          <w:rFonts w:ascii="times new roman" w:hAnsi="times new roman"/>
        </w:rPr>
      </w:pPr>
      <w:r>
        <w:rPr>
          <w:rFonts w:ascii="times new roman" w:hAnsi="times new roman"/>
        </w:rPr>
        <w:t>58.</w:t>
      </w:r>
      <w:r>
        <w:rPr>
          <w:rFonts w:ascii="times new roman" w:hAnsi="times new roman"/>
        </w:rPr>
        <w:tab/>
      </w:r>
      <w:r>
        <w:rPr>
          <w:rFonts w:ascii="times new roman" w:hAnsi="times new roman"/>
        </w:rPr>
        <w:t>Bhagat-Conway M, Palm M. {gtfsrealtime}: a Package for Working with GTFS-Realtime Transit Data in R. Findings. 2026 Aug 31. doi:10.32866/001c.168472</w:t>
      </w:r>
    </w:p>
    <w:p xmlns:wp14="http://schemas.microsoft.com/office/word/2010/wordml" w14:paraId="473C480F" wp14:textId="77777777">
      <w:pPr>
        <w:pStyle w:val="Bibliography"/>
        <w:spacing w:before="0" w:after="120" w:afterAutospacing="0" w:line="240" w:lineRule="auto"/>
        <w:rPr>
          <w:rFonts w:ascii="times new roman" w:hAnsi="times new roman"/>
        </w:rPr>
      </w:pPr>
      <w:r>
        <w:rPr>
          <w:rFonts w:ascii="times new roman" w:hAnsi="times new roman"/>
        </w:rPr>
        <w:t>59.</w:t>
      </w:r>
      <w:r>
        <w:rPr>
          <w:rFonts w:ascii="times new roman" w:hAnsi="times new roman"/>
        </w:rPr>
        <w:tab/>
      </w:r>
      <w:r>
        <w:rPr>
          <w:rFonts w:ascii="times new roman" w:hAnsi="times new roman"/>
        </w:rPr>
        <w:t>Soukhov A, Páez A. TTS2016R: A data set to study population and employment patterns from the 2016 Transportation Tomorrow Survey in the Greater Golden Horseshoe area, Ontario, Canada. Environment and Planning B: Urban Analytics and City Science. 2023 Feb;50(2):556–63. doi:10.1177/23998083221146781</w:t>
      </w:r>
    </w:p>
    <w:p xmlns:wp14="http://schemas.microsoft.com/office/word/2010/wordml" w14:paraId="4A46EE97" wp14:textId="77777777">
      <w:pPr>
        <w:pStyle w:val="Bibliography"/>
        <w:spacing w:before="0" w:after="120" w:afterAutospacing="0" w:line="240" w:lineRule="auto"/>
        <w:rPr>
          <w:rFonts w:ascii="times new roman" w:hAnsi="times new roman"/>
        </w:rPr>
      </w:pPr>
      <w:r>
        <w:rPr>
          <w:rFonts w:ascii="times new roman" w:hAnsi="times new roman"/>
        </w:rPr>
        <w:t>60.</w:t>
      </w:r>
      <w:r>
        <w:rPr>
          <w:rFonts w:ascii="times new roman" w:hAnsi="times new roman"/>
        </w:rPr>
        <w:tab/>
      </w:r>
      <w:r>
        <w:rPr>
          <w:rFonts w:ascii="times new roman" w:hAnsi="times new roman"/>
        </w:rPr>
        <w:t>Paez A, Robin. paezha/spatial-analysis-R: Pre-release to obtain doi from Zenodo [Internet]. Zenodo; 2021 [cited 2026 Sep 12]. Available from: https://zenodo.org/record/5155983 doi:10.5281/ZENODO.5155983</w:t>
      </w:r>
    </w:p>
    <w:p xmlns:wp14="http://schemas.microsoft.com/office/word/2010/wordml" w14:paraId="624858FE" wp14:textId="77777777">
      <w:pPr>
        <w:pStyle w:val="Bibliography"/>
        <w:spacing w:before="0" w:after="120" w:afterAutospacing="0" w:line="240" w:lineRule="auto"/>
        <w:rPr>
          <w:rFonts w:ascii="times new roman" w:hAnsi="times new roman"/>
        </w:rPr>
      </w:pPr>
      <w:r>
        <w:rPr>
          <w:rFonts w:ascii="times new roman" w:hAnsi="times new roman"/>
        </w:rPr>
        <w:t>61.</w:t>
      </w:r>
      <w:r>
        <w:rPr>
          <w:rFonts w:ascii="times new roman" w:hAnsi="times new roman"/>
        </w:rPr>
        <w:tab/>
      </w:r>
      <w:r>
        <w:rPr>
          <w:rFonts w:ascii="times new roman" w:hAnsi="times new roman"/>
        </w:rPr>
        <w:t>Bertram MG, Sundin J, Roche DG, Sánchez-Tójar A, Thoré ESJ, Brodin T. Open science. Current Biology. 2023 Aug;33(15):R792–7. doi:10.1016/j.cub.2023.05.036</w:t>
      </w:r>
    </w:p>
    <w:p xmlns:wp14="http://schemas.microsoft.com/office/word/2010/wordml" w14:paraId="7B0B4CDE" wp14:textId="77777777">
      <w:pPr>
        <w:pStyle w:val="Bibliography"/>
        <w:spacing w:before="0" w:after="120" w:afterAutospacing="0" w:line="240" w:lineRule="auto"/>
        <w:rPr>
          <w:rFonts w:ascii="times new roman" w:hAnsi="times new roman"/>
        </w:rPr>
      </w:pPr>
      <w:r>
        <w:rPr>
          <w:rFonts w:ascii="times new roman" w:hAnsi="times new roman"/>
        </w:rPr>
        <w:t>62.</w:t>
      </w:r>
      <w:r>
        <w:rPr>
          <w:rFonts w:ascii="times new roman" w:hAnsi="times new roman"/>
        </w:rPr>
        <w:tab/>
      </w:r>
      <w:r>
        <w:rPr>
          <w:rFonts w:ascii="times new roman" w:hAnsi="times new roman"/>
        </w:rPr>
        <w:t>Arribas-Bel D, Green M, Rowe F, Singleton A. Open data products-A framework for creating valuable analysis ready data. J Geogr Syst. 2021 Oct;23(4):497–514. doi:10.1007/s10109-021-00363-5</w:t>
      </w:r>
    </w:p>
    <w:p xmlns:wp14="http://schemas.microsoft.com/office/word/2010/wordml" w14:paraId="22418A63" wp14:textId="77777777">
      <w:pPr>
        <w:pStyle w:val="Bibliography"/>
        <w:spacing w:before="0" w:after="120" w:afterAutospacing="0" w:line="240" w:lineRule="auto"/>
        <w:rPr>
          <w:rFonts w:ascii="times new roman" w:hAnsi="times new roman"/>
        </w:rPr>
      </w:pPr>
      <w:r>
        <w:rPr>
          <w:rFonts w:ascii="times new roman" w:hAnsi="times new roman"/>
        </w:rPr>
        <w:t>63.</w:t>
      </w:r>
      <w:r>
        <w:rPr>
          <w:rFonts w:ascii="times new roman" w:hAnsi="times new roman"/>
        </w:rPr>
        <w:tab/>
      </w:r>
      <w:r>
        <w:rPr>
          <w:rFonts w:ascii="times new roman" w:hAnsi="times new roman"/>
        </w:rPr>
        <w:t>Santos BDD, Moghadasi M, Páez A. ActiveCA: Time use data from the general social survey of Canada to study active travel. Environment and Planning B: Urban Analytics and City Science. 2025 Oct;52(8):2037–47. doi:10.1177/23998083251374724</w:t>
      </w:r>
    </w:p>
    <w:p xmlns:wp14="http://schemas.microsoft.com/office/word/2010/wordml" w14:paraId="4275FA38" wp14:textId="77777777">
      <w:pPr>
        <w:pStyle w:val="Bibliography"/>
        <w:spacing w:before="0" w:after="120" w:afterAutospacing="0" w:line="240" w:lineRule="auto"/>
        <w:rPr>
          <w:rFonts w:ascii="times new roman" w:hAnsi="times new roman"/>
        </w:rPr>
      </w:pPr>
      <w:r>
        <w:rPr>
          <w:rFonts w:ascii="times new roman" w:hAnsi="times new roman"/>
        </w:rPr>
        <w:t>64.</w:t>
      </w:r>
      <w:r>
        <w:rPr>
          <w:rFonts w:ascii="times new roman" w:hAnsi="times new roman"/>
        </w:rPr>
        <w:tab/>
      </w:r>
      <w:r>
        <w:rPr>
          <w:rFonts w:ascii="times new roman" w:hAnsi="times new roman"/>
        </w:rPr>
        <w:t>Desjardins E, Higgins CD, Páez A. Examining equity in accessibility to bike share: A balanced floating catchment area approach. Transportation Research Part D: Transport and Environment. 2022 Jan;102:103091. doi:10.1016/j.trd.2021.103091</w:t>
      </w:r>
    </w:p>
    <w:p xmlns:wp14="http://schemas.microsoft.com/office/word/2010/wordml" w14:paraId="6A5594BE" wp14:textId="77777777">
      <w:pPr>
        <w:pStyle w:val="Bibliography"/>
        <w:spacing w:before="0" w:after="120" w:afterAutospacing="0" w:line="240" w:lineRule="auto"/>
        <w:rPr>
          <w:rFonts w:ascii="times new roman" w:hAnsi="times new roman"/>
        </w:rPr>
      </w:pPr>
      <w:r>
        <w:rPr>
          <w:rFonts w:ascii="times new roman" w:hAnsi="times new roman"/>
        </w:rPr>
        <w:t>65.</w:t>
      </w:r>
      <w:r>
        <w:rPr>
          <w:rFonts w:ascii="times new roman" w:hAnsi="times new roman"/>
        </w:rPr>
        <w:tab/>
      </w:r>
      <w:r>
        <w:rPr>
          <w:rFonts w:ascii="times new roman" w:hAnsi="times new roman"/>
        </w:rPr>
        <w:t>Páez A. Open spatial sciences: an introduction. J Geogr Syst. 2021 Oct;23(4):467–76. doi:10.1007/s10109-021-00364-4</w:t>
      </w:r>
    </w:p>
    <w:p xmlns:wp14="http://schemas.microsoft.com/office/word/2010/wordml" w14:paraId="6D0CA2EA" wp14:textId="77777777">
      <w:pPr>
        <w:pStyle w:val="Bibliography"/>
        <w:spacing w:before="0" w:after="120" w:afterAutospacing="0" w:line="240" w:lineRule="auto"/>
        <w:rPr>
          <w:rFonts w:ascii="times new roman" w:hAnsi="times new roman"/>
        </w:rPr>
      </w:pPr>
      <w:r>
        <w:rPr>
          <w:rFonts w:ascii="times new roman" w:hAnsi="times new roman"/>
        </w:rPr>
        <w:t>66.</w:t>
      </w:r>
      <w:r>
        <w:rPr>
          <w:rFonts w:ascii="times new roman" w:hAnsi="times new roman"/>
        </w:rPr>
        <w:tab/>
      </w:r>
      <w:r>
        <w:rPr>
          <w:rFonts w:ascii="times new roman" w:hAnsi="times new roman"/>
        </w:rPr>
        <w:t>Karner A, Pereira RHM, Farber S. Advances and pitfalls in measuring transportation equity. Transportation (Dordrecht). 2025;52(4):1399–427. doi:10.1007/s11116-023-10460-7</w:t>
      </w:r>
    </w:p>
    <w:p xmlns:wp14="http://schemas.microsoft.com/office/word/2010/wordml" w14:paraId="268026E2" wp14:textId="77777777">
      <w:pPr>
        <w:pStyle w:val="Bibliography"/>
        <w:spacing w:before="0" w:after="120" w:afterAutospacing="0" w:line="240" w:lineRule="auto"/>
        <w:rPr>
          <w:rFonts w:ascii="times new roman" w:hAnsi="times new roman"/>
        </w:rPr>
      </w:pPr>
      <w:r>
        <w:rPr>
          <w:rFonts w:ascii="times new roman" w:hAnsi="times new roman"/>
        </w:rPr>
        <w:t>67.</w:t>
      </w:r>
      <w:r>
        <w:rPr>
          <w:rFonts w:ascii="times new roman" w:hAnsi="times new roman"/>
        </w:rPr>
        <w:tab/>
      </w:r>
      <w:r>
        <w:rPr>
          <w:rFonts w:ascii="times new roman" w:hAnsi="times new roman"/>
        </w:rPr>
        <w:t>Herszenhut D, Pereira RHM, Portugal L da S, Oliveira MH de S. The impact of transit monetary costs on transport inequality. Journal of Transport Geography. 2022 Feb 1;99:103309. doi:10.1016/j.jtrangeo.2022.103309</w:t>
      </w:r>
    </w:p>
    <w:p xmlns:wp14="http://schemas.microsoft.com/office/word/2010/wordml" w14:paraId="288DB9E6" wp14:textId="77777777">
      <w:pPr>
        <w:pStyle w:val="Bibliography"/>
        <w:spacing w:before="0" w:after="120" w:afterAutospacing="0" w:line="240" w:lineRule="auto"/>
        <w:rPr>
          <w:rFonts w:ascii="times new roman" w:hAnsi="times new roman"/>
        </w:rPr>
      </w:pPr>
      <w:r>
        <w:rPr>
          <w:rFonts w:ascii="times new roman" w:hAnsi="times new roman"/>
        </w:rPr>
        <w:t>68.</w:t>
      </w:r>
      <w:r>
        <w:rPr>
          <w:rFonts w:ascii="times new roman" w:hAnsi="times new roman"/>
        </w:rPr>
        <w:tab/>
      </w:r>
      <w:r>
        <w:rPr>
          <w:rFonts w:ascii="times new roman" w:hAnsi="times new roman"/>
        </w:rPr>
        <w:t>Fink C, Klumpenhouwer W, Saraiva M, Pereira R, Tenkanen H. r5py: Rapid Realistic Routing with R5 in Python [Internet]. Zenodo; 2022 [cited 2026 Sep 12]. Available from: https://zenodo.org/record/7060438 doi:10.5281/ZENODO.7060438</w:t>
      </w:r>
    </w:p>
    <w:p xmlns:wp14="http://schemas.microsoft.com/office/word/2010/wordml" w14:paraId="46223A5B" wp14:textId="77777777">
      <w:pPr>
        <w:pStyle w:val="Bibliography"/>
        <w:spacing w:before="0" w:after="120" w:afterAutospacing="0" w:line="240" w:lineRule="auto"/>
        <w:rPr>
          <w:rFonts w:ascii="times new roman" w:hAnsi="times new roman"/>
        </w:rPr>
      </w:pPr>
      <w:r>
        <w:rPr>
          <w:rFonts w:ascii="times new roman" w:hAnsi="times new roman"/>
        </w:rPr>
        <w:t>69.</w:t>
      </w:r>
      <w:r>
        <w:rPr>
          <w:rFonts w:ascii="times new roman" w:hAnsi="times new roman"/>
        </w:rPr>
        <w:tab/>
      </w:r>
      <w:r>
        <w:rPr>
          <w:rFonts w:ascii="times new roman" w:hAnsi="times new roman"/>
        </w:rPr>
        <w:t>Higgins CD, Li C, Páez A. Person-based aggregate space-time accessibility (PASTA): Bridging the gap between place- and person-based accessibility. Journal of Transport Geography. 2026 Apr 1;132:104602. doi:10.1016/j.jtrangeo.2026.104602</w:t>
      </w:r>
    </w:p>
    <w:p xmlns:wp14="http://schemas.microsoft.com/office/word/2010/wordml" w14:paraId="231264CF" wp14:textId="77777777">
      <w:pPr>
        <w:pStyle w:val="Bibliography"/>
        <w:spacing w:before="0" w:after="120" w:afterAutospacing="0" w:line="240" w:lineRule="auto"/>
        <w:rPr>
          <w:rFonts w:ascii="times new roman" w:hAnsi="times new roman"/>
        </w:rPr>
      </w:pPr>
      <w:r>
        <w:rPr>
          <w:rFonts w:ascii="times new roman" w:hAnsi="times new roman"/>
        </w:rPr>
        <w:t>70.</w:t>
      </w:r>
      <w:r>
        <w:rPr>
          <w:rFonts w:ascii="times new roman" w:hAnsi="times new roman"/>
        </w:rPr>
        <w:tab/>
      </w:r>
      <w:r>
        <w:rPr>
          <w:rFonts w:ascii="times new roman" w:hAnsi="times new roman"/>
        </w:rPr>
        <w:t>Soukhov A, Páez A, Higgins CD, Mohamed M. Introducing spatial availability, a singly-constrained measure of competitive accessibility. Plos One. 2023;18(1):e0278468. doi:10.1371/journal.pone.0278468</w:t>
      </w:r>
    </w:p>
    <w:p xmlns:wp14="http://schemas.microsoft.com/office/word/2010/wordml" w14:paraId="0F13BE0D" wp14:textId="77777777">
      <w:pPr>
        <w:pStyle w:val="Bibliography"/>
        <w:spacing w:before="0" w:after="120" w:afterAutospacing="0" w:line="240" w:lineRule="auto"/>
        <w:rPr>
          <w:rFonts w:ascii="times new roman" w:hAnsi="times new roman"/>
        </w:rPr>
      </w:pPr>
      <w:r>
        <w:rPr>
          <w:rFonts w:ascii="times new roman" w:hAnsi="times new roman"/>
        </w:rPr>
        <w:t>71.</w:t>
      </w:r>
      <w:r>
        <w:rPr>
          <w:rFonts w:ascii="times new roman" w:hAnsi="times new roman"/>
        </w:rPr>
        <w:tab/>
      </w:r>
      <w:r>
        <w:rPr>
          <w:rFonts w:ascii="times new roman" w:hAnsi="times new roman"/>
        </w:rPr>
        <w:t>Parga JPFA, Soukhov A, Arku RN, Higgins CD, Páez A. Democratic Access to our Cities: The impacts of recent changes to transit services in major Canadian metropolitan areas [Internet]. 2025 Jan [cited 2026 Sep 23]. Available from: https://hdl.handle.net/1807/152158</w:t>
      </w:r>
    </w:p>
    <w:p xmlns:wp14="http://schemas.microsoft.com/office/word/2010/wordml" w14:paraId="2D8A298F" wp14:textId="77777777">
      <w:pPr>
        <w:pStyle w:val="Bibliography"/>
        <w:spacing w:before="0" w:after="120" w:afterAutospacing="0" w:line="240" w:lineRule="auto"/>
        <w:rPr>
          <w:rFonts w:ascii="times new roman" w:hAnsi="times new roman"/>
        </w:rPr>
      </w:pPr>
      <w:r>
        <w:rPr>
          <w:rFonts w:ascii="times new roman" w:hAnsi="times new roman"/>
        </w:rPr>
        <w:t>72.</w:t>
      </w:r>
      <w:r>
        <w:rPr>
          <w:rFonts w:ascii="times new roman" w:hAnsi="times new roman"/>
        </w:rPr>
        <w:tab/>
      </w:r>
      <w:r>
        <w:rPr>
          <w:rFonts w:ascii="times new roman" w:hAnsi="times new roman"/>
        </w:rPr>
        <w:t>Higgins CD, Páez A, Kim G, Wang J. Changes in accessibility to emergency and community food services during COVID-19 and implications for low income populations in Hamilton, Ontario. Social Science &amp; Medicine. 2021 Dec 1;291:114442. doi:https://doi.org/10.1016/j.socscimed.2021.114442</w:t>
      </w:r>
    </w:p>
    <w:p xmlns:wp14="http://schemas.microsoft.com/office/word/2010/wordml" w14:paraId="1D2C77AD" wp14:textId="77777777">
      <w:pPr>
        <w:pStyle w:val="Bibliography"/>
        <w:spacing w:before="0" w:after="120" w:afterAutospacing="0" w:line="240" w:lineRule="auto"/>
        <w:rPr>
          <w:rFonts w:ascii="times new roman" w:hAnsi="times new roman"/>
        </w:rPr>
      </w:pPr>
      <w:r>
        <w:rPr>
          <w:rFonts w:ascii="times new roman" w:hAnsi="times new roman"/>
        </w:rPr>
        <w:t>73.</w:t>
      </w:r>
      <w:r>
        <w:rPr>
          <w:rFonts w:ascii="times new roman" w:hAnsi="times new roman"/>
        </w:rPr>
        <w:tab/>
      </w:r>
      <w:r>
        <w:rPr>
          <w:rFonts w:ascii="times new roman" w:hAnsi="times new roman"/>
        </w:rPr>
        <w:t>Arku RN, Higgins CD, Farber S. Untangling proximity and accessibility effects of transit on property prices. Transport Policy. 2025 Dec 1;174:103852. doi:10.1016/j.tranpol.2025.103852</w:t>
      </w:r>
    </w:p>
    <w:p xmlns:wp14="http://schemas.microsoft.com/office/word/2010/wordml" w14:paraId="2C43835C" wp14:textId="77777777">
      <w:pPr>
        <w:pStyle w:val="Bibliography"/>
        <w:spacing w:before="0" w:after="120" w:afterAutospacing="0" w:line="240" w:lineRule="auto"/>
        <w:rPr>
          <w:rFonts w:ascii="times new roman" w:hAnsi="times new roman"/>
        </w:rPr>
      </w:pPr>
      <w:r>
        <w:rPr>
          <w:rFonts w:ascii="times new roman" w:hAnsi="times new roman"/>
        </w:rPr>
        <w:t>74.</w:t>
      </w:r>
      <w:r>
        <w:rPr>
          <w:rFonts w:ascii="times new roman" w:hAnsi="times new roman"/>
        </w:rPr>
        <w:tab/>
      </w:r>
      <w:r>
        <w:rPr>
          <w:rFonts w:ascii="times new roman" w:hAnsi="times new roman"/>
        </w:rPr>
        <w:t>Higgins CD. pycnogrid [R] [Internet]. 2026 [cited 2026 Sep 12]. Available from: https://github.com/higgicd/pycnogrid</w:t>
      </w:r>
    </w:p>
    <w:p xmlns:wp14="http://schemas.microsoft.com/office/word/2010/wordml" w14:paraId="3E4C24A4" wp14:textId="77777777">
      <w:pPr>
        <w:pStyle w:val="Bibliography"/>
        <w:spacing w:before="0" w:after="120" w:afterAutospacing="0" w:line="240" w:lineRule="auto"/>
        <w:rPr>
          <w:rFonts w:ascii="times new roman" w:hAnsi="times new roman"/>
        </w:rPr>
      </w:pPr>
      <w:r>
        <w:rPr>
          <w:rFonts w:ascii="times new roman" w:hAnsi="times new roman"/>
        </w:rPr>
        <w:t>75.</w:t>
      </w:r>
      <w:r>
        <w:rPr>
          <w:rFonts w:ascii="times new roman" w:hAnsi="times new roman"/>
        </w:rPr>
        <w:tab/>
      </w:r>
      <w:r>
        <w:rPr>
          <w:rFonts w:ascii="times new roman" w:hAnsi="times new roman"/>
        </w:rPr>
        <w:t>De Barros J. Reproducing the British Caribbean: Sex, Gender, and Population Politics after Slavery [Internet]. Chapel Hill, UNITED STATES: University of North Carolina Press; 2014 [cited 2026 Sep 20]. Available from: http://ebookcentral.proquest.com/lib/mcmu/detail.action?docID=1693182</w:t>
      </w:r>
    </w:p>
    <w:p xmlns:wp14="http://schemas.microsoft.com/office/word/2010/wordml" w14:paraId="0BCE09E0" wp14:textId="77777777">
      <w:pPr>
        <w:pStyle w:val="Bibliography"/>
        <w:spacing w:before="0" w:after="120" w:afterAutospacing="0" w:line="240" w:lineRule="auto"/>
        <w:rPr>
          <w:rFonts w:ascii="times new roman" w:hAnsi="times new roman"/>
        </w:rPr>
      </w:pPr>
      <w:r>
        <w:rPr>
          <w:rFonts w:ascii="times new roman" w:hAnsi="times new roman"/>
        </w:rPr>
        <w:t>76.</w:t>
      </w:r>
      <w:r>
        <w:rPr>
          <w:rFonts w:ascii="times new roman" w:hAnsi="times new roman"/>
        </w:rPr>
        <w:tab/>
      </w:r>
      <w:r>
        <w:rPr>
          <w:rFonts w:ascii="times new roman" w:hAnsi="times new roman"/>
        </w:rPr>
        <w:t>Brown JR, Morris EA, Taylor BD. Planning for Cars in Cities: Planners, Engineers, and Freeways in the 20th Century. Journal of the American Planning Association. 2009;75(2):161–77. doi:10.1080/01944360802640016</w:t>
      </w:r>
    </w:p>
    <w:p xmlns:wp14="http://schemas.microsoft.com/office/word/2010/wordml" w14:paraId="0B5F831A" wp14:textId="77777777">
      <w:pPr>
        <w:pStyle w:val="Bibliography"/>
        <w:spacing w:before="0" w:after="120" w:afterAutospacing="0" w:line="240" w:lineRule="auto"/>
        <w:rPr>
          <w:rFonts w:ascii="times new roman" w:hAnsi="times new roman"/>
        </w:rPr>
      </w:pPr>
      <w:r>
        <w:rPr>
          <w:rFonts w:ascii="times new roman" w:hAnsi="times new roman"/>
        </w:rPr>
        <w:t>77.</w:t>
      </w:r>
      <w:r>
        <w:rPr>
          <w:rFonts w:ascii="times new roman" w:hAnsi="times new roman"/>
        </w:rPr>
        <w:tab/>
      </w:r>
      <w:r>
        <w:rPr>
          <w:rFonts w:ascii="times new roman" w:hAnsi="times new roman"/>
        </w:rPr>
        <w:t>Geva Y, Lambropolous A, Mendita I, Siemiatycki M. Missed Connections: Locating equity in Toronto’s transportation history [Internet]. Infrastructure Institute, University of Toronto; 2025. Available from: https://infrastructureinstitute.ca/missed-connections/</w:t>
      </w:r>
    </w:p>
    <w:p xmlns:wp14="http://schemas.microsoft.com/office/word/2010/wordml" w14:paraId="7BFC60EA" wp14:textId="77777777">
      <w:pPr>
        <w:pStyle w:val="Bibliography"/>
        <w:spacing w:before="0" w:after="120" w:afterAutospacing="0" w:line="240" w:lineRule="auto"/>
        <w:rPr>
          <w:rFonts w:ascii="times new roman" w:hAnsi="times new roman"/>
        </w:rPr>
      </w:pPr>
      <w:r>
        <w:rPr>
          <w:rFonts w:ascii="times new roman" w:hAnsi="times new roman"/>
        </w:rPr>
        <w:t>78.</w:t>
      </w:r>
      <w:r>
        <w:rPr>
          <w:rFonts w:ascii="times new roman" w:hAnsi="times new roman"/>
        </w:rPr>
        <w:tab/>
      </w:r>
      <w:r>
        <w:rPr>
          <w:rFonts w:ascii="times new roman" w:hAnsi="times new roman"/>
        </w:rPr>
        <w:t>Mahmoud M, Hine J, Kashyap A. Stakeholders’ perspectives towards bus quality indicators. Proceedings of the Institution of Civil Engineers - Transport. 2014 Jun;167(3):156–77. doi:10.1680/tran.11.00083</w:t>
      </w:r>
    </w:p>
    <w:p xmlns:wp14="http://schemas.microsoft.com/office/word/2010/wordml" w14:paraId="2DD765E1" wp14:textId="77777777">
      <w:pPr>
        <w:pStyle w:val="Bibliography"/>
        <w:spacing w:before="0" w:after="120" w:afterAutospacing="0" w:line="240" w:lineRule="auto"/>
        <w:rPr>
          <w:rFonts w:ascii="times new roman" w:hAnsi="times new roman"/>
        </w:rPr>
      </w:pPr>
      <w:r>
        <w:rPr>
          <w:rFonts w:ascii="times new roman" w:hAnsi="times new roman"/>
        </w:rPr>
        <w:t>79.</w:t>
      </w:r>
      <w:r>
        <w:rPr>
          <w:rFonts w:ascii="times new roman" w:hAnsi="times new roman"/>
        </w:rPr>
        <w:tab/>
      </w:r>
      <w:r>
        <w:rPr>
          <w:rFonts w:ascii="times new roman" w:hAnsi="times new roman"/>
        </w:rPr>
        <w:t>Tasnim S, Mohamed M. Fixed-route or demand-responsive transit? An evaluation framework for transit service structures using dual-perspective indicators. Journal of Public Transportation. 2026;28:100161. doi:10.1016/j.jpubtr.2026.100161</w:t>
      </w:r>
    </w:p>
    <w:p xmlns:wp14="http://schemas.microsoft.com/office/word/2010/wordml" w14:paraId="0D9511E9" wp14:textId="77777777">
      <w:pPr>
        <w:pStyle w:val="Bibliography"/>
        <w:spacing w:before="0" w:after="120" w:afterAutospacing="0" w:line="240" w:lineRule="auto"/>
        <w:rPr>
          <w:rFonts w:ascii="times new roman" w:hAnsi="times new roman"/>
        </w:rPr>
      </w:pPr>
      <w:r>
        <w:rPr>
          <w:rFonts w:ascii="times new roman" w:hAnsi="times new roman"/>
        </w:rPr>
        <w:t>80.</w:t>
      </w:r>
      <w:r>
        <w:rPr>
          <w:rFonts w:ascii="times new roman" w:hAnsi="times new roman"/>
        </w:rPr>
        <w:tab/>
      </w:r>
      <w:r>
        <w:rPr>
          <w:rFonts w:ascii="times new roman" w:hAnsi="times new roman"/>
        </w:rPr>
        <w:t>Eldeeb G, Mohamed M. Consumers oriented investments in transit service quality improvements: The best bang for your buck. Research in Transportation Economics. 2022 Sep;94:101175. doi:10.1016/j.retrec.2021.101175</w:t>
      </w:r>
    </w:p>
    <w:p xmlns:wp14="http://schemas.microsoft.com/office/word/2010/wordml" w14:paraId="04372FD3" wp14:textId="77777777">
      <w:pPr>
        <w:pStyle w:val="Bibliography"/>
        <w:spacing w:before="0" w:after="120" w:afterAutospacing="0" w:line="240" w:lineRule="auto"/>
        <w:rPr>
          <w:rFonts w:ascii="times new roman" w:hAnsi="times new roman"/>
        </w:rPr>
      </w:pPr>
      <w:r>
        <w:rPr>
          <w:rFonts w:ascii="times new roman" w:hAnsi="times new roman"/>
        </w:rPr>
        <w:t>81.</w:t>
      </w:r>
      <w:r>
        <w:rPr>
          <w:rFonts w:ascii="times new roman" w:hAnsi="times new roman"/>
        </w:rPr>
        <w:tab/>
      </w:r>
      <w:r>
        <w:rPr>
          <w:rFonts w:ascii="times new roman" w:hAnsi="times new roman"/>
        </w:rPr>
        <w:t>Eldeeb G, Sears S, Mohamed M. What do users want from transit? Qualitative analysis of current and potential users’ perceptions. Transportation Research Part A: Policy and Practice. 2023 May;171:103649. doi:10.1016/j.tra.2023.103649</w:t>
      </w:r>
    </w:p>
    <w:p xmlns:wp14="http://schemas.microsoft.com/office/word/2010/wordml" w14:paraId="5EA7E6A5" wp14:textId="77777777">
      <w:pPr>
        <w:pStyle w:val="Bibliography"/>
        <w:spacing w:before="0" w:after="120" w:afterAutospacing="0" w:line="240" w:lineRule="auto"/>
        <w:rPr>
          <w:rFonts w:ascii="times new roman" w:hAnsi="times new roman"/>
        </w:rPr>
      </w:pPr>
      <w:r>
        <w:rPr>
          <w:rFonts w:ascii="times new roman" w:hAnsi="times new roman"/>
        </w:rPr>
        <w:t>82.</w:t>
      </w:r>
      <w:r>
        <w:rPr>
          <w:rFonts w:ascii="times new roman" w:hAnsi="times new roman"/>
        </w:rPr>
        <w:tab/>
      </w:r>
      <w:r>
        <w:rPr>
          <w:rFonts w:ascii="times new roman" w:hAnsi="times new roman"/>
        </w:rPr>
        <w:t>Sears S, Moataz M, Ferguson M, Razavi S, Páez A. Perceived barriers to the movement of goods in Canada: A grounded theory investigation. Transportation Research Part A: Policy and Practice. 2022 Aug 1;162:27–45. doi:https://doi.org/10.1016/j.tra.2022.05.011</w:t>
      </w:r>
    </w:p>
    <w:p xmlns:wp14="http://schemas.microsoft.com/office/word/2010/wordml" w14:paraId="796F8A99" wp14:textId="77777777">
      <w:pPr>
        <w:pStyle w:val="Bibliography"/>
        <w:spacing w:before="0" w:after="120" w:afterAutospacing="0" w:line="240" w:lineRule="auto"/>
        <w:rPr>
          <w:rFonts w:ascii="times new roman" w:hAnsi="times new roman"/>
        </w:rPr>
      </w:pPr>
      <w:r>
        <w:rPr>
          <w:rFonts w:ascii="times new roman" w:hAnsi="times new roman"/>
        </w:rPr>
        <w:t>83.</w:t>
      </w:r>
      <w:r>
        <w:rPr>
          <w:rFonts w:ascii="times new roman" w:hAnsi="times new roman"/>
        </w:rPr>
        <w:tab/>
      </w:r>
      <w:r>
        <w:rPr>
          <w:rFonts w:ascii="times new roman" w:hAnsi="times new roman"/>
        </w:rPr>
        <w:t>Ravensbergen L, Varickanickal J, Newbold KB, Mohamed M. A mixed-methods investigation of older adults’ public transit use and travel satisfaction. Travel Behaviour and Society. 2023 Jul 1;32:100577. doi:10.1016/j.tbs.2023.100577</w:t>
      </w:r>
    </w:p>
    <w:p xmlns:wp14="http://schemas.microsoft.com/office/word/2010/wordml" w14:paraId="4CD2C961" wp14:textId="77777777">
      <w:pPr>
        <w:pStyle w:val="Bibliography"/>
        <w:spacing w:before="0" w:after="120" w:afterAutospacing="0" w:line="240" w:lineRule="auto"/>
        <w:rPr>
          <w:rFonts w:ascii="times new roman" w:hAnsi="times new roman"/>
        </w:rPr>
      </w:pPr>
      <w:r>
        <w:rPr>
          <w:rFonts w:ascii="times new roman" w:hAnsi="times new roman"/>
        </w:rPr>
        <w:t>84.</w:t>
      </w:r>
      <w:r>
        <w:rPr>
          <w:rFonts w:ascii="times new roman" w:hAnsi="times new roman"/>
        </w:rPr>
        <w:tab/>
      </w:r>
      <w:r>
        <w:rPr>
          <w:rFonts w:ascii="times new roman" w:hAnsi="times new roman"/>
        </w:rPr>
        <w:t>Eldeeb G, Mohamed M. Understanding the Transit Market: A Persona-Based Approach for Preferences Quantification. Sustainability. 2020 May 8;12(9). doi:10.3390/su12093863</w:t>
      </w:r>
    </w:p>
    <w:p xmlns:wp14="http://schemas.microsoft.com/office/word/2010/wordml" w14:paraId="2D058729" wp14:textId="77777777">
      <w:pPr>
        <w:pStyle w:val="Bibliography"/>
        <w:spacing w:before="0" w:after="120" w:afterAutospacing="0" w:line="240" w:lineRule="auto"/>
        <w:rPr>
          <w:rFonts w:ascii="times new roman" w:hAnsi="times new roman"/>
        </w:rPr>
      </w:pPr>
      <w:r>
        <w:rPr>
          <w:rFonts w:ascii="times new roman" w:hAnsi="times new roman"/>
        </w:rPr>
        <w:t>85.</w:t>
      </w:r>
      <w:r>
        <w:rPr>
          <w:rFonts w:ascii="times new roman" w:hAnsi="times new roman"/>
        </w:rPr>
        <w:tab/>
      </w:r>
      <w:r>
        <w:rPr>
          <w:rFonts w:ascii="times new roman" w:hAnsi="times new roman"/>
        </w:rPr>
        <w:t>Eldeeb G, Mohamed M. How do psychological factors sway customers’ preferences towards transit service attributes? Case Studies on Transport Policy. 2022 Jun 1;10(2):905–14. doi:10.1016/j.cstp.2022.03.003</w:t>
      </w:r>
    </w:p>
    <w:p xmlns:wp14="http://schemas.microsoft.com/office/word/2010/wordml" w14:paraId="58C7CDA0" wp14:textId="77777777">
      <w:pPr>
        <w:pStyle w:val="Bibliography"/>
        <w:spacing w:before="0" w:after="120" w:afterAutospacing="0" w:line="240" w:lineRule="auto"/>
        <w:rPr>
          <w:rFonts w:ascii="times new roman" w:hAnsi="times new roman"/>
        </w:rPr>
      </w:pPr>
      <w:r>
        <w:rPr>
          <w:rFonts w:ascii="times new roman" w:hAnsi="times new roman"/>
        </w:rPr>
        <w:t>86.</w:t>
      </w:r>
      <w:r>
        <w:rPr>
          <w:rFonts w:ascii="times new roman" w:hAnsi="times new roman"/>
        </w:rPr>
        <w:tab/>
      </w:r>
      <w:r>
        <w:rPr>
          <w:rFonts w:ascii="times new roman" w:hAnsi="times new roman"/>
        </w:rPr>
        <w:t>Eldeeb G, Mohamed M. Quantifying preference heterogeneity in transit service desired quality using a latent class choice model. Transportation Research Part A: Policy and Practice. 2020 Sep 1;139:119–33. doi:10.1016/j.tra.2020.07.006</w:t>
      </w:r>
    </w:p>
    <w:p xmlns:wp14="http://schemas.microsoft.com/office/word/2010/wordml" w14:paraId="1ADEC126" wp14:textId="77777777">
      <w:pPr>
        <w:pStyle w:val="Bibliography"/>
        <w:spacing w:before="0" w:after="120" w:afterAutospacing="0" w:line="240" w:lineRule="auto"/>
        <w:rPr>
          <w:rFonts w:ascii="times new roman" w:hAnsi="times new roman"/>
        </w:rPr>
      </w:pPr>
      <w:r>
        <w:rPr>
          <w:rFonts w:ascii="times new roman" w:hAnsi="times new roman"/>
        </w:rPr>
        <w:t>87.</w:t>
      </w:r>
      <w:r>
        <w:rPr>
          <w:rFonts w:ascii="times new roman" w:hAnsi="times new roman"/>
        </w:rPr>
        <w:tab/>
      </w:r>
      <w:r>
        <w:rPr>
          <w:rFonts w:ascii="times new roman" w:hAnsi="times new roman"/>
        </w:rPr>
        <w:t>Eldeeb G, Mohamed M, Páez A. Built for active travel? Investigating the contextual effects of the built environment on transportation mode choice. Journal of Transport Geography. 2021 Oct;96:103158. doi:10.1016/j.jtrangeo.2021.103158</w:t>
      </w:r>
    </w:p>
    <w:p xmlns:wp14="http://schemas.microsoft.com/office/word/2010/wordml" w14:paraId="0A08ECF9" wp14:textId="77777777">
      <w:pPr>
        <w:pStyle w:val="Bibliography"/>
        <w:spacing w:before="0" w:after="120" w:afterAutospacing="0" w:line="240" w:lineRule="auto"/>
        <w:rPr>
          <w:rFonts w:ascii="times new roman" w:hAnsi="times new roman"/>
        </w:rPr>
      </w:pPr>
      <w:r>
        <w:rPr>
          <w:rFonts w:ascii="times new roman" w:hAnsi="times new roman"/>
        </w:rPr>
        <w:t>88.</w:t>
      </w:r>
      <w:r>
        <w:rPr>
          <w:rFonts w:ascii="times new roman" w:hAnsi="times new roman"/>
        </w:rPr>
        <w:tab/>
      </w:r>
      <w:r>
        <w:rPr>
          <w:rFonts w:ascii="times new roman" w:hAnsi="times new roman"/>
        </w:rPr>
        <w:t>Higgins CD, Adams MD, Réquia W, Mohamed M. Accessibility, Air Pollution, and Net Land Value Uplift from Highway Infrastructure. Vol. 84. 2018;84:177–91.</w:t>
      </w:r>
    </w:p>
    <w:p xmlns:wp14="http://schemas.microsoft.com/office/word/2010/wordml" w14:paraId="613FAB65" wp14:textId="77777777">
      <w:pPr>
        <w:pStyle w:val="Bibliography"/>
        <w:spacing w:before="0" w:after="120" w:afterAutospacing="0" w:line="240" w:lineRule="auto"/>
        <w:rPr>
          <w:rFonts w:ascii="times new roman" w:hAnsi="times new roman"/>
        </w:rPr>
      </w:pPr>
      <w:r>
        <w:rPr>
          <w:rFonts w:ascii="times new roman" w:hAnsi="times new roman"/>
        </w:rPr>
        <w:t>89.</w:t>
      </w:r>
      <w:r>
        <w:rPr>
          <w:rFonts w:ascii="times new roman" w:hAnsi="times new roman"/>
        </w:rPr>
        <w:tab/>
      </w:r>
      <w:r>
        <w:rPr>
          <w:rFonts w:ascii="times new roman" w:hAnsi="times new roman"/>
        </w:rPr>
        <w:t>Shehabeldeen A, Mohamed M. Factors Influencing Electric Vehicle Adoption: Coupling Machine Learning Models and Open-Source Data - Ali Shehabeldeen, Moataz Mohamed, 2026. Vol. 2680. 2026;2680(2):948–66. doi:https://doi.org/10.1177/03611981251368317</w:t>
      </w:r>
    </w:p>
    <w:p xmlns:wp14="http://schemas.microsoft.com/office/word/2010/wordml" w14:paraId="0A8BBAA1" wp14:textId="77777777">
      <w:pPr>
        <w:pStyle w:val="Bibliography"/>
        <w:spacing w:before="0" w:after="120" w:afterAutospacing="0" w:line="240" w:lineRule="auto"/>
        <w:rPr>
          <w:rFonts w:ascii="times new roman" w:hAnsi="times new roman"/>
        </w:rPr>
      </w:pPr>
      <w:r>
        <w:rPr>
          <w:rFonts w:ascii="times new roman" w:hAnsi="times new roman"/>
        </w:rPr>
        <w:t>90.</w:t>
      </w:r>
      <w:r>
        <w:rPr>
          <w:rFonts w:ascii="times new roman" w:hAnsi="times new roman"/>
        </w:rPr>
        <w:tab/>
      </w:r>
      <w:r>
        <w:rPr>
          <w:rFonts w:ascii="times new roman" w:hAnsi="times new roman"/>
        </w:rPr>
        <w:t>Moniruzzaman M, Paez A. An investigation of the attributes of walkable environments from the perspective of seniors in Montreal. Journal of Transport Geography. 2016 Feb;51:85–96. doi:10.1016/j.jtrangeo.2015.12.001</w:t>
      </w:r>
    </w:p>
    <w:p xmlns:wp14="http://schemas.microsoft.com/office/word/2010/wordml" w14:paraId="754F295B" wp14:textId="77777777">
      <w:pPr>
        <w:pStyle w:val="Bibliography"/>
        <w:spacing w:before="0" w:after="120" w:afterAutospacing="0" w:line="240" w:lineRule="auto"/>
        <w:rPr>
          <w:rFonts w:ascii="times new roman" w:hAnsi="times new roman"/>
        </w:rPr>
      </w:pPr>
      <w:r>
        <w:rPr>
          <w:rFonts w:ascii="times new roman" w:hAnsi="times new roman"/>
        </w:rPr>
        <w:t>91.</w:t>
      </w:r>
      <w:r>
        <w:rPr>
          <w:rFonts w:ascii="times new roman" w:hAnsi="times new roman"/>
        </w:rPr>
        <w:tab/>
      </w:r>
      <w:r>
        <w:rPr>
          <w:rFonts w:ascii="times new roman" w:hAnsi="times new roman"/>
        </w:rPr>
        <w:t>Moniruzzaman M, Paez A, Scott D, Morency C. Trip generation of seniors and the geography of walking in Montreal. Environment and Planning A. 2015;47(4):957–76. doi:10.1068/a130070p</w:t>
      </w:r>
    </w:p>
    <w:p xmlns:wp14="http://schemas.microsoft.com/office/word/2010/wordml" w14:paraId="291B4C1E" wp14:textId="77777777">
      <w:pPr>
        <w:pStyle w:val="Bibliography"/>
        <w:spacing w:before="0" w:after="120" w:afterAutospacing="0" w:line="240" w:lineRule="auto"/>
        <w:rPr>
          <w:rFonts w:ascii="times new roman" w:hAnsi="times new roman"/>
        </w:rPr>
      </w:pPr>
      <w:r>
        <w:rPr>
          <w:rFonts w:ascii="times new roman" w:hAnsi="times new roman"/>
        </w:rPr>
        <w:t>92.</w:t>
      </w:r>
      <w:r>
        <w:rPr>
          <w:rFonts w:ascii="times new roman" w:hAnsi="times new roman"/>
        </w:rPr>
        <w:tab/>
      </w:r>
      <w:r>
        <w:rPr>
          <w:rFonts w:ascii="times new roman" w:hAnsi="times new roman"/>
        </w:rPr>
        <w:t>Páez A, Mercado R, Farber S, Morency C, Roorda M. Accessibility to health care facilities in Montreal Island: An application of relative accessibility indicators from the perspective of senior and non-senior residents. International Journal of Health Geographics. 2010;9(52):1–9.</w:t>
      </w:r>
    </w:p>
    <w:p xmlns:wp14="http://schemas.microsoft.com/office/word/2010/wordml" w14:paraId="4277F70E" wp14:textId="77777777">
      <w:pPr>
        <w:pStyle w:val="Bibliography"/>
        <w:spacing w:before="0" w:after="120" w:afterAutospacing="0" w:line="240" w:lineRule="auto"/>
        <w:rPr>
          <w:rFonts w:ascii="times new roman" w:hAnsi="times new roman"/>
        </w:rPr>
      </w:pPr>
      <w:r>
        <w:rPr>
          <w:rFonts w:ascii="times new roman" w:hAnsi="times new roman"/>
        </w:rPr>
        <w:t>93.</w:t>
      </w:r>
      <w:r>
        <w:rPr>
          <w:rFonts w:ascii="times new roman" w:hAnsi="times new roman"/>
        </w:rPr>
        <w:tab/>
      </w:r>
      <w:r>
        <w:rPr>
          <w:rFonts w:ascii="times new roman" w:hAnsi="times new roman"/>
        </w:rPr>
        <w:t>Paez A, Scott D, Potoglou D, Kanaroglou P, Newbold KB. Elderly mobility: Demographic and spatial analysis of trip making in the Hamilton CMA, Canada. Urban Studies. 2007 Jan;44(1):123–46. doi:10.1080/00420980601023885</w:t>
      </w:r>
    </w:p>
    <w:p xmlns:wp14="http://schemas.microsoft.com/office/word/2010/wordml" w14:paraId="68E15199" wp14:textId="77777777">
      <w:pPr>
        <w:pStyle w:val="Bibliography"/>
        <w:spacing w:before="0" w:after="120" w:afterAutospacing="0" w:line="240" w:lineRule="auto"/>
        <w:rPr>
          <w:rFonts w:ascii="times new roman" w:hAnsi="times new roman"/>
        </w:rPr>
      </w:pPr>
      <w:r>
        <w:rPr>
          <w:rFonts w:ascii="times new roman" w:hAnsi="times new roman"/>
        </w:rPr>
        <w:t>94.</w:t>
      </w:r>
      <w:r>
        <w:rPr>
          <w:rFonts w:ascii="times new roman" w:hAnsi="times new roman"/>
        </w:rPr>
        <w:tab/>
      </w:r>
      <w:r>
        <w:rPr>
          <w:rFonts w:ascii="times new roman" w:hAnsi="times new roman"/>
        </w:rPr>
        <w:t>Roorda MJ, Paez A, Morency C, Mercado R, Farber S. Trip generation of vulnerable populations in three Canadian cities: a spatial ordered probit approach. Transportation. 2010 May;37(3):525–48. doi:10.1007/s11116-010-9263-3</w:t>
      </w:r>
    </w:p>
    <w:p xmlns:wp14="http://schemas.microsoft.com/office/word/2010/wordml" w14:paraId="6846BC84" wp14:textId="77777777">
      <w:pPr>
        <w:pStyle w:val="Bibliography"/>
        <w:spacing w:before="0" w:after="120" w:afterAutospacing="0" w:line="240" w:lineRule="auto"/>
        <w:rPr>
          <w:rFonts w:ascii="times new roman" w:hAnsi="times new roman"/>
        </w:rPr>
      </w:pPr>
      <w:r>
        <w:rPr>
          <w:rFonts w:ascii="times new roman" w:hAnsi="times new roman"/>
        </w:rPr>
        <w:t>95.</w:t>
      </w:r>
      <w:r>
        <w:rPr>
          <w:rFonts w:ascii="times new roman" w:hAnsi="times new roman"/>
        </w:rPr>
        <w:tab/>
      </w:r>
      <w:r>
        <w:rPr>
          <w:rFonts w:ascii="times new roman" w:hAnsi="times new roman"/>
        </w:rPr>
        <w:t>Páez A, Farber S, Mercado R, Roorda M, Morency C. Jobs and the Single Parent: An Analysis of Accessibility to Employment in Toronto. Urban Geography. 2013 Sep 1;34(6):815–42. doi:10.1080/02723638.2013.778600</w:t>
      </w:r>
    </w:p>
    <w:p xmlns:wp14="http://schemas.microsoft.com/office/word/2010/wordml" w14:paraId="5D464EDF" wp14:textId="77777777">
      <w:pPr>
        <w:pStyle w:val="Bibliography"/>
        <w:spacing w:before="0" w:after="120" w:afterAutospacing="0" w:line="240" w:lineRule="auto"/>
        <w:rPr>
          <w:rFonts w:ascii="times new roman" w:hAnsi="times new roman"/>
        </w:rPr>
      </w:pPr>
      <w:r>
        <w:rPr>
          <w:rFonts w:ascii="times new roman" w:hAnsi="times new roman"/>
        </w:rPr>
        <w:t>96.</w:t>
      </w:r>
      <w:r>
        <w:rPr>
          <w:rFonts w:ascii="times new roman" w:hAnsi="times new roman"/>
        </w:rPr>
        <w:tab/>
      </w:r>
      <w:r>
        <w:rPr>
          <w:rFonts w:ascii="times new roman" w:hAnsi="times new roman"/>
        </w:rPr>
        <w:t>Reyes M, Paez A, Morency C. Walking accessibility to urban parks by children: A case study of Montreal. Landscape and Urban Planning. 2014 May;125:38–47. doi:10.1016/j.landurbplan.2014.02.002</w:t>
      </w:r>
    </w:p>
    <w:p xmlns:wp14="http://schemas.microsoft.com/office/word/2010/wordml" w14:paraId="07FF64C2" wp14:textId="77777777">
      <w:pPr>
        <w:pStyle w:val="Bibliography"/>
        <w:spacing w:before="0" w:after="120" w:afterAutospacing="0" w:line="240" w:lineRule="auto"/>
        <w:rPr>
          <w:rFonts w:ascii="times new roman" w:hAnsi="times new roman"/>
        </w:rPr>
      </w:pPr>
      <w:r>
        <w:rPr>
          <w:rFonts w:ascii="times new roman" w:hAnsi="times new roman"/>
        </w:rPr>
        <w:t>97.</w:t>
      </w:r>
      <w:r>
        <w:rPr>
          <w:rFonts w:ascii="times new roman" w:hAnsi="times new roman"/>
        </w:rPr>
        <w:tab/>
      </w:r>
      <w:r>
        <w:rPr>
          <w:rFonts w:ascii="times new roman" w:hAnsi="times new roman"/>
        </w:rPr>
        <w:t>Tavakoli Z, Abdollahi S, Waygood EOD, Páez A, Boisjoly G. Traffic danger’s potential impact on children’s accessibility. Transportation Research Part D: Transport and Environment. 2024 Oct 1;135:104370. doi:10.1016/j.trd.2024.104370</w:t>
      </w:r>
    </w:p>
    <w:p xmlns:wp14="http://schemas.microsoft.com/office/word/2010/wordml" w14:paraId="34472EB0" wp14:textId="77777777">
      <w:pPr>
        <w:pStyle w:val="Bibliography"/>
        <w:spacing w:before="0" w:after="120" w:afterAutospacing="0" w:line="240" w:lineRule="auto"/>
        <w:rPr>
          <w:rFonts w:ascii="times new roman" w:hAnsi="times new roman"/>
        </w:rPr>
      </w:pPr>
      <w:r>
        <w:rPr>
          <w:rFonts w:ascii="times new roman" w:hAnsi="times new roman"/>
        </w:rPr>
        <w:t>98.</w:t>
      </w:r>
      <w:r>
        <w:rPr>
          <w:rFonts w:ascii="times new roman" w:hAnsi="times new roman"/>
        </w:rPr>
        <w:tab/>
      </w:r>
      <w:r>
        <w:rPr>
          <w:rFonts w:ascii="times new roman" w:hAnsi="times new roman"/>
        </w:rPr>
        <w:t>Tavakoli Z, Waygood O, Abdollahi S, Paez A. “Where Do Children Go?”: Exploring Children’s Daily Destinations With Children, Parents, and Experts. Urban Planning. 2024 Oct 31;9(0). doi:10.17645/up.8478</w:t>
      </w:r>
    </w:p>
    <w:p xmlns:wp14="http://schemas.microsoft.com/office/word/2010/wordml" w14:paraId="2F5C0703" wp14:textId="77777777">
      <w:pPr>
        <w:pStyle w:val="Bibliography"/>
        <w:spacing w:before="0" w:after="120" w:afterAutospacing="0" w:line="240" w:lineRule="auto"/>
        <w:rPr>
          <w:rFonts w:ascii="times new roman" w:hAnsi="times new roman"/>
        </w:rPr>
      </w:pPr>
      <w:r>
        <w:rPr>
          <w:rFonts w:ascii="times new roman" w:hAnsi="times new roman"/>
        </w:rPr>
        <w:t>99.</w:t>
      </w:r>
      <w:r>
        <w:rPr>
          <w:rFonts w:ascii="times new roman" w:hAnsi="times new roman"/>
        </w:rPr>
        <w:tab/>
      </w:r>
      <w:r>
        <w:rPr>
          <w:rFonts w:ascii="times new roman" w:hAnsi="times new roman"/>
        </w:rPr>
        <w:t>Páez A, Scott DM, Morency C. Measuring accessibility: positive and normative implementations of various accessibility indicators. Journal of Transport Geography. 2012 Nov 1;Special Section on Accessibility and Socio-Economic Activities: Methodological and Empirical Aspects25:141–53. doi:10.1016/j.jtrangeo.2012.03.016</w:t>
      </w:r>
    </w:p>
    <w:p xmlns:wp14="http://schemas.microsoft.com/office/word/2010/wordml" w14:paraId="38E7F3D0" wp14:textId="77777777">
      <w:pPr>
        <w:pStyle w:val="Bibliography"/>
        <w:spacing w:before="0" w:after="120" w:afterAutospacing="0" w:line="240" w:lineRule="auto"/>
        <w:rPr>
          <w:rFonts w:ascii="times new roman" w:hAnsi="times new roman"/>
        </w:rPr>
      </w:pPr>
      <w:r>
        <w:rPr>
          <w:rFonts w:ascii="times new roman" w:hAnsi="times new roman"/>
        </w:rPr>
        <w:t>100.</w:t>
      </w:r>
      <w:r>
        <w:rPr>
          <w:rFonts w:ascii="times new roman" w:hAnsi="times new roman"/>
        </w:rPr>
        <w:tab/>
      </w:r>
      <w:r>
        <w:rPr>
          <w:rFonts w:ascii="times new roman" w:hAnsi="times new roman"/>
        </w:rPr>
        <w:t>Páez A, Gertes Mercado R, Farber S, Morency C, Roorda M. Relative Accessibility Deprivation Indicators for Urban Settings: Definitions and Application to Food Deserts in Montreal. Urban Studies. 2010 Jun 1;47(7):1415–38. doi:10.1177/0042098009353626</w:t>
      </w:r>
    </w:p>
    <w:p xmlns:wp14="http://schemas.microsoft.com/office/word/2010/wordml" w14:paraId="2D4180F3" wp14:textId="77777777">
      <w:pPr>
        <w:pStyle w:val="Bibliography"/>
        <w:spacing w:before="0" w:after="120" w:afterAutospacing="0" w:line="240" w:lineRule="auto"/>
        <w:rPr>
          <w:rFonts w:ascii="times new roman" w:hAnsi="times new roman"/>
        </w:rPr>
      </w:pPr>
      <w:r>
        <w:rPr>
          <w:rFonts w:ascii="times new roman" w:hAnsi="times new roman"/>
        </w:rPr>
        <w:t>101.</w:t>
      </w:r>
      <w:r>
        <w:rPr>
          <w:rFonts w:ascii="times new roman" w:hAnsi="times new roman"/>
        </w:rPr>
        <w:tab/>
      </w:r>
      <w:r>
        <w:rPr>
          <w:rFonts w:ascii="times new roman" w:hAnsi="times new roman"/>
        </w:rPr>
        <w:t>Farber S, Bartholomew K, Li X, Paez A, Habib KMN. Assessing social equity in distance based transit fares using a model of travel behavior. Transportation Research Part A-Policy and Practice. 2014 Sep;67:291–303. doi:10.1016/j.tra.2014.07.013</w:t>
      </w:r>
    </w:p>
    <w:p xmlns:wp14="http://schemas.microsoft.com/office/word/2010/wordml" w14:paraId="22A804E1" wp14:textId="77777777">
      <w:pPr>
        <w:pStyle w:val="Bibliography"/>
        <w:spacing w:before="0" w:after="120" w:afterAutospacing="0" w:line="240" w:lineRule="auto"/>
        <w:rPr>
          <w:rFonts w:ascii="times new roman" w:hAnsi="times new roman"/>
        </w:rPr>
      </w:pPr>
      <w:r>
        <w:rPr>
          <w:rFonts w:ascii="times new roman" w:hAnsi="times new roman"/>
        </w:rPr>
        <w:t>102.</w:t>
      </w:r>
      <w:r>
        <w:rPr>
          <w:rFonts w:ascii="times new roman" w:hAnsi="times new roman"/>
        </w:rPr>
        <w:tab/>
      </w:r>
      <w:r>
        <w:rPr>
          <w:rFonts w:ascii="times new roman" w:hAnsi="times new roman"/>
        </w:rPr>
        <w:t>Soukhov A, Tarriño-Ortiz J, Soria-Lara JA, Páez A. Multimodal spatial availability: A singly-constrained measure of accessibility considering multiple modes. PLOS ONE. 2024;19(2):e0299077. doi:10.1371/journal.pone.0299077</w:t>
      </w:r>
    </w:p>
    <w:p xmlns:wp14="http://schemas.microsoft.com/office/word/2010/wordml" w14:paraId="630E99C0" wp14:textId="77777777">
      <w:pPr>
        <w:pStyle w:val="Bibliography"/>
        <w:spacing w:before="0" w:after="120" w:afterAutospacing="0" w:line="240" w:lineRule="auto"/>
        <w:rPr>
          <w:rFonts w:ascii="times new roman" w:hAnsi="times new roman"/>
        </w:rPr>
      </w:pPr>
      <w:r>
        <w:rPr>
          <w:rFonts w:ascii="times new roman" w:hAnsi="times new roman"/>
        </w:rPr>
        <w:t>103.</w:t>
      </w:r>
      <w:r>
        <w:rPr>
          <w:rFonts w:ascii="times new roman" w:hAnsi="times new roman"/>
        </w:rPr>
        <w:tab/>
      </w:r>
      <w:r>
        <w:rPr>
          <w:rFonts w:ascii="times new roman" w:hAnsi="times new roman"/>
        </w:rPr>
        <w:t>Dos Santos BD, Trevor Hanson, Antonio Páez. Dignity in Transportation: A Scoping Review and Theoretical Framework. 2026.</w:t>
      </w:r>
    </w:p>
    <w:p xmlns:wp14="http://schemas.microsoft.com/office/word/2010/wordml" w14:paraId="43BE33AA" wp14:textId="77777777">
      <w:pPr>
        <w:pStyle w:val="Bibliography"/>
        <w:spacing w:before="0" w:after="120" w:afterAutospacing="0" w:line="240" w:lineRule="auto"/>
        <w:rPr>
          <w:rFonts w:ascii="times new roman" w:hAnsi="times new roman"/>
        </w:rPr>
      </w:pPr>
      <w:r>
        <w:rPr>
          <w:rFonts w:ascii="times new roman" w:hAnsi="times new roman"/>
        </w:rPr>
        <w:t>104.</w:t>
      </w:r>
      <w:r>
        <w:rPr>
          <w:rFonts w:ascii="times new roman" w:hAnsi="times new roman"/>
        </w:rPr>
        <w:tab/>
      </w:r>
      <w:r>
        <w:rPr>
          <w:rFonts w:ascii="times new roman" w:hAnsi="times new roman"/>
        </w:rPr>
        <w:t>Páez A. Exploring contextual variations in land use and transport analysis using a probit model with geographical weights. Journal of Transport Geography. 2006 May 1;14(3):167–76. doi:10.1016/j.jtrangeo.2005.11.002</w:t>
      </w:r>
    </w:p>
    <w:p xmlns:wp14="http://schemas.microsoft.com/office/word/2010/wordml" w14:paraId="4E69E737" wp14:textId="77777777">
      <w:pPr>
        <w:pStyle w:val="Bibliography"/>
        <w:spacing w:before="0" w:after="120" w:afterAutospacing="0" w:line="240" w:lineRule="auto"/>
        <w:rPr>
          <w:rFonts w:ascii="times new roman" w:hAnsi="times new roman"/>
        </w:rPr>
      </w:pPr>
      <w:r>
        <w:rPr>
          <w:rFonts w:ascii="times new roman" w:hAnsi="times new roman"/>
        </w:rPr>
        <w:t>105.</w:t>
      </w:r>
      <w:r>
        <w:rPr>
          <w:rFonts w:ascii="times new roman" w:hAnsi="times new roman"/>
        </w:rPr>
        <w:tab/>
      </w:r>
      <w:r>
        <w:rPr>
          <w:rFonts w:ascii="times new roman" w:hAnsi="times new roman"/>
        </w:rPr>
        <w:t>Páez A, Moniruzzaman Md, Bourbonnais PL, Morency C. Developing a web-based accessibility calculator prototype for the Greater Montreal Area. Transportation Research Part A: Policy and Practice. 2013 Dec 1;58:103–15. doi:10.1016/j.tra.2013.10.020</w:t>
      </w:r>
    </w:p>
    <w:p xmlns:wp14="http://schemas.microsoft.com/office/word/2010/wordml" w14:paraId="3BD9EDB6" wp14:textId="77777777">
      <w:pPr>
        <w:pStyle w:val="Bibliography"/>
        <w:spacing w:before="0" w:after="120" w:afterAutospacing="0" w:line="240" w:lineRule="auto"/>
        <w:rPr>
          <w:rFonts w:ascii="times new roman" w:hAnsi="times new roman"/>
        </w:rPr>
      </w:pPr>
      <w:r>
        <w:rPr>
          <w:rFonts w:ascii="times new roman" w:hAnsi="times new roman"/>
        </w:rPr>
        <w:t>106.</w:t>
      </w:r>
      <w:r>
        <w:rPr>
          <w:rFonts w:ascii="times new roman" w:hAnsi="times new roman"/>
        </w:rPr>
        <w:tab/>
      </w:r>
      <w:r>
        <w:rPr>
          <w:rFonts w:ascii="times new roman" w:hAnsi="times new roman"/>
        </w:rPr>
        <w:t>Moniruzzaman M, Chudyk A, Páez A, Winters M, Sims-Gould J, McKay H. Travel behavior of low income older adults and implementation of an accessibility calculator. Journal of Transport &amp; Health. 2015 Jun 1;2(2):257–68. doi:10.1016/j.jth.2015.02.006</w:t>
      </w:r>
    </w:p>
    <w:p xmlns:wp14="http://schemas.microsoft.com/office/word/2010/wordml" w14:paraId="2A4865D9" wp14:textId="77777777">
      <w:pPr>
        <w:pStyle w:val="Bibliography"/>
        <w:spacing w:before="0" w:after="120" w:afterAutospacing="0" w:line="240" w:lineRule="auto"/>
        <w:rPr>
          <w:rFonts w:ascii="times new roman" w:hAnsi="times new roman"/>
        </w:rPr>
      </w:pPr>
      <w:r>
        <w:rPr>
          <w:rFonts w:ascii="times new roman" w:hAnsi="times new roman"/>
        </w:rPr>
        <w:t>107.</w:t>
      </w:r>
      <w:r>
        <w:rPr>
          <w:rFonts w:ascii="times new roman" w:hAnsi="times new roman"/>
        </w:rPr>
        <w:tab/>
      </w:r>
      <w:r>
        <w:rPr>
          <w:rFonts w:ascii="times new roman" w:hAnsi="times new roman"/>
        </w:rPr>
        <w:t>Desjardins E, Apatu E, Razavi SD, Higgins CD, Scott DM, Páez A. “Going through a little bit of growing pains”: A qualitative study of the factors that influence the route choice of regular bicyclists in a developing cycling city. Transportation Research Part F: Traffic Psychology and Behaviour. 2021 Aug 1;81:431–44. doi:https://doi.org/10.1016/j.trf.2021.06.005</w:t>
      </w:r>
    </w:p>
    <w:p xmlns:wp14="http://schemas.microsoft.com/office/word/2010/wordml" w14:paraId="36FC0232" wp14:textId="77777777">
      <w:pPr>
        <w:pStyle w:val="Bibliography"/>
        <w:spacing w:before="0" w:after="120" w:afterAutospacing="0" w:line="240" w:lineRule="auto"/>
        <w:rPr>
          <w:rFonts w:ascii="times new roman" w:hAnsi="times new roman"/>
        </w:rPr>
      </w:pPr>
      <w:r>
        <w:rPr>
          <w:rFonts w:ascii="times new roman" w:hAnsi="times new roman"/>
        </w:rPr>
        <w:t>108.</w:t>
      </w:r>
      <w:r>
        <w:rPr>
          <w:rFonts w:ascii="times new roman" w:hAnsi="times new roman"/>
        </w:rPr>
        <w:tab/>
      </w:r>
      <w:r>
        <w:rPr>
          <w:rFonts w:ascii="times new roman" w:hAnsi="times new roman"/>
        </w:rPr>
        <w:t>Ravensbergen L, Newbold KB, Ganann R. ‘It’s overwhelming at the start’: transitioning to public transit use as an older adult. Ageing &amp; Society. 2024 Jan;44(1):43–60. doi:10.1017/S0144686X22000010</w:t>
      </w:r>
    </w:p>
    <w:p xmlns:wp14="http://schemas.microsoft.com/office/word/2010/wordml" w14:paraId="63729AC7" wp14:textId="77777777">
      <w:pPr>
        <w:pStyle w:val="Bibliography"/>
        <w:spacing w:before="0" w:after="120" w:afterAutospacing="0" w:line="240" w:lineRule="auto"/>
        <w:rPr>
          <w:rFonts w:ascii="times new roman" w:hAnsi="times new roman"/>
        </w:rPr>
      </w:pPr>
      <w:r>
        <w:rPr>
          <w:rFonts w:ascii="times new roman" w:hAnsi="times new roman"/>
        </w:rPr>
        <w:t>109.</w:t>
      </w:r>
      <w:r>
        <w:rPr>
          <w:rFonts w:ascii="times new roman" w:hAnsi="times new roman"/>
        </w:rPr>
        <w:tab/>
      </w:r>
      <w:r>
        <w:rPr>
          <w:rFonts w:ascii="times new roman" w:hAnsi="times new roman"/>
        </w:rPr>
        <w:t>Ravensbergen L, Newbold KB, Ganann R, Sinding C. ‘Mobility work’: Older adults’ experiences using public transportation. Journal of Transport Geography. 2021 Dec 1;97:103221. doi:10.1016/j.jtrangeo.2021.103221</w:t>
      </w:r>
    </w:p>
    <w:p xmlns:wp14="http://schemas.microsoft.com/office/word/2010/wordml" w14:paraId="196513BA" wp14:textId="77777777">
      <w:pPr>
        <w:pStyle w:val="Bibliography"/>
        <w:spacing w:before="0" w:after="120" w:afterAutospacing="0" w:line="240" w:lineRule="auto"/>
        <w:rPr>
          <w:rFonts w:ascii="times new roman" w:hAnsi="times new roman"/>
        </w:rPr>
      </w:pPr>
      <w:r>
        <w:rPr>
          <w:rFonts w:ascii="times new roman" w:hAnsi="times new roman"/>
        </w:rPr>
        <w:t>110.</w:t>
      </w:r>
      <w:r>
        <w:rPr>
          <w:rFonts w:ascii="times new roman" w:hAnsi="times new roman"/>
        </w:rPr>
        <w:tab/>
      </w:r>
      <w:r>
        <w:rPr>
          <w:rFonts w:ascii="times new roman" w:hAnsi="times new roman"/>
        </w:rPr>
        <w:t>Ravensbergen L, Fournier J, El-Geneidy A. Exploratory Analysis of Mobility of Care in Montreal, Canada. Transportation Research Record: Journal of the Transportation Research Board. 2023 Jan;2677(1):1499–509. doi:10.1177/03611981221105070</w:t>
      </w:r>
    </w:p>
    <w:p xmlns:wp14="http://schemas.microsoft.com/office/word/2010/wordml" w14:paraId="496C5803" wp14:textId="77777777">
      <w:pPr>
        <w:pStyle w:val="Bibliography"/>
        <w:spacing w:before="0" w:after="120" w:afterAutospacing="0" w:line="240" w:lineRule="auto"/>
        <w:rPr>
          <w:rFonts w:ascii="times new roman" w:hAnsi="times new roman"/>
        </w:rPr>
      </w:pPr>
      <w:r>
        <w:rPr>
          <w:rFonts w:ascii="times new roman" w:hAnsi="times new roman"/>
        </w:rPr>
        <w:t>111.</w:t>
      </w:r>
      <w:r>
        <w:rPr>
          <w:rFonts w:ascii="times new roman" w:hAnsi="times new roman"/>
        </w:rPr>
        <w:tab/>
      </w:r>
      <w:r>
        <w:rPr>
          <w:rFonts w:ascii="times new roman" w:hAnsi="times new roman"/>
        </w:rPr>
        <w:t>Ravensbergen L, Schwanen T. Community Transport’s Dual Role as a Transport and a Social Scheme: Implications for Policy. International Journal of Environmental Research and Public Health. 2024 Mar 29;21(4). doi:10.3390/ijerph21040422</w:t>
      </w:r>
    </w:p>
    <w:p xmlns:wp14="http://schemas.microsoft.com/office/word/2010/wordml" w14:paraId="042BFACA" wp14:textId="77777777">
      <w:pPr>
        <w:pStyle w:val="Bibliography"/>
        <w:spacing w:before="0" w:after="120" w:afterAutospacing="0" w:line="240" w:lineRule="auto"/>
        <w:rPr>
          <w:rFonts w:ascii="times new roman" w:hAnsi="times new roman"/>
        </w:rPr>
      </w:pPr>
      <w:r>
        <w:rPr>
          <w:rFonts w:ascii="times new roman" w:hAnsi="times new roman"/>
        </w:rPr>
        <w:t>112.</w:t>
      </w:r>
      <w:r>
        <w:rPr>
          <w:rFonts w:ascii="times new roman" w:hAnsi="times new roman"/>
        </w:rPr>
        <w:tab/>
      </w:r>
      <w:r>
        <w:rPr>
          <w:rFonts w:ascii="times new roman" w:hAnsi="times new roman"/>
        </w:rPr>
        <w:t>Ravensbergen L, Schwanen T. Community Transport’s Dual Role as a Transport and a Social Scheme: Implications for Policy. IJERPH. 2024 Mar 30;21(4):422. doi:10.3390/ijerph21040422</w:t>
      </w:r>
    </w:p>
    <w:p xmlns:wp14="http://schemas.microsoft.com/office/word/2010/wordml" w14:paraId="1A02D5A7" wp14:textId="77777777">
      <w:pPr>
        <w:pStyle w:val="Bibliography"/>
        <w:spacing w:before="0" w:after="120" w:afterAutospacing="0" w:line="240" w:lineRule="auto"/>
        <w:rPr>
          <w:rFonts w:ascii="times new roman" w:hAnsi="times new roman"/>
        </w:rPr>
      </w:pPr>
      <w:r>
        <w:rPr>
          <w:rFonts w:ascii="times new roman" w:hAnsi="times new roman"/>
        </w:rPr>
        <w:t>113.</w:t>
      </w:r>
      <w:r>
        <w:rPr>
          <w:rFonts w:ascii="times new roman" w:hAnsi="times new roman"/>
        </w:rPr>
        <w:tab/>
      </w:r>
      <w:r>
        <w:rPr>
          <w:rFonts w:ascii="times new roman" w:hAnsi="times new roman"/>
        </w:rPr>
        <w:t>Ravensbergen L, Schwanen T. “</w:t>
      </w:r>
      <w:r>
        <w:rPr>
          <w:rFonts w:ascii="times new roman" w:hAnsi="times new roman"/>
          <w:i/>
          <w:iCs/>
        </w:rPr>
        <w:t>It’s such a big ask for a volunteer</w:t>
      </w:r>
      <w:r>
        <w:rPr>
          <w:rFonts w:ascii="times new roman" w:hAnsi="times new roman"/>
        </w:rPr>
        <w:t>”: Community transport as a sticking plaster solution to rural transport poverty. Journal of Rural Studies. 2025 Oct 1;119:103718. doi:10.1016/j.jrurstud.2025.103718</w:t>
      </w:r>
    </w:p>
    <w:p xmlns:wp14="http://schemas.microsoft.com/office/word/2010/wordml" w14:paraId="28CB7FCF" wp14:textId="77777777">
      <w:pPr>
        <w:pStyle w:val="Bibliography"/>
        <w:spacing w:before="0" w:after="120" w:afterAutospacing="0" w:line="240" w:lineRule="auto"/>
        <w:rPr>
          <w:rFonts w:ascii="times new roman" w:hAnsi="times new roman"/>
        </w:rPr>
      </w:pPr>
      <w:r>
        <w:rPr>
          <w:rFonts w:ascii="times new roman" w:hAnsi="times new roman"/>
        </w:rPr>
        <w:t>114.</w:t>
      </w:r>
      <w:r>
        <w:rPr>
          <w:rFonts w:ascii="times new roman" w:hAnsi="times new roman"/>
        </w:rPr>
        <w:tab/>
      </w:r>
      <w:r>
        <w:rPr>
          <w:rFonts w:ascii="times new roman" w:hAnsi="times new roman"/>
        </w:rPr>
        <w:t>Full article: ‘I wouldn’t take the risk of the attention, you know? Just a lone girl biking’: examining the gendered and classed embodied experiences of cycling [Internet]. [cited 2026 Sep 21]. Available from: https://www.tandfonline.com/doi/full/10.1080/14649365.2020.1806344</w:t>
      </w:r>
    </w:p>
    <w:p xmlns:wp14="http://schemas.microsoft.com/office/word/2010/wordml" w14:paraId="33DA9C4C" wp14:textId="77777777">
      <w:pPr>
        <w:pStyle w:val="Bibliography"/>
        <w:spacing w:before="0" w:after="120" w:afterAutospacing="0" w:line="240" w:lineRule="auto"/>
        <w:rPr>
          <w:rFonts w:ascii="times new roman" w:hAnsi="times new roman"/>
        </w:rPr>
      </w:pPr>
      <w:r>
        <w:rPr>
          <w:rFonts w:ascii="times new roman" w:hAnsi="times new roman"/>
        </w:rPr>
        <w:t>115.</w:t>
      </w:r>
      <w:r>
        <w:rPr>
          <w:rFonts w:ascii="times new roman" w:hAnsi="times new roman"/>
        </w:rPr>
        <w:tab/>
      </w:r>
      <w:r>
        <w:rPr>
          <w:rFonts w:ascii="times new roman" w:hAnsi="times new roman"/>
        </w:rPr>
        <w:t>Ravensbergen L, Ilunga-Kapinga J, Ismail S, Patel A, Khachatryan A, Wong K. Cycling as social practice: a collective autoethnography on power and vélomobility in the city. Mobilities. 2024 Mar 3;19(2):329–43. doi:10.1080/17450101.2023.2211238</w:t>
      </w:r>
    </w:p>
    <w:p xmlns:wp14="http://schemas.microsoft.com/office/word/2010/wordml" w14:paraId="1F489E40" wp14:textId="77777777">
      <w:pPr>
        <w:pStyle w:val="Bibliography"/>
        <w:spacing w:before="0" w:after="120" w:afterAutospacing="0" w:line="240" w:lineRule="auto"/>
        <w:rPr>
          <w:rFonts w:ascii="times new roman" w:hAnsi="times new roman"/>
        </w:rPr>
      </w:pPr>
      <w:r>
        <w:rPr>
          <w:rFonts w:ascii="times new roman" w:hAnsi="times new roman"/>
        </w:rPr>
        <w:t>116.</w:t>
      </w:r>
      <w:r>
        <w:rPr>
          <w:rFonts w:ascii="times new roman" w:hAnsi="times new roman"/>
        </w:rPr>
        <w:tab/>
      </w:r>
      <w:r>
        <w:rPr>
          <w:rFonts w:ascii="times new roman" w:hAnsi="times new roman"/>
        </w:rPr>
        <w:t>Ravensbergen L, Schwanen T. Care‐driven informality: The case of community transport. Geographical Journal. 2024 Jun;190(2):e12552. doi:10.1111/geoj.12552</w:t>
      </w:r>
    </w:p>
    <w:p xmlns:wp14="http://schemas.microsoft.com/office/word/2010/wordml" w14:paraId="08FB2C99" wp14:textId="77777777">
      <w:pPr>
        <w:pStyle w:val="Bibliography"/>
        <w:spacing w:before="0" w:after="120" w:afterAutospacing="0" w:line="240" w:lineRule="auto"/>
        <w:rPr>
          <w:rFonts w:ascii="times new roman" w:hAnsi="times new roman"/>
        </w:rPr>
      </w:pPr>
      <w:r>
        <w:rPr>
          <w:rFonts w:ascii="times new roman" w:hAnsi="times new roman"/>
        </w:rPr>
        <w:t>117.</w:t>
      </w:r>
      <w:r>
        <w:rPr>
          <w:rFonts w:ascii="times new roman" w:hAnsi="times new roman"/>
        </w:rPr>
        <w:tab/>
      </w:r>
      <w:r>
        <w:rPr>
          <w:rFonts w:ascii="times new roman" w:hAnsi="times new roman"/>
        </w:rPr>
        <w:t>Theodore Collins, Karen Van Ooteghem, Sheereen Harris, Marla Beauchamp, Léa Ravensbergen. "I’d Like to See All of It”: Co-Designing a Feedback Mobility Report with Older Adults. Journal of Population Ageing. Under review.</w:t>
      </w:r>
    </w:p>
    <w:p xmlns:wp14="http://schemas.microsoft.com/office/word/2010/wordml" w14:paraId="1DC19A6C" wp14:textId="77777777">
      <w:pPr>
        <w:pStyle w:val="Bibliography"/>
        <w:spacing w:before="0" w:after="120" w:afterAutospacing="0" w:line="240" w:lineRule="auto"/>
        <w:rPr>
          <w:rFonts w:ascii="times new roman" w:hAnsi="times new roman"/>
        </w:rPr>
      </w:pPr>
      <w:r>
        <w:rPr>
          <w:rFonts w:ascii="times new roman" w:hAnsi="times new roman"/>
        </w:rPr>
        <w:t>118.</w:t>
      </w:r>
      <w:r>
        <w:rPr>
          <w:rFonts w:ascii="times new roman" w:hAnsi="times new roman"/>
        </w:rPr>
        <w:tab/>
      </w:r>
      <w:r>
        <w:rPr>
          <w:rFonts w:ascii="times new roman" w:hAnsi="times new roman"/>
        </w:rPr>
        <w:t>Alexandra Sbrocchi, Liam Bienstock, Elyse Comeau, Jacob Alhassan, Marvin Macaraig, Lea Ravensbergen, et al. Epistemic Injustice in Community-Based Transportation Research: Insights from Researchers’ Experiences. Journal of Transport Geography. Under review.</w:t>
      </w:r>
    </w:p>
    <w:p xmlns:wp14="http://schemas.microsoft.com/office/word/2010/wordml" w14:paraId="3A84310C" wp14:textId="77777777">
      <w:pPr>
        <w:pStyle w:val="Bibliography"/>
        <w:spacing w:before="0" w:after="120" w:afterAutospacing="0" w:line="240" w:lineRule="auto"/>
        <w:rPr>
          <w:rFonts w:ascii="times new roman" w:hAnsi="times new roman"/>
        </w:rPr>
      </w:pPr>
      <w:r>
        <w:rPr>
          <w:rFonts w:ascii="times new roman" w:hAnsi="times new roman"/>
        </w:rPr>
        <w:t>119.</w:t>
      </w:r>
      <w:r>
        <w:rPr>
          <w:rFonts w:ascii="times new roman" w:hAnsi="times new roman"/>
        </w:rPr>
        <w:tab/>
      </w:r>
      <w:r>
        <w:rPr>
          <w:rFonts w:ascii="times new roman" w:hAnsi="times new roman"/>
        </w:rPr>
        <w:t>Léa Ravensbergen, Darren Scott, Bruce Newbold. Mitacs [Internet]. [cited 2026 Sep 21]. Accessible Transportation Services: Customer Travel Satisfaction. Available from: https://www.mitacs.ca/our-projects/accessible-transportation-services-customer-travel-satisfaction/</w:t>
      </w:r>
    </w:p>
    <w:p xmlns:wp14="http://schemas.microsoft.com/office/word/2010/wordml" w14:paraId="64993A87" wp14:textId="77777777">
      <w:pPr>
        <w:pStyle w:val="Bibliography"/>
        <w:spacing w:before="0" w:after="120" w:afterAutospacing="0" w:line="240" w:lineRule="auto"/>
        <w:rPr>
          <w:rFonts w:ascii="times new roman" w:hAnsi="times new roman"/>
        </w:rPr>
      </w:pPr>
      <w:r>
        <w:rPr>
          <w:rFonts w:ascii="times new roman" w:hAnsi="times new roman"/>
        </w:rPr>
        <w:t>120.</w:t>
      </w:r>
      <w:r>
        <w:rPr>
          <w:rFonts w:ascii="times new roman" w:hAnsi="times new roman"/>
        </w:rPr>
        <w:tab/>
      </w:r>
      <w:r>
        <w:rPr>
          <w:rFonts w:ascii="times new roman" w:hAnsi="times new roman"/>
        </w:rPr>
        <w:t>Collins T, Ravensbergen L, Young M. The landscape of contemporary paratransit research: A critical systematic review of the literature in the US and Canada. Travel Behaviour and Society. 2025 Jan 1;38:100930. doi:10.1016/j.tbs.2024.100930</w:t>
      </w:r>
    </w:p>
    <w:p xmlns:wp14="http://schemas.microsoft.com/office/word/2010/wordml" w14:paraId="2C29EC6C" wp14:textId="77777777">
      <w:pPr>
        <w:pStyle w:val="Bibliography"/>
        <w:spacing w:before="0" w:after="120" w:afterAutospacing="0" w:line="240" w:lineRule="auto"/>
        <w:rPr>
          <w:rFonts w:ascii="times new roman" w:hAnsi="times new roman"/>
        </w:rPr>
      </w:pPr>
      <w:r>
        <w:rPr>
          <w:rFonts w:ascii="times new roman" w:hAnsi="times new roman"/>
        </w:rPr>
        <w:t>121.</w:t>
      </w:r>
      <w:r>
        <w:rPr>
          <w:rFonts w:ascii="times new roman" w:hAnsi="times new roman"/>
        </w:rPr>
        <w:tab/>
      </w:r>
      <w:r>
        <w:rPr>
          <w:rFonts w:ascii="times new roman" w:hAnsi="times new roman"/>
        </w:rPr>
        <w:t>Paez A. Reproducible Research Workflow [HTML] [Internet]. 2026 [cited 2026 Sep 12]. (Notes and resources for graduate course GEOG 712 Reproducible Research Workflow with GitHub and R). Available from: https://github.com/paezha/Reproducible-Research-Workflow</w:t>
      </w:r>
    </w:p>
    <w:p xmlns:wp14="http://schemas.microsoft.com/office/word/2010/wordml" w14:paraId="03EFCA41" wp14:textId="77777777">
      <w:pPr>
        <w:pStyle w:val="Normal"/>
        <w:rPr>
          <w:rFonts w:ascii="times new roman" w:hAnsi="times new roman"/>
        </w:rPr>
      </w:pPr>
      <w:r/>
      <w:r>
        <w:rPr>
          <w:rFonts w:ascii="times new roman" w:hAnsi="times new roman"/>
        </w:rPr>
        <w:fldChar w:fldCharType="end"/>
      </w:r>
      <w:r>
        <w:rPr>
          <w:rFonts w:ascii="times new roman" w:hAnsi="times new roman"/>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orient="portrait"/>
      <w:pgMar w:top="1080" w:right="1080" w:bottom="1080" w:left="1080" w:header="720" w:footer="72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MRoman10-Regular">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23557D2" wp14:textId="77777777">
    <w:pPr>
      <w:pStyle w:val="Footer"/>
      <w:ind w:right="360" w:firstLine="288"/>
      <w:rPr/>
    </w:pPr>
    <w:r>
      <w:rPr/>
      <mc:AlternateContent>
        <mc:Choice Requires="wps">
          <w:drawing>
            <wp:anchor xmlns:wp14="http://schemas.microsoft.com/office/word/2010/wordprocessingDrawing" distT="0" distB="0" distL="0" distR="0" simplePos="0" relativeHeight="2" behindDoc="1" locked="0" layoutInCell="0" allowOverlap="1" wp14:anchorId="5246D668" wp14:editId="7777777">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12214119"/>
                          </w:sdtPr>
                          <w:sdtContent>
                            <w:p xmlns:wp14="http://schemas.microsoft.com/office/word/2010/wordml" w14:paraId="44D804A1" wp14:textId="77777777">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w14:anchorId="47018E2D">
            <v:rect id="shape_0" style="position:absolute;margin-left:0pt;margin-top:0.05pt;width:1.1pt;height:1.1pt;mso-wrap-style:square;v-text-anchor:top;mso-position-horizontal:right;mso-position-horizontal-relative:margin" o:allowincell="f" stroked="f" ID="Frame1" path="m0,0l-2147483645,0l-2147483645,-2147483646l0,-2147483646xe">
              <v:fill on="false" o:detectmouseclick="t"/>
              <v:stroke color="#3465a4" joinstyle="round" endcap="flat"/>
              <v:textbox>
                <w:txbxContent>
                  <w:sdt>
                    <w:sdtPr>
                      <w:id w:val="684664534"/>
                      <w:docPartObj>
                        <w:docPartGallery w:val="Page Numbers (Bottom of Page)"/>
                        <w:docPartUnique w:val="true"/>
                      </w:docPartObj>
                      <w:id w:val="-112214119"/>
                    </w:sdtPr>
                    <w:sdtContent>
                      <w:p w14:paraId="06ECB77A" wp14:textId="77777777">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65111C8" wp14:textId="77777777">
    <w:pPr>
      <w:pStyle w:val="Footer"/>
      <w:ind w:right="360" w:firstLine="288"/>
      <w:rPr/>
    </w:pPr>
    <w:r>
      <w:rPr/>
      <mc:AlternateContent>
        <mc:Choice Requires="wps">
          <w:drawing>
            <wp:anchor xmlns:wp14="http://schemas.microsoft.com/office/word/2010/wordprocessingDrawing" distT="0" distB="0" distL="0" distR="0" simplePos="0" relativeHeight="60" behindDoc="1" locked="0" layoutInCell="0" allowOverlap="1" wp14:anchorId="53A6BD24" wp14:editId="7777777">
              <wp:simplePos x="0" y="0"/>
              <wp:positionH relativeFrom="margin">
                <wp:align>right</wp:align>
              </wp:positionH>
              <wp:positionV relativeFrom="paragraph">
                <wp:posOffset>635</wp:posOffset>
              </wp:positionV>
              <wp:extent cx="374015" cy="173990"/>
              <wp:effectExtent l="0" t="0" r="0" b="0"/>
              <wp:wrapNone/>
              <wp:docPr id="2" name="Frame2"/>
              <a:graphic xmlns:a="http://schemas.openxmlformats.org/drawingml/2006/main">
                <a:graphicData uri="http://schemas.microsoft.com/office/word/2010/wordprocessingShape">
                  <wps:wsp>
                    <wps:cNvSpPr/>
                    <wps:spPr>
                      <a:xfrm>
                        <a:off x="0" y="0"/>
                        <a:ext cx="37404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748561835"/>
                            <w:showingPlcHdr/>
                          </w:sdtPr>
                          <w:sdtContent>
                            <w:p xmlns:wp14="http://schemas.microsoft.com/office/word/2010/wordml" w14:paraId="207CCF61" wp14:textId="77777777">
                              <w:pPr>
                                <w:pStyle w:val="Footer"/>
                                <w:rPr>
                                  <w:rStyle w:val="PageNumber"/>
                                </w:rPr>
                              </w:pPr>
                              <w:r>
                                <w:rPr>
                                  <w:rStyle w:val="PlaceholderText"/>
                                </w:rPr>
                                <w:t xml:space="preserve">     </w:t>
                              </w:r>
                            </w:p>
                          </w:sdtContent>
                        </w:sdt>
                      </w:txbxContent>
                    </wps:txbx>
                    <wps:bodyPr lIns="0" tIns="0" rIns="0" bIns="0" anchor="t">
                      <a:spAutoFit/>
                    </wps:bodyPr>
                  </wps:wsp>
                </a:graphicData>
              </a:graphic>
            </wp:anchor>
          </w:drawing>
        </mc:Choice>
        <mc:Fallback>
          <w:pict w14:anchorId="2462CC51">
            <v:rect id="shape_0" style="position:absolute;margin-left:474.5pt;margin-top:0.05pt;width:29.4pt;height:13.65pt;mso-wrap-style:square;v-text-anchor:top;mso-position-horizontal:right;mso-position-horizontal-relative:margin" o:allowincell="f" stroked="f" ID="Frame2" path="m0,0l-2147483645,0l-2147483645,-2147483646l0,-2147483646xe">
              <v:fill on="false" o:detectmouseclick="t"/>
              <v:stroke color="#3465a4" joinstyle="round" endcap="flat"/>
              <v:textbox>
                <w:txbxContent>
                  <w:sdt>
                    <w:sdtPr>
                      <w:id w:val="819685988"/>
                      <w:docPartObj>
                        <w:docPartGallery w:val="Page Numbers (Bottom of Page)"/>
                        <w:docPartUnique w:val="true"/>
                      </w:docPartObj>
                      <w:id w:val="-1748561835"/>
                      <w:showingPlcHdr/>
                    </w:sdtPr>
                    <w:sdtContent>
                      <w:p w14:paraId="05C2A4D3" wp14:textId="77777777">
                        <w:pPr>
                          <w:pStyle w:val="Footer"/>
                          <w:rPr>
                            <w:rStyle w:val="PageNumber"/>
                          </w:rPr>
                        </w:pPr>
                        <w:r>
                          <w:rPr>
                            <w:rStyle w:val="PlaceholderText"/>
                          </w:rPr>
                          <w:t xml:space="preserve">     </w:t>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37E16F60" wp14:textId="77777777">
    <w:pPr>
      <w:pStyle w:val="Footer"/>
      <w:ind w:right="360" w:firstLine="288"/>
      <w:rPr/>
    </w:pPr>
    <w:r>
      <w:rPr/>
      <mc:AlternateContent>
        <mc:Choice Requires="wps">
          <w:drawing>
            <wp:anchor xmlns:wp14="http://schemas.microsoft.com/office/word/2010/wordprocessingDrawing" distT="0" distB="0" distL="0" distR="0" simplePos="0" relativeHeight="60" behindDoc="1" locked="0" layoutInCell="0" allowOverlap="1" wp14:anchorId="6FCA5281" wp14:editId="7777777">
              <wp:simplePos x="0" y="0"/>
              <wp:positionH relativeFrom="margin">
                <wp:align>right</wp:align>
              </wp:positionH>
              <wp:positionV relativeFrom="paragraph">
                <wp:posOffset>635</wp:posOffset>
              </wp:positionV>
              <wp:extent cx="374015" cy="173990"/>
              <wp:effectExtent l="0" t="0" r="0" b="0"/>
              <wp:wrapNone/>
              <wp:docPr id="3" name="Frame2"/>
              <a:graphic xmlns:a="http://schemas.openxmlformats.org/drawingml/2006/main">
                <a:graphicData uri="http://schemas.microsoft.com/office/word/2010/wordprocessingShape">
                  <wps:wsp>
                    <wps:cNvSpPr/>
                    <wps:spPr>
                      <a:xfrm>
                        <a:off x="0" y="0"/>
                        <a:ext cx="374040" cy="173880"/>
                      </a:xfrm>
                      <a:prstGeom prst="rect">
                        <a:avLst/>
                      </a:prstGeom>
                      <a:noFill/>
                      <a:ln w="0">
                        <a:noFill/>
                      </a:ln>
                    </wps:spPr>
                    <wps:style>
                      <a:lnRef idx="0"/>
                      <a:fillRef idx="0"/>
                      <a:effectRef idx="0"/>
                      <a:fontRef idx="minor"/>
                    </wps:style>
                    <wps:txbx>
                      <w:txbxContent>
                        <w:sdt>
                          <w:sdtPr>
                            <w:id w:val="885830541"/>
                            <w:docPartObj>
                              <w:docPartGallery w:val="Page Numbers (Bottom of Page)"/>
                              <w:docPartUnique w:val="true"/>
                            </w:docPartObj>
                            <w:id w:val="-1748561835"/>
                            <w:showingPlcHdr/>
                          </w:sdtPr>
                          <w:sdtContent>
                            <w:p xmlns:wp14="http://schemas.microsoft.com/office/word/2010/wordml" w14:paraId="18FB4B73" wp14:textId="77777777">
                              <w:pPr>
                                <w:pStyle w:val="Footer"/>
                                <w:rPr>
                                  <w:rStyle w:val="PageNumber"/>
                                </w:rPr>
                              </w:pPr>
                              <w:r>
                                <w:rPr>
                                  <w:rStyle w:val="PlaceholderText"/>
                                </w:rPr>
                                <w:t xml:space="preserve">     </w:t>
                              </w:r>
                            </w:p>
                          </w:sdtContent>
                        </w:sdt>
                      </w:txbxContent>
                    </wps:txbx>
                    <wps:bodyPr lIns="0" tIns="0" rIns="0" bIns="0" anchor="t">
                      <a:spAutoFit/>
                    </wps:bodyPr>
                  </wps:wsp>
                </a:graphicData>
              </a:graphic>
            </wp:anchor>
          </w:drawing>
        </mc:Choice>
        <mc:Fallback>
          <w:pict w14:anchorId="404E1878">
            <v:rect id="shape_0" style="position:absolute;margin-left:474.5pt;margin-top:0.05pt;width:29.4pt;height:13.65pt;mso-wrap-style:square;v-text-anchor:top;mso-position-horizontal:right;mso-position-horizontal-relative:margin" o:allowincell="f" stroked="f" ID="Frame2" path="m0,0l-2147483645,0l-2147483645,-2147483646l0,-2147483646xe">
              <v:fill on="false" o:detectmouseclick="t"/>
              <v:stroke color="#3465a4" joinstyle="round" endcap="flat"/>
              <v:textbox>
                <w:txbxContent>
                  <w:sdt>
                    <w:sdtPr>
                      <w:id w:val="873822052"/>
                      <w:docPartObj>
                        <w:docPartGallery w:val="Page Numbers (Bottom of Page)"/>
                        <w:docPartUnique w:val="true"/>
                      </w:docPartObj>
                      <w:id w:val="-1748561835"/>
                      <w:showingPlcHdr/>
                    </w:sdtPr>
                    <w:sdtContent>
                      <w:p w14:paraId="2FB60F38" wp14:textId="77777777">
                        <w:pPr>
                          <w:pStyle w:val="Footer"/>
                          <w:rPr>
                            <w:rStyle w:val="PageNumber"/>
                          </w:rPr>
                        </w:pPr>
                        <w:r>
                          <w:rPr>
                            <w:rStyle w:val="PlaceholderText"/>
                          </w:rPr>
                          <w:t xml:space="preserve">     </w:t>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F96A722"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9404130" wp14:textId="77777777">
    <w:pPr>
      <w:pStyle w:val="Header"/>
      <w:rPr/>
    </w:pPr>
    <w:r>
      <w:rPr/>
      <w:t>SSHRC Insight Grants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AD5970F" wp14:textId="77777777">
    <w:pPr>
      <w:pStyle w:val="Header"/>
      <w:rPr/>
    </w:pPr>
    <w:r>
      <w:rPr/>
      <w:t>SSHRC Insight Grants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36" w:hanging="360"/>
      </w:pPr>
      <w:rPr/>
    </w:lvl>
    <w:lvl w:ilvl="1">
      <w:start w:val="1"/>
      <w:numFmt w:val="lowerLetter"/>
      <w:lvlText w:val="%2."/>
      <w:lvlJc w:val="left"/>
      <w:pPr>
        <w:tabs>
          <w:tab w:val="num" w:pos="0"/>
        </w:tabs>
        <w:ind w:left="1656" w:hanging="360"/>
      </w:pPr>
      <w:rPr/>
    </w:lvl>
    <w:lvl w:ilvl="2">
      <w:start w:val="1"/>
      <w:numFmt w:val="lowerRoman"/>
      <w:lvlText w:val="%3."/>
      <w:lvlJc w:val="right"/>
      <w:pPr>
        <w:tabs>
          <w:tab w:val="num" w:pos="0"/>
        </w:tabs>
        <w:ind w:left="2376" w:hanging="180"/>
      </w:pPr>
      <w:rPr/>
    </w:lvl>
    <w:lvl w:ilvl="3">
      <w:start w:val="1"/>
      <w:numFmt w:val="decimal"/>
      <w:lvlText w:val="%4."/>
      <w:lvlJc w:val="left"/>
      <w:pPr>
        <w:tabs>
          <w:tab w:val="num" w:pos="0"/>
        </w:tabs>
        <w:ind w:left="3096" w:hanging="360"/>
      </w:pPr>
      <w:rPr/>
    </w:lvl>
    <w:lvl w:ilvl="4">
      <w:start w:val="1"/>
      <w:numFmt w:val="lowerLetter"/>
      <w:lvlText w:val="%5."/>
      <w:lvlJc w:val="left"/>
      <w:pPr>
        <w:tabs>
          <w:tab w:val="num" w:pos="0"/>
        </w:tabs>
        <w:ind w:left="3816" w:hanging="360"/>
      </w:pPr>
      <w:rPr/>
    </w:lvl>
    <w:lvl w:ilvl="5">
      <w:start w:val="1"/>
      <w:numFmt w:val="lowerRoman"/>
      <w:lvlText w:val="%6."/>
      <w:lvlJc w:val="right"/>
      <w:pPr>
        <w:tabs>
          <w:tab w:val="num" w:pos="0"/>
        </w:tabs>
        <w:ind w:left="4536" w:hanging="180"/>
      </w:pPr>
      <w:rPr/>
    </w:lvl>
    <w:lvl w:ilvl="6">
      <w:start w:val="1"/>
      <w:numFmt w:val="decimal"/>
      <w:lvlText w:val="%7."/>
      <w:lvlJc w:val="left"/>
      <w:pPr>
        <w:tabs>
          <w:tab w:val="num" w:pos="0"/>
        </w:tabs>
        <w:ind w:left="5256" w:hanging="360"/>
      </w:pPr>
      <w:rPr/>
    </w:lvl>
    <w:lvl w:ilvl="7">
      <w:start w:val="1"/>
      <w:numFmt w:val="lowerLetter"/>
      <w:lvlText w:val="%8."/>
      <w:lvlJc w:val="left"/>
      <w:pPr>
        <w:tabs>
          <w:tab w:val="num" w:pos="0"/>
        </w:tabs>
        <w:ind w:left="5976" w:hanging="360"/>
      </w:pPr>
      <w:rPr/>
    </w:lvl>
    <w:lvl w:ilvl="8">
      <w:start w:val="1"/>
      <w:numFmt w:val="lowerRoman"/>
      <w:lvlText w:val="%9."/>
      <w:lvlJc w:val="right"/>
      <w:pPr>
        <w:tabs>
          <w:tab w:val="num" w:pos="0"/>
        </w:tabs>
        <w:ind w:left="6696" w:hanging="180"/>
      </w:pPr>
      <w:rPr/>
    </w:lvl>
    <w:nsid w:val="288ebbc"/>
  </w:abstractNum>
  <w:abstractNum w:abstractNumId="2">
    <w:lvl w:ilvl="0">
      <w:start w:val="1"/>
      <w:numFmt w:val="bullet"/>
      <w:lvlText w:val=""/>
      <w:lvlJc w:val="left"/>
      <w:pPr>
        <w:tabs>
          <w:tab w:val="num" w:pos="0"/>
        </w:tabs>
        <w:ind w:left="936" w:hanging="360"/>
      </w:pPr>
      <w:rPr>
        <w:rFonts w:hint="default" w:ascii="Symbol" w:hAnsi="Symbol" w:cs="Symbol"/>
      </w:rPr>
    </w:lvl>
    <w:lvl w:ilvl="1">
      <w:start w:val="1"/>
      <w:numFmt w:val="bullet"/>
      <w:lvlText w:val="o"/>
      <w:lvlJc w:val="left"/>
      <w:pPr>
        <w:tabs>
          <w:tab w:val="num" w:pos="0"/>
        </w:tabs>
        <w:ind w:left="1656" w:hanging="360"/>
      </w:pPr>
      <w:rPr>
        <w:rFonts w:hint="default" w:ascii="Courier New" w:hAnsi="Courier New" w:cs="Courier New"/>
      </w:rPr>
    </w:lvl>
    <w:lvl w:ilvl="2">
      <w:start w:val="1"/>
      <w:numFmt w:val="bullet"/>
      <w:lvlText w:val=""/>
      <w:lvlJc w:val="left"/>
      <w:pPr>
        <w:tabs>
          <w:tab w:val="num" w:pos="0"/>
        </w:tabs>
        <w:ind w:left="2376" w:hanging="360"/>
      </w:pPr>
      <w:rPr>
        <w:rFonts w:hint="default" w:ascii="Wingdings" w:hAnsi="Wingdings" w:cs="Wingdings"/>
      </w:rPr>
    </w:lvl>
    <w:lvl w:ilvl="3">
      <w:start w:val="1"/>
      <w:numFmt w:val="bullet"/>
      <w:lvlText w:val=""/>
      <w:lvlJc w:val="left"/>
      <w:pPr>
        <w:tabs>
          <w:tab w:val="num" w:pos="0"/>
        </w:tabs>
        <w:ind w:left="3096" w:hanging="360"/>
      </w:pPr>
      <w:rPr>
        <w:rFonts w:hint="default" w:ascii="Symbol" w:hAnsi="Symbol" w:cs="Symbol"/>
      </w:rPr>
    </w:lvl>
    <w:lvl w:ilvl="4">
      <w:start w:val="1"/>
      <w:numFmt w:val="bullet"/>
      <w:lvlText w:val="o"/>
      <w:lvlJc w:val="left"/>
      <w:pPr>
        <w:tabs>
          <w:tab w:val="num" w:pos="0"/>
        </w:tabs>
        <w:ind w:left="3816" w:hanging="360"/>
      </w:pPr>
      <w:rPr>
        <w:rFonts w:hint="default" w:ascii="Courier New" w:hAnsi="Courier New" w:cs="Courier New"/>
      </w:rPr>
    </w:lvl>
    <w:lvl w:ilvl="5">
      <w:start w:val="1"/>
      <w:numFmt w:val="bullet"/>
      <w:lvlText w:val=""/>
      <w:lvlJc w:val="left"/>
      <w:pPr>
        <w:tabs>
          <w:tab w:val="num" w:pos="0"/>
        </w:tabs>
        <w:ind w:left="4536" w:hanging="360"/>
      </w:pPr>
      <w:rPr>
        <w:rFonts w:hint="default" w:ascii="Wingdings" w:hAnsi="Wingdings" w:cs="Wingdings"/>
      </w:rPr>
    </w:lvl>
    <w:lvl w:ilvl="6">
      <w:start w:val="1"/>
      <w:numFmt w:val="bullet"/>
      <w:lvlText w:val=""/>
      <w:lvlJc w:val="left"/>
      <w:pPr>
        <w:tabs>
          <w:tab w:val="num" w:pos="0"/>
        </w:tabs>
        <w:ind w:left="5256" w:hanging="360"/>
      </w:pPr>
      <w:rPr>
        <w:rFonts w:hint="default" w:ascii="Symbol" w:hAnsi="Symbol" w:cs="Symbol"/>
      </w:rPr>
    </w:lvl>
    <w:lvl w:ilvl="7">
      <w:start w:val="1"/>
      <w:numFmt w:val="bullet"/>
      <w:lvlText w:val="o"/>
      <w:lvlJc w:val="left"/>
      <w:pPr>
        <w:tabs>
          <w:tab w:val="num" w:pos="0"/>
        </w:tabs>
        <w:ind w:left="5976" w:hanging="360"/>
      </w:pPr>
      <w:rPr>
        <w:rFonts w:hint="default" w:ascii="Courier New" w:hAnsi="Courier New" w:cs="Courier New"/>
      </w:rPr>
    </w:lvl>
    <w:lvl w:ilvl="8">
      <w:start w:val="1"/>
      <w:numFmt w:val="bullet"/>
      <w:lvlText w:val=""/>
      <w:lvlJc w:val="left"/>
      <w:pPr>
        <w:tabs>
          <w:tab w:val="num" w:pos="0"/>
        </w:tabs>
        <w:ind w:left="6696" w:hanging="360"/>
      </w:pPr>
      <w:rPr>
        <w:rFonts w:hint="default" w:ascii="Wingdings" w:hAnsi="Wingdings" w:cs="Wingdings"/>
      </w:rPr>
    </w:lvl>
    <w:nsid w:val="334e0055"/>
  </w:abstractNum>
  <w:abstractNum w:abstractNumId="3">
    <w:lvl w:ilvl="0">
      <w:start w:val="1"/>
      <w:numFmt w:val="decimal"/>
      <w:lvlText w:val="%1."/>
      <w:lvlJc w:val="left"/>
      <w:pPr>
        <w:tabs>
          <w:tab w:val="num" w:pos="0"/>
        </w:tabs>
        <w:ind w:left="936" w:hanging="360"/>
      </w:pPr>
      <w:rPr/>
    </w:lvl>
    <w:lvl w:ilvl="1">
      <w:start w:val="1"/>
      <w:numFmt w:val="lowerLetter"/>
      <w:lvlText w:val="%2."/>
      <w:lvlJc w:val="left"/>
      <w:pPr>
        <w:tabs>
          <w:tab w:val="num" w:pos="0"/>
        </w:tabs>
        <w:ind w:left="1656" w:hanging="360"/>
      </w:pPr>
      <w:rPr/>
    </w:lvl>
    <w:lvl w:ilvl="2">
      <w:start w:val="1"/>
      <w:numFmt w:val="lowerRoman"/>
      <w:lvlText w:val="%3."/>
      <w:lvlJc w:val="right"/>
      <w:pPr>
        <w:tabs>
          <w:tab w:val="num" w:pos="0"/>
        </w:tabs>
        <w:ind w:left="2376" w:hanging="180"/>
      </w:pPr>
      <w:rPr/>
    </w:lvl>
    <w:lvl w:ilvl="3">
      <w:start w:val="1"/>
      <w:numFmt w:val="decimal"/>
      <w:lvlText w:val="%4."/>
      <w:lvlJc w:val="left"/>
      <w:pPr>
        <w:tabs>
          <w:tab w:val="num" w:pos="0"/>
        </w:tabs>
        <w:ind w:left="3096" w:hanging="360"/>
      </w:pPr>
      <w:rPr/>
    </w:lvl>
    <w:lvl w:ilvl="4">
      <w:start w:val="1"/>
      <w:numFmt w:val="lowerLetter"/>
      <w:lvlText w:val="%5."/>
      <w:lvlJc w:val="left"/>
      <w:pPr>
        <w:tabs>
          <w:tab w:val="num" w:pos="0"/>
        </w:tabs>
        <w:ind w:left="3816" w:hanging="360"/>
      </w:pPr>
      <w:rPr/>
    </w:lvl>
    <w:lvl w:ilvl="5">
      <w:start w:val="1"/>
      <w:numFmt w:val="lowerRoman"/>
      <w:lvlText w:val="%6."/>
      <w:lvlJc w:val="right"/>
      <w:pPr>
        <w:tabs>
          <w:tab w:val="num" w:pos="0"/>
        </w:tabs>
        <w:ind w:left="4536" w:hanging="180"/>
      </w:pPr>
      <w:rPr/>
    </w:lvl>
    <w:lvl w:ilvl="6">
      <w:start w:val="1"/>
      <w:numFmt w:val="decimal"/>
      <w:lvlText w:val="%7."/>
      <w:lvlJc w:val="left"/>
      <w:pPr>
        <w:tabs>
          <w:tab w:val="num" w:pos="0"/>
        </w:tabs>
        <w:ind w:left="5256" w:hanging="360"/>
      </w:pPr>
      <w:rPr/>
    </w:lvl>
    <w:lvl w:ilvl="7">
      <w:start w:val="1"/>
      <w:numFmt w:val="lowerLetter"/>
      <w:lvlText w:val="%8."/>
      <w:lvlJc w:val="left"/>
      <w:pPr>
        <w:tabs>
          <w:tab w:val="num" w:pos="0"/>
        </w:tabs>
        <w:ind w:left="5976" w:hanging="360"/>
      </w:pPr>
      <w:rPr/>
    </w:lvl>
    <w:lvl w:ilvl="8">
      <w:start w:val="1"/>
      <w:numFmt w:val="lowerRoman"/>
      <w:lvlText w:val="%9."/>
      <w:lvlJc w:val="right"/>
      <w:pPr>
        <w:tabs>
          <w:tab w:val="num" w:pos="0"/>
        </w:tabs>
        <w:ind w:left="6696" w:hanging="180"/>
      </w:pPr>
      <w:rPr/>
    </w:lvl>
    <w:nsid w:val="ff4e88a"/>
  </w:abstractNum>
  <w:abstractNum w:abstractNumId="4">
    <w:lvl w:ilvl="0">
      <w:start w:val="1"/>
      <w:numFmt w:val="decimal"/>
      <w:lvlText w:val="%1."/>
      <w:lvlJc w:val="left"/>
      <w:pPr>
        <w:tabs>
          <w:tab w:val="num" w:pos="0"/>
        </w:tabs>
        <w:ind w:left="648" w:hanging="360"/>
      </w:pPr>
      <w:rPr/>
    </w:lvl>
    <w:lvl w:ilvl="1">
      <w:start w:val="1"/>
      <w:numFmt w:val="lowerLetter"/>
      <w:lvlText w:val="%2."/>
      <w:lvlJc w:val="left"/>
      <w:pPr>
        <w:tabs>
          <w:tab w:val="num" w:pos="0"/>
        </w:tabs>
        <w:ind w:left="1368" w:hanging="360"/>
      </w:pPr>
      <w:rPr/>
    </w:lvl>
    <w:lvl w:ilvl="2">
      <w:start w:val="1"/>
      <w:numFmt w:val="lowerRoman"/>
      <w:lvlText w:val="%3."/>
      <w:lvlJc w:val="right"/>
      <w:pPr>
        <w:tabs>
          <w:tab w:val="num" w:pos="0"/>
        </w:tabs>
        <w:ind w:left="2088" w:hanging="180"/>
      </w:pPr>
      <w:rPr/>
    </w:lvl>
    <w:lvl w:ilvl="3">
      <w:start w:val="1"/>
      <w:numFmt w:val="decimal"/>
      <w:lvlText w:val="%4."/>
      <w:lvlJc w:val="left"/>
      <w:pPr>
        <w:tabs>
          <w:tab w:val="num" w:pos="0"/>
        </w:tabs>
        <w:ind w:left="2808" w:hanging="360"/>
      </w:pPr>
      <w:rPr/>
    </w:lvl>
    <w:lvl w:ilvl="4">
      <w:start w:val="1"/>
      <w:numFmt w:val="lowerLetter"/>
      <w:lvlText w:val="%5."/>
      <w:lvlJc w:val="left"/>
      <w:pPr>
        <w:tabs>
          <w:tab w:val="num" w:pos="0"/>
        </w:tabs>
        <w:ind w:left="3528" w:hanging="360"/>
      </w:pPr>
      <w:rPr/>
    </w:lvl>
    <w:lvl w:ilvl="5">
      <w:start w:val="1"/>
      <w:numFmt w:val="lowerRoman"/>
      <w:lvlText w:val="%6."/>
      <w:lvlJc w:val="right"/>
      <w:pPr>
        <w:tabs>
          <w:tab w:val="num" w:pos="0"/>
        </w:tabs>
        <w:ind w:left="4248" w:hanging="180"/>
      </w:pPr>
      <w:rPr/>
    </w:lvl>
    <w:lvl w:ilvl="6">
      <w:start w:val="1"/>
      <w:numFmt w:val="decimal"/>
      <w:lvlText w:val="%7."/>
      <w:lvlJc w:val="left"/>
      <w:pPr>
        <w:tabs>
          <w:tab w:val="num" w:pos="0"/>
        </w:tabs>
        <w:ind w:left="4968" w:hanging="360"/>
      </w:pPr>
      <w:rPr/>
    </w:lvl>
    <w:lvl w:ilvl="7">
      <w:start w:val="1"/>
      <w:numFmt w:val="lowerLetter"/>
      <w:lvlText w:val="%8."/>
      <w:lvlJc w:val="left"/>
      <w:pPr>
        <w:tabs>
          <w:tab w:val="num" w:pos="0"/>
        </w:tabs>
        <w:ind w:left="5688" w:hanging="360"/>
      </w:pPr>
      <w:rPr/>
    </w:lvl>
    <w:lvl w:ilvl="8">
      <w:start w:val="1"/>
      <w:numFmt w:val="lowerRoman"/>
      <w:lvlText w:val="%9."/>
      <w:lvlJc w:val="right"/>
      <w:pPr>
        <w:tabs>
          <w:tab w:val="num" w:pos="0"/>
        </w:tabs>
        <w:ind w:left="6408" w:hanging="180"/>
      </w:pPr>
      <w:rPr/>
    </w:lvl>
    <w:nsid w:val="7e19cd0f"/>
  </w:abstractNum>
  <w:abstractNum w:abstractNumId="5">
    <w:lvl w:ilvl="0">
      <w:start w:val="1"/>
      <w:numFmt w:val="decimal"/>
      <w:lvlText w:val="%1."/>
      <w:lvlJc w:val="left"/>
      <w:pPr>
        <w:tabs>
          <w:tab w:val="num" w:pos="0"/>
        </w:tabs>
        <w:ind w:left="648" w:hanging="360"/>
      </w:pPr>
      <w:rPr/>
    </w:lvl>
    <w:lvl w:ilvl="1">
      <w:start w:val="1"/>
      <w:numFmt w:val="lowerLetter"/>
      <w:lvlText w:val="%2."/>
      <w:lvlJc w:val="left"/>
      <w:pPr>
        <w:tabs>
          <w:tab w:val="num" w:pos="0"/>
        </w:tabs>
        <w:ind w:left="1368" w:hanging="360"/>
      </w:pPr>
      <w:rPr/>
    </w:lvl>
    <w:lvl w:ilvl="2">
      <w:start w:val="1"/>
      <w:numFmt w:val="lowerRoman"/>
      <w:lvlText w:val="%3."/>
      <w:lvlJc w:val="right"/>
      <w:pPr>
        <w:tabs>
          <w:tab w:val="num" w:pos="0"/>
        </w:tabs>
        <w:ind w:left="2088" w:hanging="180"/>
      </w:pPr>
      <w:rPr/>
    </w:lvl>
    <w:lvl w:ilvl="3">
      <w:start w:val="1"/>
      <w:numFmt w:val="decimal"/>
      <w:lvlText w:val="%4."/>
      <w:lvlJc w:val="left"/>
      <w:pPr>
        <w:tabs>
          <w:tab w:val="num" w:pos="0"/>
        </w:tabs>
        <w:ind w:left="2808" w:hanging="360"/>
      </w:pPr>
      <w:rPr/>
    </w:lvl>
    <w:lvl w:ilvl="4">
      <w:start w:val="1"/>
      <w:numFmt w:val="lowerLetter"/>
      <w:lvlText w:val="%5."/>
      <w:lvlJc w:val="left"/>
      <w:pPr>
        <w:tabs>
          <w:tab w:val="num" w:pos="0"/>
        </w:tabs>
        <w:ind w:left="3528" w:hanging="360"/>
      </w:pPr>
      <w:rPr/>
    </w:lvl>
    <w:lvl w:ilvl="5">
      <w:start w:val="1"/>
      <w:numFmt w:val="lowerRoman"/>
      <w:lvlText w:val="%6."/>
      <w:lvlJc w:val="right"/>
      <w:pPr>
        <w:tabs>
          <w:tab w:val="num" w:pos="0"/>
        </w:tabs>
        <w:ind w:left="4248" w:hanging="180"/>
      </w:pPr>
      <w:rPr/>
    </w:lvl>
    <w:lvl w:ilvl="6">
      <w:start w:val="1"/>
      <w:numFmt w:val="decimal"/>
      <w:lvlText w:val="%7."/>
      <w:lvlJc w:val="left"/>
      <w:pPr>
        <w:tabs>
          <w:tab w:val="num" w:pos="0"/>
        </w:tabs>
        <w:ind w:left="4968" w:hanging="360"/>
      </w:pPr>
      <w:rPr/>
    </w:lvl>
    <w:lvl w:ilvl="7">
      <w:start w:val="1"/>
      <w:numFmt w:val="lowerLetter"/>
      <w:lvlText w:val="%8."/>
      <w:lvlJc w:val="left"/>
      <w:pPr>
        <w:tabs>
          <w:tab w:val="num" w:pos="0"/>
        </w:tabs>
        <w:ind w:left="5688" w:hanging="360"/>
      </w:pPr>
      <w:rPr/>
    </w:lvl>
    <w:lvl w:ilvl="8">
      <w:start w:val="1"/>
      <w:numFmt w:val="lowerRoman"/>
      <w:lvlText w:val="%9."/>
      <w:lvlJc w:val="right"/>
      <w:pPr>
        <w:tabs>
          <w:tab w:val="num" w:pos="0"/>
        </w:tabs>
        <w:ind w:left="6408" w:hanging="180"/>
      </w:pPr>
      <w:rPr/>
    </w:lvl>
    <w:nsid w:val="41ed7b2a"/>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4ca24718"/>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6"/>
  <w:trackRevisions w:val="false"/>
  <w:defaultTabStop w:val="720"/>
  <w:autoHyphenation w:val="true"/>
  <w:compat>
    <w:doNotBreakWrappedTables/>
    <w:compatSetting w:name="compatibilityMode" w:uri="http://schemas.microsoft.com/office/word" w:val="12"/>
  </w:compat>
  <w:themeFontLang w:val="" w:eastAsia="" w:bidi=""/>
  <w14:docId w14:val="2D14AC7C"/>
  <w15:docId w15:val="{0001B93E-370F-4D98-8DC6-EACF5E413C83}"/>
  <w:rsids>
    <w:rsidRoot w:val="60CFD018"/>
    <w:rsid w:val="60CFD018"/>
    <w:rsid w:val="75085503"/>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9c54089"/>
    <w:pPr>
      <w:widowControl/>
      <w:suppressAutoHyphens w:val="true"/>
      <w:bidi w:val="0"/>
      <w:spacing w:before="0" w:after="0" w:line="259" w:lineRule="auto"/>
      <w:ind w:firstLine="288"/>
      <w:jc w:val="both"/>
    </w:pPr>
    <w:rPr>
      <w:rFonts w:ascii="Times New Roman" w:hAnsi="Times New Roman" w:eastAsia="Aptos" w:cs="" w:eastAsiaTheme="minorHAnsi" w:cstheme="minorBid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69c54089"/>
    <w:pPr>
      <w:spacing w:before="120" w:after="0"/>
      <w:outlineLvl w:val="0"/>
    </w:pPr>
    <w:rPr>
      <w:rFonts w:cs="Times New Roman"/>
      <w:b/>
      <w:bCs/>
    </w:rPr>
  </w:style>
  <w:style w:type="paragraph" w:styleId="Heading2">
    <w:name w:val="heading 2"/>
    <w:basedOn w:val="Normal"/>
    <w:next w:val="Normal"/>
    <w:link w:val="Heading2Char"/>
    <w:uiPriority w:val="9"/>
    <w:semiHidden/>
    <w:unhideWhenUsed/>
    <w:qFormat/>
    <w:rsid w:val="69c54089"/>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69c54089"/>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9c54089"/>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9c54089"/>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9c54089"/>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9c54089"/>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9c54089"/>
    <w:pPr>
      <w:keepNext w:val="true"/>
      <w:keepLines/>
      <w:outlineLvl w:val="7"/>
    </w:pPr>
    <w:rPr>
      <w:rFonts w:eastAsia="" w:cs="" w:eastAsiaTheme="majorEastAsia" w:cstheme="majorBidi"/>
      <w:i/>
      <w:iCs/>
      <w:color w:val="272727"/>
    </w:rPr>
  </w:style>
  <w:style w:type="paragraph" w:styleId="Heading9">
    <w:name w:val="heading 9"/>
    <w:basedOn w:val="Normal"/>
    <w:next w:val="Normal"/>
    <w:link w:val="Heading9Char"/>
    <w:uiPriority w:val="9"/>
    <w:semiHidden/>
    <w:unhideWhenUsed/>
    <w:qFormat/>
    <w:rsid w:val="69c54089"/>
    <w:pPr>
      <w:keepNext w:val="true"/>
      <w:keepLines/>
      <w:outlineLvl w:val="8"/>
    </w:pPr>
    <w:rPr>
      <w:rFonts w:eastAsia="" w:cs="" w:eastAsiaTheme="majorEastAsia" w:cstheme="majorBidi"/>
      <w:color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69c54089"/>
    <w:rPr>
      <w:rFonts w:ascii="Aptos" w:hAnsi="Aptos" w:eastAsia="" w:cs="" w:asciiTheme="minorHAnsi" w:hAnsiTheme="minorHAnsi" w:eastAsiaTheme="minorEastAsia" w:cstheme="minorBidi"/>
      <w:b/>
      <w:bCs/>
      <w:sz w:val="24"/>
      <w:szCs w:val="24"/>
      <w:u w:val="single"/>
      <w:lang w:val="en-CA"/>
    </w:rPr>
  </w:style>
  <w:style w:type="character" w:styleId="Heading2Char" w:customStyle="1">
    <w:name w:val="Heading 2 Char"/>
    <w:basedOn w:val="DefaultParagraphFont"/>
    <w:link w:val="Heading2"/>
    <w:uiPriority w:val="9"/>
    <w:semiHidden/>
    <w:qFormat/>
    <w:rsid w:val="00556940"/>
    <w:rPr>
      <w:rFonts w:ascii="Aptos Display" w:hAnsi="Aptos Display" w:eastAsia="" w:cs="" w:asciiTheme="majorHAnsi" w:hAnsiTheme="majorHAnsi" w:eastAsiaTheme="majorEastAsia" w:cstheme="majorBidi"/>
      <w:color w:val="0F4761" w:themeColor="accent1" w:themeShade="bf"/>
      <w:sz w:val="32"/>
      <w:szCs w:val="32"/>
      <w:lang w:val="en-CA"/>
    </w:rPr>
  </w:style>
  <w:style w:type="character" w:styleId="Heading3Char" w:customStyle="1">
    <w:name w:val="Heading 3 Char"/>
    <w:basedOn w:val="DefaultParagraphFont"/>
    <w:link w:val="Heading3"/>
    <w:uiPriority w:val="9"/>
    <w:semiHidden/>
    <w:qFormat/>
    <w:rsid w:val="00556940"/>
    <w:rPr>
      <w:rFonts w:eastAsia="" w:cs="" w:eastAsiaTheme="majorEastAsia" w:cstheme="majorBidi"/>
      <w:color w:val="0F4761" w:themeColor="accent1" w:themeShade="bf"/>
      <w:sz w:val="28"/>
      <w:szCs w:val="28"/>
      <w:lang w:val="en-CA"/>
    </w:rPr>
  </w:style>
  <w:style w:type="character" w:styleId="Heading4Char" w:customStyle="1">
    <w:name w:val="Heading 4 Char"/>
    <w:basedOn w:val="DefaultParagraphFont"/>
    <w:link w:val="Heading4"/>
    <w:uiPriority w:val="9"/>
    <w:semiHidden/>
    <w:qFormat/>
    <w:rsid w:val="00556940"/>
    <w:rPr>
      <w:rFonts w:eastAsia="" w:cs="" w:eastAsiaTheme="majorEastAsia" w:cstheme="majorBidi"/>
      <w:i/>
      <w:iCs/>
      <w:color w:val="0F4761" w:themeColor="accent1" w:themeShade="bf"/>
      <w:lang w:val="en-CA"/>
    </w:rPr>
  </w:style>
  <w:style w:type="character" w:styleId="Heading5Char" w:customStyle="1">
    <w:name w:val="Heading 5 Char"/>
    <w:basedOn w:val="DefaultParagraphFont"/>
    <w:link w:val="Heading5"/>
    <w:uiPriority w:val="9"/>
    <w:semiHidden/>
    <w:qFormat/>
    <w:rsid w:val="00556940"/>
    <w:rPr>
      <w:rFonts w:eastAsia="" w:cs="" w:eastAsiaTheme="majorEastAsia" w:cstheme="majorBidi"/>
      <w:color w:val="0F4761" w:themeColor="accent1" w:themeShade="bf"/>
      <w:lang w:val="en-CA"/>
    </w:rPr>
  </w:style>
  <w:style w:type="character" w:styleId="Heading6Char" w:customStyle="1">
    <w:name w:val="Heading 6 Char"/>
    <w:basedOn w:val="DefaultParagraphFont"/>
    <w:link w:val="Heading6"/>
    <w:uiPriority w:val="9"/>
    <w:semiHidden/>
    <w:qFormat/>
    <w:rsid w:val="00556940"/>
    <w:rPr>
      <w:rFonts w:eastAsia="" w:cs="" w:eastAsiaTheme="majorEastAsia" w:cstheme="majorBidi"/>
      <w:i/>
      <w:iCs/>
      <w:color w:val="595959" w:themeColor="text1" w:themeTint="a6"/>
      <w:lang w:val="en-CA"/>
    </w:rPr>
  </w:style>
  <w:style w:type="character" w:styleId="Heading7Char" w:customStyle="1">
    <w:name w:val="Heading 7 Char"/>
    <w:basedOn w:val="DefaultParagraphFont"/>
    <w:link w:val="Heading7"/>
    <w:uiPriority w:val="9"/>
    <w:semiHidden/>
    <w:qFormat/>
    <w:rsid w:val="00556940"/>
    <w:rPr>
      <w:rFonts w:eastAsia="" w:cs="" w:eastAsiaTheme="majorEastAsia" w:cstheme="majorBidi"/>
      <w:color w:val="595959" w:themeColor="text1" w:themeTint="a6"/>
      <w:lang w:val="en-CA"/>
    </w:rPr>
  </w:style>
  <w:style w:type="character" w:styleId="Heading8Char" w:customStyle="1">
    <w:name w:val="Heading 8 Char"/>
    <w:basedOn w:val="DefaultParagraphFont"/>
    <w:link w:val="Heading8"/>
    <w:uiPriority w:val="9"/>
    <w:semiHidden/>
    <w:qFormat/>
    <w:rsid w:val="00556940"/>
    <w:rPr>
      <w:rFonts w:eastAsia="" w:cs="" w:eastAsiaTheme="majorEastAsia" w:cstheme="majorBidi"/>
      <w:i/>
      <w:iCs/>
      <w:color w:val="272727" w:themeColor="text1" w:themeTint="d8"/>
      <w:lang w:val="en-CA"/>
    </w:rPr>
  </w:style>
  <w:style w:type="character" w:styleId="Heading9Char" w:customStyle="1">
    <w:name w:val="Heading 9 Char"/>
    <w:basedOn w:val="DefaultParagraphFont"/>
    <w:link w:val="Heading9"/>
    <w:uiPriority w:val="9"/>
    <w:semiHidden/>
    <w:qFormat/>
    <w:rsid w:val="00556940"/>
    <w:rPr>
      <w:rFonts w:eastAsia="" w:cs="" w:eastAsiaTheme="majorEastAsia" w:cstheme="majorBidi"/>
      <w:color w:val="272727" w:themeColor="text1" w:themeTint="d8"/>
      <w:lang w:val="en-CA"/>
    </w:rPr>
  </w:style>
  <w:style w:type="character" w:styleId="TitleChar" w:customStyle="1">
    <w:name w:val="Title Char"/>
    <w:basedOn w:val="DefaultParagraphFont"/>
    <w:link w:val="Title"/>
    <w:uiPriority w:val="10"/>
    <w:qFormat/>
    <w:rsid w:val="00150725"/>
    <w:rPr>
      <w:rFonts w:ascii="Times New Roman" w:hAnsi="Times New Roman" w:eastAsia="" w:cs="Times New Roman" w:eastAsiaTheme="majorEastAsia"/>
      <w:b/>
      <w:bCs/>
      <w:spacing w:val="-10"/>
      <w:kern w:val="2"/>
      <w:sz w:val="28"/>
      <w:szCs w:val="28"/>
    </w:rPr>
  </w:style>
  <w:style w:type="character" w:styleId="SubtitleChar" w:customStyle="1">
    <w:name w:val="Subtitle Char"/>
    <w:basedOn w:val="DefaultParagraphFont"/>
    <w:link w:val="Subtitle"/>
    <w:uiPriority w:val="11"/>
    <w:qFormat/>
    <w:rsid w:val="00556940"/>
    <w:rPr>
      <w:rFonts w:eastAsia="" w:cs="" w:eastAsiaTheme="majorEastAsia" w:cstheme="majorBidi"/>
      <w:color w:val="595959" w:themeColor="text1" w:themeTint="a6"/>
      <w:spacing w:val="15"/>
      <w:sz w:val="28"/>
      <w:szCs w:val="28"/>
      <w:lang w:val="en-CA"/>
    </w:rPr>
  </w:style>
  <w:style w:type="character" w:styleId="QuoteChar" w:customStyle="1">
    <w:name w:val="Quote Char"/>
    <w:basedOn w:val="DefaultParagraphFont"/>
    <w:link w:val="Quote"/>
    <w:uiPriority w:val="29"/>
    <w:qFormat/>
    <w:rsid w:val="00556940"/>
    <w:rPr>
      <w:i/>
      <w:iCs/>
      <w:color w:val="404040" w:themeColor="text1" w:themeTint="bf"/>
      <w:lang w:val="en-CA"/>
    </w:rPr>
  </w:style>
  <w:style w:type="character" w:styleId="IntenseEmphasis">
    <w:name w:val="Intense Emphasis"/>
    <w:basedOn w:val="DefaultParagraphFont"/>
    <w:uiPriority w:val="21"/>
    <w:qFormat/>
    <w:rsid w:val="00556940"/>
    <w:rPr>
      <w:i/>
      <w:iCs/>
      <w:color w:val="0F4761" w:themeColor="accent1" w:themeShade="bf"/>
    </w:rPr>
  </w:style>
  <w:style w:type="character" w:styleId="IntenseQuoteChar" w:customStyle="1">
    <w:name w:val="Intense Quote Char"/>
    <w:basedOn w:val="DefaultParagraphFont"/>
    <w:link w:val="IntenseQuote"/>
    <w:uiPriority w:val="30"/>
    <w:qFormat/>
    <w:rsid w:val="00556940"/>
    <w:rPr>
      <w:i/>
      <w:iCs/>
      <w:color w:val="0F4761" w:themeColor="accent1" w:themeShade="bf"/>
      <w:lang w:val="en-CA"/>
    </w:rPr>
  </w:style>
  <w:style w:type="character" w:styleId="IntenseReference">
    <w:name w:val="Intense Reference"/>
    <w:basedOn w:val="DefaultParagraphFont"/>
    <w:uiPriority w:val="32"/>
    <w:qFormat/>
    <w:rsid w:val="00556940"/>
    <w:rPr>
      <w:b/>
      <w:bCs/>
      <w:smallCaps/>
      <w:color w:val="0F4761" w:themeColor="accent1" w:themeShade="bf"/>
      <w:spacing w:val="5"/>
    </w:rPr>
  </w:style>
  <w:style w:type="character" w:styleId="CommentReference">
    <w:name w:val="Comment Reference"/>
    <w:basedOn w:val="DefaultParagraphFont"/>
    <w:uiPriority w:val="99"/>
    <w:semiHidden/>
    <w:unhideWhenUsed/>
    <w:qFormat/>
    <w:rsid w:val="003d48bc"/>
    <w:rPr>
      <w:sz w:val="16"/>
      <w:szCs w:val="16"/>
    </w:rPr>
  </w:style>
  <w:style w:type="character" w:styleId="CommentTextChar" w:customStyle="1">
    <w:name w:val="Comment Text Char"/>
    <w:basedOn w:val="DefaultParagraphFont"/>
    <w:link w:val="CommentText"/>
    <w:uiPriority w:val="99"/>
    <w:qFormat/>
    <w:rsid w:val="003d48bc"/>
    <w:rPr>
      <w:rFonts w:ascii="Times New Roman" w:hAnsi="Times New Roman"/>
      <w:sz w:val="20"/>
      <w:szCs w:val="20"/>
      <w:lang w:val="en-CA"/>
    </w:rPr>
  </w:style>
  <w:style w:type="character" w:styleId="CommentSubjectChar" w:customStyle="1">
    <w:name w:val="Comment Subject Char"/>
    <w:basedOn w:val="CommentTextChar"/>
    <w:link w:val="CommentSubject"/>
    <w:uiPriority w:val="99"/>
    <w:semiHidden/>
    <w:qFormat/>
    <w:rsid w:val="003d48bc"/>
    <w:rPr>
      <w:rFonts w:ascii="Times New Roman" w:hAnsi="Times New Roman"/>
      <w:b/>
      <w:bCs/>
      <w:sz w:val="20"/>
      <w:szCs w:val="20"/>
      <w:lang w:val="en-CA"/>
    </w:rPr>
  </w:style>
  <w:style w:type="character" w:styleId="Strong">
    <w:name w:val="Strong"/>
    <w:basedOn w:val="DefaultParagraphFont"/>
    <w:uiPriority w:val="22"/>
    <w:qFormat/>
    <w:rsid w:val="00650dc7"/>
    <w:rPr>
      <w:b/>
      <w:bCs/>
    </w:rPr>
  </w:style>
  <w:style w:type="character" w:styleId="HeaderChar" w:customStyle="1">
    <w:name w:val="Header Char"/>
    <w:basedOn w:val="DefaultParagraphFont"/>
    <w:link w:val="Header"/>
    <w:uiPriority w:val="99"/>
    <w:qFormat/>
    <w:rsid w:val="00a90995"/>
    <w:rPr>
      <w:rFonts w:ascii="Times New Roman" w:hAnsi="Times New Roman"/>
      <w:lang w:val="en-CA"/>
    </w:rPr>
  </w:style>
  <w:style w:type="character" w:styleId="FooterChar" w:customStyle="1">
    <w:name w:val="Footer Char"/>
    <w:basedOn w:val="DefaultParagraphFont"/>
    <w:link w:val="Footer"/>
    <w:uiPriority w:val="99"/>
    <w:qFormat/>
    <w:rsid w:val="00a90995"/>
    <w:rPr>
      <w:rFonts w:ascii="Times New Roman" w:hAnsi="Times New Roman"/>
      <w:lang w:val="en-CA"/>
    </w:rPr>
  </w:style>
  <w:style w:type="character" w:styleId="Hyperlink">
    <w:name w:val="Hyperlink"/>
    <w:basedOn w:val="DefaultParagraphFont"/>
    <w:uiPriority w:val="99"/>
    <w:unhideWhenUsed/>
    <w:rsid w:val="00a83201"/>
    <w:rPr>
      <w:color w:val="467886" w:themeColor="hyperlink"/>
      <w:u w:val="single"/>
    </w:rPr>
  </w:style>
  <w:style w:type="character" w:styleId="UnresolvedMention">
    <w:name w:val="Unresolved Mention"/>
    <w:basedOn w:val="DefaultParagraphFont"/>
    <w:uiPriority w:val="99"/>
    <w:semiHidden/>
    <w:unhideWhenUsed/>
    <w:qFormat/>
    <w:rsid w:val="00a83201"/>
    <w:rPr>
      <w:color w:val="605E5C"/>
      <w:shd w:val="clear" w:fill="E1DFDD"/>
    </w:rPr>
  </w:style>
  <w:style w:type="character" w:styleId="fontstyle01" w:customStyle="1">
    <w:name w:val="fontstyle01"/>
    <w:basedOn w:val="DefaultParagraphFont"/>
    <w:qFormat/>
    <w:rsid w:val="00967ad8"/>
    <w:rPr>
      <w:rFonts w:ascii="LMRoman10-Regular" w:hAnsi="LMRoman10-Regular"/>
      <w:b w:val="false"/>
      <w:bCs w:val="false"/>
      <w:i w:val="false"/>
      <w:iCs w:val="false"/>
      <w:color w:val="000000"/>
      <w:sz w:val="20"/>
      <w:szCs w:val="20"/>
    </w:rPr>
  </w:style>
  <w:style w:type="character" w:styleId="EndNoteBibliographyChar" w:customStyle="1">
    <w:name w:val="EndNote Bibliography Char"/>
    <w:basedOn w:val="DefaultParagraphFont"/>
    <w:link w:val="EndNoteBibliography"/>
    <w:qFormat/>
    <w:rsid w:val="00f94c62"/>
    <w:rPr>
      <w:rFonts w:ascii="Aptos" w:hAnsi="Aptos"/>
      <w:sz w:val="24"/>
      <w:szCs w:val="24"/>
    </w:rPr>
  </w:style>
  <w:style w:type="character" w:styleId="PageNumber">
    <w:name w:val="page number"/>
    <w:basedOn w:val="DefaultParagraphFont"/>
    <w:uiPriority w:val="99"/>
    <w:semiHidden/>
    <w:unhideWhenUsed/>
    <w:rsid w:val="00b30cf2"/>
    <w:rPr/>
  </w:style>
  <w:style w:type="character" w:styleId="Mention">
    <w:name w:val="Mention"/>
    <w:basedOn w:val="DefaultParagraphFont"/>
    <w:uiPriority w:val="99"/>
    <w:unhideWhenUsed/>
    <w:qFormat/>
    <w:rsid w:val="000565e2"/>
    <w:rPr>
      <w:color w:val="2B579A"/>
      <w:shd w:val="clear" w:fill="E1DFDD"/>
    </w:rPr>
  </w:style>
  <w:style w:type="character" w:styleId="FollowedHyperlink">
    <w:name w:val="FollowedHyperlink"/>
    <w:basedOn w:val="DefaultParagraphFont"/>
    <w:uiPriority w:val="99"/>
    <w:semiHidden/>
    <w:unhideWhenUsed/>
    <w:rsid w:val="00ef0407"/>
    <w:rPr>
      <w:color w:val="96607D" w:themeColor="followedHyperlink"/>
      <w:u w:val="single"/>
    </w:rPr>
  </w:style>
  <w:style w:type="character" w:styleId="PlaceholderText">
    <w:name w:val="Placeholder Text"/>
    <w:basedOn w:val="DefaultParagraphFont"/>
    <w:uiPriority w:val="99"/>
    <w:semiHidden/>
    <w:qFormat/>
    <w:rsid w:val="4e14bc1c"/>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9c54089"/>
    <w:pPr>
      <w:spacing w:before="0" w:after="80"/>
      <w:contextualSpacing/>
    </w:pPr>
    <w:rPr>
      <w:rFonts w:eastAsia="" w:cs="Times New Roman" w:eastAsiaTheme="majorEastAsia"/>
      <w:b/>
      <w:bCs/>
      <w:sz w:val="24"/>
      <w:szCs w:val="24"/>
      <w:lang w:val="en-US"/>
    </w:rPr>
  </w:style>
  <w:style w:type="paragraph" w:styleId="Subtitle">
    <w:name w:val="Subtitle"/>
    <w:basedOn w:val="Normal"/>
    <w:next w:val="Normal"/>
    <w:link w:val="SubtitleChar"/>
    <w:uiPriority w:val="11"/>
    <w:qFormat/>
    <w:rsid w:val="69c54089"/>
    <w:pPr/>
    <w:rPr>
      <w:rFonts w:eastAsia="" w:cs="" w:eastAsiaTheme="majorEastAsia" w:cstheme="majorBidi"/>
      <w:color w:val="595959" w:themeColor="text1" w:themeTint="a6"/>
      <w:sz w:val="28"/>
      <w:szCs w:val="28"/>
    </w:rPr>
  </w:style>
  <w:style w:type="paragraph" w:styleId="Quote">
    <w:name w:val="Quote"/>
    <w:basedOn w:val="Normal"/>
    <w:next w:val="Normal"/>
    <w:link w:val="QuoteChar"/>
    <w:uiPriority w:val="29"/>
    <w:qFormat/>
    <w:rsid w:val="69c54089"/>
    <w:pPr>
      <w:spacing w:before="160" w:after="0"/>
      <w:jc w:val="center"/>
    </w:pPr>
    <w:rPr>
      <w:i/>
      <w:iCs/>
      <w:color w:val="404040" w:themeColor="text1" w:themeTint="bf"/>
    </w:rPr>
  </w:style>
  <w:style w:type="paragraph" w:styleId="ListParagraph">
    <w:name w:val="List Paragraph"/>
    <w:basedOn w:val="Normal"/>
    <w:uiPriority w:val="34"/>
    <w:qFormat/>
    <w:rsid w:val="69c54089"/>
    <w:pPr>
      <w:spacing w:before="0" w:after="0"/>
      <w:ind w:left="720"/>
      <w:contextualSpacing/>
    </w:pPr>
    <w:rPr/>
  </w:style>
  <w:style w:type="paragraph" w:styleId="IntenseQuote">
    <w:name w:val="Intense Quote"/>
    <w:basedOn w:val="Normal"/>
    <w:next w:val="Normal"/>
    <w:link w:val="IntenseQuoteChar"/>
    <w:uiPriority w:val="30"/>
    <w:qFormat/>
    <w:rsid w:val="69c5408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CommentText">
    <w:name w:val="Comment Text"/>
    <w:basedOn w:val="Normal"/>
    <w:link w:val="CommentTextChar"/>
    <w:uiPriority w:val="99"/>
    <w:unhideWhenUsed/>
    <w:qFormat/>
    <w:rsid w:val="69c54089"/>
    <w:pPr/>
    <w:rPr>
      <w:sz w:val="20"/>
      <w:szCs w:val="20"/>
    </w:rPr>
  </w:style>
  <w:style w:type="paragraph" w:styleId="CommentSubject">
    <w:name w:val="Comment Subject"/>
    <w:basedOn w:val="CommentText"/>
    <w:next w:val="CommentText"/>
    <w:link w:val="CommentSubjectChar"/>
    <w:uiPriority w:val="99"/>
    <w:semiHidden/>
    <w:unhideWhenUsed/>
    <w:qFormat/>
    <w:rsid w:val="003d48bc"/>
    <w:pPr/>
    <w:rPr>
      <w:b/>
      <w:bCs/>
    </w:rPr>
  </w:style>
  <w:style w:type="paragraph" w:styleId="Bibliography">
    <w:name w:val="Bibliography"/>
    <w:basedOn w:val="Normal"/>
    <w:next w:val="Normal"/>
    <w:uiPriority w:val="37"/>
    <w:unhideWhenUsed/>
    <w:qFormat/>
    <w:rsid w:val="69c54089"/>
    <w:pPr>
      <w:tabs>
        <w:tab w:val="clear" w:pos="720"/>
        <w:tab w:val="left" w:leader="none" w:pos="384"/>
      </w:tabs>
      <w:spacing w:before="0" w:after="240"/>
      <w:ind w:left="384" w:hanging="384"/>
    </w:pPr>
    <w:rPr/>
  </w:style>
  <w:style w:type="paragraph" w:styleId="NormalWeb">
    <w:name w:val="Normal (Web)"/>
    <w:basedOn w:val="Normal"/>
    <w:uiPriority w:val="99"/>
    <w:semiHidden/>
    <w:unhideWhenUsed/>
    <w:qFormat/>
    <w:rsid w:val="69c54089"/>
    <w:pPr>
      <w:spacing w:beforeAutospacing="1" w:afterAutospacing="1"/>
    </w:pPr>
    <w:rPr>
      <w:rFonts w:eastAsia="Times New Roman" w:cs="Times New Roman"/>
      <w:lang w:val="en-US"/>
    </w:rPr>
  </w:style>
  <w:style w:type="paragraph" w:styleId="HeaderandFooter">
    <w:name w:val="Header and Footer"/>
    <w:basedOn w:val="Normal"/>
    <w:qFormat/>
    <w:pPr/>
    <w:rPr/>
  </w:style>
  <w:style w:type="paragraph" w:styleId="Header">
    <w:name w:val="header"/>
    <w:basedOn w:val="Normal"/>
    <w:link w:val="HeaderChar"/>
    <w:uiPriority w:val="99"/>
    <w:unhideWhenUsed/>
    <w:rsid w:val="69c54089"/>
    <w:pPr>
      <w:tabs>
        <w:tab w:val="clear" w:pos="720"/>
        <w:tab w:val="center" w:leader="none" w:pos="4680"/>
        <w:tab w:val="right" w:leader="none" w:pos="9360"/>
      </w:tabs>
    </w:pPr>
    <w:rPr/>
  </w:style>
  <w:style w:type="paragraph" w:styleId="Footer">
    <w:name w:val="footer"/>
    <w:basedOn w:val="Normal"/>
    <w:link w:val="FooterChar"/>
    <w:uiPriority w:val="99"/>
    <w:unhideWhenUsed/>
    <w:rsid w:val="69c54089"/>
    <w:pPr>
      <w:tabs>
        <w:tab w:val="clear" w:pos="720"/>
        <w:tab w:val="center" w:leader="none" w:pos="4680"/>
        <w:tab w:val="right" w:leader="none" w:pos="9360"/>
      </w:tabs>
    </w:pPr>
    <w:rPr/>
  </w:style>
  <w:style w:type="paragraph" w:styleId="EndNoteBibliography" w:customStyle="1">
    <w:name w:val="EndNote Bibliography"/>
    <w:basedOn w:val="Normal"/>
    <w:link w:val="EndNoteBibliographyChar"/>
    <w:uiPriority w:val="1"/>
    <w:qFormat/>
    <w:rsid w:val="69c54089"/>
    <w:pPr/>
    <w:rPr>
      <w:rFonts w:ascii="Aptos" w:hAnsi="Aptos"/>
      <w:lang w:val="en-US"/>
    </w:rPr>
  </w:style>
  <w:style w:type="paragraph" w:styleId="Revision">
    <w:name w:val="Revision"/>
    <w:uiPriority w:val="99"/>
    <w:semiHidden/>
    <w:qFormat/>
    <w:rsid w:val="00971bdf"/>
    <w:pPr>
      <w:widowControl/>
      <w:suppressAutoHyphens w:val="true"/>
      <w:bidi w:val="0"/>
      <w:spacing w:before="0" w:after="0" w:line="240" w:lineRule="auto"/>
      <w:jc w:val="left"/>
    </w:pPr>
    <w:rPr>
      <w:rFonts w:ascii="Times New Roman" w:hAnsi="Times New Roman" w:eastAsia="Aptos" w:cs="" w:eastAsiaTheme="minorHAnsi" w:cstheme="minorBidi"/>
      <w:color w:val="auto"/>
      <w:kern w:val="2"/>
      <w:sz w:val="22"/>
      <w:szCs w:val="22"/>
      <w:lang w:val="en-CA" w:eastAsia="en-US" w:bidi="ar-SA"/>
      <w14:ligatures w14:val="standardContextual"/>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package" Target="embeddings/oleObject1.xlsx" Id="rId2" /><Relationship Type="http://schemas.openxmlformats.org/officeDocument/2006/relationships/image" Target="media/image1.emf" Id="rId3" /><Relationship Type="http://schemas.openxmlformats.org/officeDocument/2006/relationships/hyperlink" Target="https://www.sciencedirect.com/science/article/pii/S0960982223006681" TargetMode="External" Id="rId4" /><Relationship Type="http://schemas.openxmlformats.org/officeDocument/2006/relationships/hyperlink" Target="https://doi.org/10.1007/" TargetMode="External" Id="rId5" /><Relationship Type="http://schemas.openxmlformats.org/officeDocument/2006/relationships/hyperlink" Target="https://doi.org/10.1007/s11116-025-10693-8" TargetMode="External" Id="rId6"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header" Target="header3.xml" Id="rId9" /><Relationship Type="http://schemas.openxmlformats.org/officeDocument/2006/relationships/footer" Target="footer1.xml" Id="rId10" /><Relationship Type="http://schemas.openxmlformats.org/officeDocument/2006/relationships/footer" Target="footer2.xml" Id="rId11" /><Relationship Type="http://schemas.openxmlformats.org/officeDocument/2006/relationships/footer" Target="footer3.xml" Id="rId12" /><Relationship Type="http://schemas.openxmlformats.org/officeDocument/2006/relationships/numbering" Target="numbering.xml" Id="rId13" /><Relationship Type="http://schemas.openxmlformats.org/officeDocument/2006/relationships/fontTable" Target="fontTable.xml" Id="rId14" /><Relationship Type="http://schemas.openxmlformats.org/officeDocument/2006/relationships/settings" Target="settings.xml" Id="rId15" /><Relationship Type="http://schemas.openxmlformats.org/officeDocument/2006/relationships/theme" Target="theme/theme1.xml" Id="rId16" /><Relationship Type="http://schemas.openxmlformats.org/officeDocument/2006/relationships/customXml" Target="../customXml/item1.xml" Id="rId17" /><Relationship Type="http://schemas.openxmlformats.org/officeDocument/2006/relationships/customXml" Target="../customXml/item2.xml" Id="rId18" /><Relationship Type="http://schemas.openxmlformats.org/officeDocument/2006/relationships/customXml" Target="../customXml/item3.xml" Id="rId19" /><Relationship Type="http://schemas.openxmlformats.org/officeDocument/2006/relationships/customXml" Target="../customXml/item4.xml" Id="rId20"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DB82C9D5917A4B8E17909B08EDF6AC" ma:contentTypeVersion="15" ma:contentTypeDescription="Create a new document." ma:contentTypeScope="" ma:versionID="55ea8315a85b7ed6e82991acec068b98">
  <xsd:schema xmlns:xsd="http://www.w3.org/2001/XMLSchema" xmlns:xs="http://www.w3.org/2001/XMLSchema" xmlns:p="http://schemas.microsoft.com/office/2006/metadata/properties" xmlns:ns3="fdd151e8-b4da-455f-922f-12bca3913ae3" xmlns:ns4="cfddc1f0-b42c-4029-be28-153c6c011a60" targetNamespace="http://schemas.microsoft.com/office/2006/metadata/properties" ma:root="true" ma:fieldsID="82f8f7a86ce892c45933a8811081c36d" ns3:_="" ns4:_="">
    <xsd:import namespace="fdd151e8-b4da-455f-922f-12bca3913ae3"/>
    <xsd:import namespace="cfddc1f0-b42c-4029-be28-153c6c011a6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151e8-b4da-455f-922f-12bca3913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dc1f0-b42c-4029-be28-153c6c011a6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dd151e8-b4da-455f-922f-12bca3913ae3" xsi:nil="true"/>
  </documentManagement>
</p:properties>
</file>

<file path=customXml/itemProps1.xml><?xml version="1.0" encoding="utf-8"?>
<ds:datastoreItem xmlns:ds="http://schemas.openxmlformats.org/officeDocument/2006/customXml" ds:itemID="{48089498-47D3-41F9-AC57-39AB5627853A}">
  <ds:schemaRefs>
    <ds:schemaRef ds:uri="http://schemas.openxmlformats.org/officeDocument/2006/bibliography"/>
  </ds:schemaRefs>
</ds:datastoreItem>
</file>

<file path=customXml/itemProps2.xml><?xml version="1.0" encoding="utf-8"?>
<ds:datastoreItem xmlns:ds="http://schemas.openxmlformats.org/officeDocument/2006/customXml" ds:itemID="{0887C791-75CF-437C-8DDC-BF35E7B3C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151e8-b4da-455f-922f-12bca3913ae3"/>
    <ds:schemaRef ds:uri="cfddc1f0-b42c-4029-be28-153c6c011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20B71A-E8C9-4D12-B732-98A19F0ACE00}">
  <ds:schemaRefs>
    <ds:schemaRef ds:uri="http://schemas.microsoft.com/sharepoint/v3/contenttype/forms"/>
  </ds:schemaRefs>
</ds:datastoreItem>
</file>

<file path=customXml/itemProps4.xml><?xml version="1.0" encoding="utf-8"?>
<ds:datastoreItem xmlns:ds="http://schemas.openxmlformats.org/officeDocument/2006/customXml" ds:itemID="{AB659CA7-A68D-47F8-A539-9EECBD319038}">
  <ds:schemaRefs>
    <ds:schemaRef ds:uri="http://schemas.microsoft.com/office/2006/metadata/properties"/>
    <ds:schemaRef ds:uri="http://schemas.microsoft.com/office/infopath/2007/PartnerControls"/>
    <ds:schemaRef ds:uri="fdd151e8-b4da-455f-922f-12bca3913ae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DocSecurity>4</ap:DocSecurit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2026-06-27T08:17:00.0000000Z</dcterms:created>
  <dc:creator>Bruno Dos Santos</dc:creator>
  <dc:description/>
  <dc:language>en-US</dc:language>
  <lastModifiedBy>Hector Antonio Paez</lastModifiedBy>
  <dcterms:modified xsi:type="dcterms:W3CDTF">2026-09-30T12:39:06.3685687Z</dcterms:modified>
  <revision>1005</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0x010100BDDB82C9D5917A4B8E17909B08EDF6AC</vt:lpwstr>
  </property>
  <property fmtid="{D5CDD505-2E9C-101B-9397-08002B2CF9AE}" pid="3" name="GrammarlyDocumentId">
    <vt:lpwstr>f062d9c1-5d77-4795-9a33-eb859c8e55d0</vt:lpwstr>
  </property>
  <property fmtid="{D5CDD505-2E9C-101B-9397-08002B2CF9AE}" pid="4" name="ZOTERO_PREF_1">
    <vt:lpwstr>&lt;data data-version="3" zotero-version="9.0.6"&gt;&lt;session id="IdBEf4Ak"/&gt;&lt;style id="http://www.zotero.org/styles/nlm-citation-sequence" locale="en-US" hasBibliography="1" bibliographyStyleHasBeenSet="1"/&gt;&lt;prefs&gt;&lt;pref name="fieldType" value="Field"/&gt;&lt;pref nam</vt:lpwstr>
  </property>
  <property fmtid="{D5CDD505-2E9C-101B-9397-08002B2CF9AE}" pid="5" name="ZOTERO_PREF_2">
    <vt:lpwstr>e="dontAskDelayCitationUpdates" value="true"/&gt;&lt;/prefs&gt;&lt;/data&gt;</vt:lpwstr>
  </property>
</Properties>
</file>