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3</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5</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6</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7</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10</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10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12</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14</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19</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26</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28</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30</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38</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42</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45</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48</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73</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77</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78</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83</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86</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xml:space="preserve">§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xml:space="preserve">§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xml:space="preserve">§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xml:space="preserve">§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xml:space="preserve">§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xml:space="preserve">§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xml:space="preserve">§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xml:space="preserve">§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xml:space="preserve">§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xml:space="preserve">§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xml:space="preserve">§ 6</w:t>
            </w:r>
          </w:p>
        </w:tc>
      </w:tr>
    </w:tbl>
    <w:p>
      <w:pPr>
        <w:pStyle w:val="BodyText"/>
      </w:pPr>
      <w:r>
        <w:rPr>
          <w:bCs/>
          <w:b/>
        </w:rPr>
        <w:t xml:space="preserve">Compétences transversales</w:t>
      </w:r>
      <w:r>
        <w:t xml:space="preserve"> </w:t>
      </w:r>
      <w:r>
        <w:t xml:space="preserve">—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xml:space="preserve">,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 xml:space="preserve">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 xml:space="preserve">Terminé (§ 8)</w:t>
            </w:r>
          </w:p>
        </w:tc>
      </w:tr>
      <w:tr>
        <w:tc>
          <w:tcPr/>
          <w:p>
            <w:pPr>
              <w:pStyle w:val="Compact"/>
              <w:jc w:val="left"/>
            </w:pPr>
            <w:r>
              <w:t xml:space="preserve">Journal de veille</w:t>
            </w:r>
          </w:p>
        </w:tc>
        <w:tc>
          <w:tcPr/>
          <w:p>
            <w:pPr>
              <w:pStyle w:val="Compact"/>
              <w:jc w:val="left"/>
            </w:pPr>
            <w:r>
              <w:t xml:space="preserve">Terminé (§ 11)</w:t>
            </w:r>
          </w:p>
        </w:tc>
      </w:tr>
      <w:tr>
        <w:tc>
          <w:tcPr/>
          <w:p>
            <w:pPr>
              <w:pStyle w:val="Compact"/>
              <w:jc w:val="left"/>
            </w:pPr>
            <w:r>
              <w:t xml:space="preserve">Mise à niveau des dépendances issue de la veille</w:t>
            </w:r>
          </w:p>
        </w:tc>
        <w:tc>
          <w:tcPr/>
          <w:p>
            <w:pPr>
              <w:pStyle w:val="Compact"/>
              <w:jc w:val="left"/>
            </w:pPr>
            <w:r>
              <w:t>Terminée (§ 11.5) — DOMPurify 3.4.16, Ollama 0.35.1</w:t>
            </w:r>
          </w:p>
        </w:tc>
      </w:tr>
      <w:tr>
        <w:tc>
          <w:tcPr/>
          <w:p>
            <w:pPr>
              <w:pStyle w:val="Compact"/>
              <w:jc w:val="left"/>
            </w:pPr>
            <w:r>
              <w:t xml:space="preserve">Mention de transparence IA (AI Act)</w:t>
            </w:r>
          </w:p>
        </w:tc>
        <w:tc>
          <w:tcPr/>
          <w:p>
            <w:pPr>
              <w:pStyle w:val="Compact"/>
              <w:jc w:val="left"/>
            </w:pPr>
            <w:r>
              <w:t xml:space="preserve">À faire (§ 11.4)</w:t>
            </w:r>
          </w:p>
        </w:tc>
      </w:tr>
      <w:tr>
        <w:tc>
          <w:tcPr/>
          <w:p>
            <w:pPr>
              <w:pStyle w:val="Compact"/>
              <w:jc w:val="left"/>
            </w:pPr>
            <w:r>
              <w:t xml:space="preserve">Plan de tests et jeu d'essai</w:t>
            </w:r>
          </w:p>
        </w:tc>
        <w:tc>
          <w:tcPr/>
          <w:p>
            <w:pPr>
              <w:pStyle w:val="Compact"/>
              <w:jc w:val="left"/>
            </w:pPr>
            <w:r>
              <w:t xml:space="preserve">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9.8)</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9.7)</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xml:space="preserve">(§ 11.3)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xml:space="preserve">§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xml:space="preserve">§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xml:space="preserve">§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xml:space="preserve">§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xml:space="preserve">§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xml:space="preserve">§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 xml:space="preserve">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11.3),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xml:space="preserve">, au même titre qu'une route ou un modèle de données. Ils dérivent d'autant plus facilement qu'aucun test ne les couvre, et seule une relecture confrontée au cahier des charges les rattrape. C'est la raison d'être du cas de test TU-04 du § 9.3.1,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xml:space="preserve">.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 xml:space="preserve">Information de l'utilisateur sur la nature générée des propositions — partiellement couvert, complément identifié en § 11.4</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xml:space="preserve">(§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xml:space="preserve">(§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9.8)</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xml:space="preserve">). Cette règle, initialement implicite, est devenue une consigne explicite de déploiement après la publication de CVE-2026-7482 (§ 11.3).</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xml:space="preserve">—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 xml:space="preserve">pour lire la configuration — est apportée en § 7.2.4.</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11.3).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 xml:space="preserve">de la bibliothèque d'assainissement — argument qui a pris du poids quand la veille a révélé une vulnérabilité dans DOMPurify elle-même (§ 11.3).</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 xml:space="preserve">Le dossier de maquettage s'est construit en trois temps : recensement des écrans nécessaires à partir du périmètre fonctionnel du cahier des charges (§ 2.3),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xml:space="preserve">: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5.3.2),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 xml:space="preserve">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 xml:space="preserve">du routeur double ce masquage, et le backend revérifie le rôle en base à chaque appel (§ 5.2.5).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SourceCode"/>
      </w:pPr>
      <w:r>
        <w:rPr>
          <w:rStyle w:val="VerbatimChar"/>
        </w:rPr>
        <w:t xml:space="preserve">┌───────────────────────────────────────────────────────────────┐</w:t>
      </w:r>
      <w:r>
        <w:br/>
      </w:r>
      <w:r>
        <w:rPr>
          <w:rStyle w:val="VerbatimChar"/>
        </w:rPr>
        <w:t xml:space="preserve">│  Nav                                        [utilisateur ▾]   │</w:t>
      </w:r>
      <w:r>
        <w:br/>
      </w:r>
      <w:r>
        <w:rPr>
          <w:rStyle w:val="VerbatimChar"/>
        </w:rPr>
        <w:t xml:space="preserve">├───────────────────────────────────────────────────────────────┤</w:t>
      </w:r>
      <w:r>
        <w:br/>
      </w:r>
      <w:r>
        <w:rPr>
          <w:rStyle w:val="VerbatimChar"/>
        </w:rPr>
        <w:t xml:space="preserve">│  ← Retour aux documents                                       │</w:t>
      </w:r>
      <w:r>
        <w:br/>
      </w:r>
      <w:r>
        <w:rPr>
          <w:rStyle w:val="VerbatimChar"/>
        </w:rPr>
        <w:t xml:space="preserve">│  [ NOUVEAU BROUILLON ]                                        │  ① en-tête</w:t>
      </w:r>
      <w:r>
        <w:br/>
      </w:r>
      <w:r>
        <w:rPr>
          <w:rStyle w:val="VerbatimChar"/>
        </w:rPr>
        <w:t xml:space="preserve">│  Titre du document.........   [Statut ▾]   [Dossier ▾]        │</w:t>
      </w:r>
      <w:r>
        <w:br/>
      </w:r>
      <w:r>
        <w:rPr>
          <w:rStyle w:val="VerbatimChar"/>
        </w:rPr>
        <w:t xml:space="preserve">│                              ✓ Enregistré automatiquement     │  ② état</w:t>
      </w:r>
      <w:r>
        <w:br/>
      </w:r>
      <w:r>
        <w:rPr>
          <w:rStyle w:val="VerbatimChar"/>
        </w:rPr>
        <w:t xml:space="preserve">├───────────────────────────────────────────────────────────────┤</w:t>
      </w:r>
      <w:r>
        <w:br/>
      </w:r>
      <w:r>
        <w:rPr>
          <w:rStyle w:val="VerbatimChar"/>
        </w:rPr>
        <w:t xml:space="preserve">│ G  I  S │ H1 H2 H3 │ •Liste 1.Liste │ Lien Code "Citation │   │  ③ barre</w:t>
      </w:r>
      <w:r>
        <w:br/>
      </w:r>
      <w:r>
        <w:rPr>
          <w:rStyle w:val="VerbatimChar"/>
        </w:rPr>
        <w:t xml:space="preserve">│         │          │                │  ✦ IA    ✓ Aperçu   │   │     d'outils</w:t>
      </w:r>
      <w:r>
        <w:br/>
      </w:r>
      <w:r>
        <w:rPr>
          <w:rStyle w:val="VerbatimChar"/>
        </w:rPr>
        <w:t xml:space="preserve">├────────────────────────────┬──────────────────────────────────┤</w:t>
      </w:r>
      <w:r>
        <w:br/>
      </w:r>
      <w:r>
        <w:rPr>
          <w:rStyle w:val="VerbatimChar"/>
        </w:rPr>
        <w:t xml:space="preserve">│                            │                                  │</w:t>
      </w:r>
      <w:r>
        <w:br/>
      </w:r>
      <w:r>
        <w:rPr>
          <w:rStyle w:val="VerbatimChar"/>
        </w:rPr>
        <w:t xml:space="preserve">│   Zone de saisie           │   Aperçu du rendu                │  ④ édition</w:t>
      </w:r>
      <w:r>
        <w:br/>
      </w:r>
      <w:r>
        <w:rPr>
          <w:rStyle w:val="VerbatimChar"/>
        </w:rPr>
        <w:t xml:space="preserve">│   Markdown                 │   (mise à jour en direct)        │</w:t>
      </w:r>
      <w:r>
        <w:br/>
      </w:r>
      <w:r>
        <w:rPr>
          <w:rStyle w:val="VerbatimChar"/>
        </w:rPr>
        <w:t xml:space="preserve">│   (CodeMirror 6)           │                                  │</w:t>
      </w:r>
      <w:r>
        <w:br/>
      </w:r>
      <w:r>
        <w:rPr>
          <w:rStyle w:val="VerbatimChar"/>
        </w:rPr>
        <w:t xml:space="preserve">│                            │                                  │</w:t>
      </w:r>
      <w:r>
        <w:br/>
      </w:r>
      <w:r>
        <w:rPr>
          <w:rStyle w:val="VerbatimChar"/>
        </w:rPr>
        <w:t xml:space="preserve">├────────────────────────────┴──────────────────────────────────┤</w:t>
      </w:r>
      <w:r>
        <w:br/>
      </w:r>
      <w:r>
        <w:rPr>
          <w:rStyle w:val="VerbatimChar"/>
        </w:rPr>
        <w:t xml:space="preserve">│                                  [ Annuler ]  [ Enregistrer ] │</w:t>
      </w:r>
      <w:r>
        <w:br/>
      </w:r>
      <w:r>
        <w:rPr>
          <w:rStyle w:val="VerbatimChar"/>
        </w:rPr>
        <w:t xml:space="preserve">├───────────────────────────────────────────────────────────────┤</w:t>
      </w:r>
      <w:r>
        <w:br/>
      </w:r>
      <w:r>
        <w:rPr>
          <w:rStyle w:val="VerbatimChar"/>
        </w:rPr>
        <w:t xml:space="preserve">│  Historique des interactions IA  ▾                            │  ⑤ historique</w:t>
      </w:r>
      <w:r>
        <w:br/>
      </w:r>
      <w:r>
        <w:rPr>
          <w:rStyle w:val="VerbatimChar"/>
        </w:rPr>
        <w:t xml:space="preserve">└───────────────────────────────────────────────────────────────┘</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xml:space="preserve">—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xml:space="preserve">—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 (§ 11.4).</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 xml:space="preserve">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5.1.4) ; il sera mené sur la version 4.1.2, en vigueur, la version 5 étant annoncée pour fin 2026 (§ 11.4).</w:t>
      </w:r>
    </w:p>
    <w:bookmarkEnd w:id="57"/>
    <w:bookmarkStart w:id="59" w:name="X4d114d2287c569a7764960a6f8a063ccff4af3a"/>
    <w:p>
      <w:pPr>
        <w:pStyle w:val="BodyText"/>
      </w:pPr>
      <w:r>
        <w:rPr>
          <w:b/>
        </w:rPr>
        <w:t>Index des planches</w:t>
      </w:r>
    </w:p>
    <w:p>
      <w:pPr>
        <w:pStyle w:val="FirstParagraph"/>
      </w:pPr>
      <w:r>
        <w:t xml:space="preserve">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 xml:space="preserve">Le modèle découle de huit règles de gestion, tirées du périmètre fonctionnel (§ 2.3) et des contraintes (§ 5.1.1)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xml:space="preserve">) invite à l'énumération, et même si chaque accès vérifie la propriété (§ 5.2.5),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 xml:space="preserve">du script MySQL (§ 5.5.2)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 xml:space="preserve">possible : sans état serveur, un JWT reste valide jusqu'à son expiration, quoi qu'il arrive. La rotation décrite en § 4.6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 xml:space="preserve">ajoutées dans le script MySQL (§ 5.5.2).</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 xml:space="preserve">comme valeur d'exemple, alors que l'inférence est locale et qu'aucune donnée n'est transmise à OpenAI (§ 5.2.4).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 xml:space="preserve">Création complète du schéma sur une base vierge (§ 5.5.2)</w:t>
            </w:r>
          </w:p>
        </w:tc>
      </w:tr>
      <w:tr>
        <w:tc>
          <w:tcPr/>
          <w:p>
            <w:pPr>
              <w:pStyle w:val="Compact"/>
              <w:jc w:val="left"/>
            </w:pPr>
            <w:r>
              <w:rPr>
                <w:rStyle w:val="VerbatimChar"/>
              </w:rPr>
              <w:t xml:space="preserve">migration_durcissement.sql</w:t>
            </w:r>
          </w:p>
        </w:tc>
        <w:tc>
          <w:tcPr/>
          <w:p>
            <w:pPr>
              <w:pStyle w:val="Compact"/>
              <w:jc w:val="left"/>
            </w:pPr>
            <w:r>
              <w:t xml:space="preserve">Passage d'une base existante au schéma durci (§ 5.5.3)</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xml:space="preserve">)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 xml:space="preserve">selon l'intention décrite en § 5.4.5,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xml:space="preserve">. C'est à la fois l'exigence de traçabilité du cahier des charges et le mécanisme même du quota : le comptage lit ce journal (§ 5.4.2).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 xml:space="preserve">L'extension, elle, est conditionnelle : l'enregistrement automatique se déclenche sous condition — un titre valide et un délai d'inactivité écoulé (§ 7.1.2).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 xml:space="preserve">Chaque fonctionnalité listée au cahier des charges (§ 2.3)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C'est l'application concrète de la règle de séparation des couches (§ 5.2.2)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 xml:space="preserve">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10.3) verrouille cette propriété.</w:t>
      </w:r>
    </w:p>
    <w:p w14:paraId="26C0E4E8" w14:textId="5E0E5454"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11.3).</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xml:space="preserve">(§ 11.3),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6.7)</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 xml:space="preserve">avant injection (§ 7.1.2)</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 xml:space="preserve">à la mise en production. Cette étape figure dans la liste de contrôle de déploiement (§ 6.6).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 xml:space="preserve">global. Ce motif permet d'instancier une application de test avec une configuration distincte, sans toucher au code de production — prérequis du plan de tests (§ 9.2).</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xml:space="preserve">,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p>
      <w:pPr>
        <w:pStyle w:val="BodyText"/>
      </w:pPr>
      <w:r>
        <w:rPr>
          <w:b/>
        </w:rPr>
        <w:t>Lancement en développement</w:t>
      </w:r>
    </w:p>
    <w:p>
      <w:pPr>
        <w:pStyle w:val="FirstParagraph"/>
      </w:pPr>
      <w:r>
        <w:t xml:space="preserve">Trois processus, dans trois terminaux :</w:t>
      </w:r>
    </w:p>
    <w:p>
      <w:pPr>
        <w:pStyle w:val="SourceCode"/>
      </w:pPr>
      <w:r>
        <w:rPr>
          <w:rStyle w:val="CommentTok"/>
        </w:rPr>
        <w:t># 1 — Moteur d'inférence</w:t>
        <w:br/>
        <w:t>ollama serve                       # http://localhost:11434</w:t>
        <w:br/>
        <w:br/>
        <w:t># 2 — Backend, depuis backend/, environnement virtuel activé</w:t>
        <w:br/>
        <w:t>python run.py                      # http://localhost:5000</w:t>
        <w:br/>
        <w:br/>
        <w:t># 3 — Frontend, depuis frontend/</w:t>
        <w:br/>
        <w:t>npm run dev                           # http://localhost:5173</w:t>
      </w:r>
    </w:p>
    <w:p>
      <w:pPr>
        <w:pStyle w:val="FirstParagraph"/>
      </w:pPr>
      <w:r>
        <w:t xml:space="preserve">Le backend doit être lancé</w:t>
      </w:r>
      <w:r>
        <w:t xml:space="preserve"> </w:t>
      </w:r>
      <w:r>
        <w:rPr>
          <w:bCs/>
          <w:b/>
        </w:rPr>
        <w:t xml:space="preserve">depuis le dossier</w:t>
      </w:r>
      <w:r>
        <w:rPr>
          <w:bCs/>
          <w:b/>
        </w:rPr>
        <w:t xml:space="preserve"> </w:t>
      </w:r>
      <w:r>
        <w:rPr>
          <w:rStyle w:val="VerbatimChar"/>
          <w:bCs/>
          <w:b/>
        </w:rPr>
        <w:t xml:space="preserve">backend/</w:t>
      </w:r>
      <w:r>
        <w:t xml:space="preserve"> </w:t>
      </w:r>
      <w:r>
        <w:t xml:space="preserve">: l'import de</w:t>
      </w:r>
      <w:r>
        <w:t xml:space="preserve"> </w:t>
      </w:r>
      <w:r>
        <w:rPr>
          <w:rStyle w:val="VerbatimChar"/>
        </w:rPr>
        <w:t xml:space="preserve">utilitaires</w:t>
      </w:r>
      <w:r>
        <w:t xml:space="preserve"> </w:t>
      </w:r>
      <w:r>
        <w:t xml:space="preserve">et le chemin de la base SQLite sont relatifs au répertoire courant. C'est une fragilité connue, héritée d'un choix de structure ; la conteneurisation la supprimera en fixant le répertoire de travail dans l'image.</w:t>
      </w:r>
    </w:p>
    <w:p>
      <w:pPr>
        <w:pStyle w:val="BodyText"/>
      </w:pPr>
      <w:r>
        <w:t xml:space="preserve">Les tables sont créées automatiquement au premier import du module de persistance : aucune migration à lancer en développement.</w:t>
      </w:r>
    </w:p>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4.2).</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6.1).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11.3).</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11.3)</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 xml:space="preserve">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 xml:space="preserve">L'exigence du cahier des charges (§ 2.3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xml:space="preserve">) afin que son apparition ne décale pas le contenu. Le comportement est vérifié par le cas fonctionnel TF-06 (§ 9.5).</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 xml:space="preserve">Une réserve, issue de la veille (§ 11.3)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xml:space="preserve">, indépendante de cette bibliothèque. Les cas TU-19 (§ 9.3.4) et TS-01 (§ 9.6)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SourceCode"/>
      </w:pPr>
      <w:r>
        <w:rPr>
          <w:rStyle w:val="CommentTok"/>
        </w:rPr>
        <w:t xml:space="preserve"># backend/app/services/auth_service.py</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bcrypt.gensalt() génère un sel aléatoire à chaque appel : deux</w:t>
      </w:r>
      <w:r>
        <w:br/>
      </w:r>
      <w:r>
        <w:rPr>
          <w:rStyle w:val="NormalTok"/>
        </w:rPr>
        <w:t xml:space="preserve">    </w:t>
      </w:r>
      <w:r>
        <w:rPr>
          <w:rStyle w:val="CommentTok"/>
        </w:rPr>
        <w:t xml:space="preserve"># utilisateurs ayant le même mot de passe n'ont pas la même empreinte.</w:t>
      </w:r>
      <w:r>
        <w:br/>
      </w:r>
      <w:r>
        <w:rPr>
          <w:rStyle w:val="NormalTok"/>
        </w:rPr>
        <w:t xml:space="preserve">    </w:t>
      </w:r>
      <w:r>
        <w:rPr>
          <w:rStyle w:val="CommentTok"/>
        </w:rPr>
        <w:t xml:space="preserve"># Le sel est stocké dans l'empreinte elle-même, rien à gérer à côté.</w:t>
      </w:r>
      <w:r>
        <w:br/>
      </w:r>
      <w:r>
        <w:rPr>
          <w:rStyle w:val="NormalTok"/>
        </w:rPr>
        <w:t xml:space="preserve">    </w:t>
      </w:r>
      <w:r>
        <w:rPr>
          <w:rStyle w:val="ControlFlowTok"/>
        </w:rPr>
        <w:t xml:space="preserve">return</w:t>
      </w:r>
      <w:r>
        <w:rPr>
          <w:rStyle w:val="NormalTok"/>
        </w:rPr>
        <w:t xml:space="preserve"> bcrypt.hashpw(plain_password.encode(</w:t>
      </w:r>
      <w:r>
        <w:rPr>
          <w:rStyle w:val="StringTok"/>
        </w:rPr>
        <w:t xml:space="preserve">"utf-8"</w:t>
      </w:r>
      <w:r>
        <w:rPr>
          <w:rStyle w:val="NormalTok"/>
        </w:rPr>
        <w:t xml:space="preserve">), bcrypt.gensalt()).decode(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xml:space="preserve">, ce qui est exactement le défaut recherché par une attaque par force brute. bcrypt est délibérément lente et son coût est paramétrable, ce qui la rend adaptée aux mots de passe. C'est l'inverse du raisonnement appliqué aux jetons (§ 7.2.2),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SourceCode"/>
      </w:pP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64 octets aléatoires : la valeur n'est pas devinable, et n'a donc pas</w:t>
      </w:r>
      <w:r>
        <w:br/>
      </w:r>
      <w:r>
        <w:rPr>
          <w:rStyle w:val="NormalTok"/>
        </w:rPr>
        <w:t xml:space="preserve">    </w:t>
      </w:r>
      <w:r>
        <w:rPr>
          <w:rStyle w:val="CommentTok"/>
        </w:rPr>
        <w:t xml:space="preserve"># besoin d'être salée — contrairement à un mot de passe choisi par un humain.</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mmentTok"/>
        </w:rPr>
        <w:t xml:space="preserve"># Le jeton existe mais a DÉJÀ été consommé : deux porteurs pour un</w:t>
      </w:r>
      <w:r>
        <w:br/>
      </w:r>
      <w:r>
        <w:rPr>
          <w:rStyle w:val="NormalTok"/>
        </w:rPr>
        <w:t xml:space="preserve">        </w:t>
      </w:r>
      <w:r>
        <w:rPr>
          <w:rStyle w:val="CommentTok"/>
        </w:rPr>
        <w:t xml:space="preserve"># jeton à usage unique. On considère le compte compromis et on coupe</w:t>
      </w:r>
      <w:r>
        <w:br/>
      </w:r>
      <w:r>
        <w:rPr>
          <w:rStyle w:val="NormalTok"/>
        </w:rPr>
        <w:t xml:space="preserve">        </w:t>
      </w:r>
      <w:r>
        <w:rPr>
          <w:rStyle w:val="CommentTok"/>
        </w:rPr>
        <w:t xml:space="preserve"># tout, plutôt que de refuser silencieusement cette seule requête.</w:t>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l'ancien jeton est consommé</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 </w:t>
      </w:r>
      <w:r>
        <w:rPr>
          <w:rStyle w:val="OperatorTok"/>
        </w:rPr>
        <w:t xml:space="preserve">+</w:t>
      </w:r>
      <w:r>
        <w:rPr>
          <w:rStyle w:val="NormalTok"/>
        </w:rPr>
        <w:t xml:space="preserve"> 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xml:space="preserve">) sans purge automatique. Elle croît donc d'une ligne par rafraîchissement, soit potentiellement plusieurs centaines par utilisateur et par semaine. Une tâche de purge des lignes révoquées et expirées reste à écrire ; elle figure dans les compléments identifiés en § 8.11.</w:t>
      </w:r>
    </w:p>
    <w:bookmarkEnd w:id="95"/>
    <w:bookmarkStart w:id="96" w:name="Xf51a3d54257a64be7b49ee3b176b6ccd9b4c4ad"/>
    <w:p>
      <w:pPr>
        <w:pStyle w:val="BodyText"/>
      </w:pPr>
      <w:r>
        <w:rPr>
          <w:b/>
        </w:rPr>
        <w:t>ia_service : prompts et appel au modèle</w:t>
      </w:r>
    </w:p>
    <w:p>
      <w:pPr>
        <w:pStyle w:val="SourceCode"/>
      </w:pPr>
      <w:r>
        <w:rPr>
          <w:rStyle w:val="CommentTok"/>
        </w:rPr>
        <w:t xml:space="preserve"># backend/app/services/ia_service.py</w:t>
      </w:r>
      <w:r>
        <w:br/>
      </w:r>
      <w:r>
        <w:rPr>
          <w:rStyle w:val="NormalTok"/>
        </w:rPr>
        <w:t xml:space="preserve">PROMPT_TEMPLATES </w:t>
      </w:r>
      <w:r>
        <w:rPr>
          <w:rStyle w:val="OperatorTok"/>
        </w:rPr>
        <w:t xml:space="preserve">=</w:t>
      </w:r>
      <w:r>
        <w:rPr>
          <w:rStyle w:val="NormalTok"/>
        </w:rPr>
        <w:t xml:space="preserve"> {</w:t>
      </w:r>
      <w:r>
        <w:br/>
      </w:r>
      <w:r>
        <w:rPr>
          <w:rStyle w:val="NormalTok"/>
        </w:rPr>
        <w:t xml:space="preserve">    </w:t>
      </w:r>
      <w:r>
        <w:rPr>
          <w:rStyle w:val="StringTok"/>
        </w:rPr>
        <w:t xml:space="preserve">"reformuler"</w:t>
      </w:r>
      <w:r>
        <w:rPr>
          <w:rStyle w:val="NormalTok"/>
        </w:rPr>
        <w:t xml:space="preserve">: (</w:t>
      </w:r>
      <w:r>
        <w:br/>
      </w:r>
      <w:r>
        <w:rPr>
          <w:rStyle w:val="NormalTok"/>
        </w:rPr>
        <w:t xml:space="preserve">        </w:t>
      </w:r>
      <w:r>
        <w:rPr>
          <w:rStyle w:val="StringTok"/>
        </w:rPr>
        <w:t xml:space="preserve">"Tu es un assistant de rédaction de documents professionnels. "</w:t>
      </w:r>
      <w:r>
        <w:br/>
      </w:r>
      <w:r>
        <w:rPr>
          <w:rStyle w:val="NormalTok"/>
        </w:rPr>
        <w:t xml:space="preserve">        </w:t>
      </w:r>
      <w:r>
        <w:rPr>
          <w:rStyle w:val="StringTok"/>
        </w:rPr>
        <w:t xml:space="preserve">"Reformule le texte suivant pour le rendre plus clair et plus professionnel, "</w:t>
      </w:r>
      <w:r>
        <w:br/>
      </w:r>
      <w:r>
        <w:rPr>
          <w:rStyle w:val="NormalTok"/>
        </w:rPr>
        <w:t xml:space="preserve">        </w:t>
      </w:r>
      <w:r>
        <w:rPr>
          <w:rStyle w:val="StringTok"/>
        </w:rPr>
        <w:t xml:space="preserve">"sans changer son sens ni ajouter d'informations nouvelles. "</w:t>
      </w:r>
      <w:r>
        <w:br/>
      </w:r>
      <w:r>
        <w:rPr>
          <w:rStyle w:val="NormalTok"/>
        </w:rPr>
        <w:t xml:space="preserve">        </w:t>
      </w:r>
      <w:r>
        <w:rPr>
          <w:rStyle w:val="StringTok"/>
        </w:rPr>
        <w:t xml:space="preserve">"Réponds uniquement avec le texte reformulé, sans commentaire ni introduction.</w:t>
      </w:r>
      <w:r>
        <w:rPr>
          <w:rStyle w:val="CharTok"/>
        </w:rPr>
        <w:t xml:space="preserve">\n\n</w:t>
      </w:r>
      <w:r>
        <w:rPr>
          <w:rStyle w:val="StringTok"/>
        </w:rPr>
        <w:t xml:space="preserve">"</w:t>
      </w:r>
      <w:r>
        <w:br/>
      </w:r>
      <w:r>
        <w:rPr>
          <w:rStyle w:val="NormalTok"/>
        </w:rPr>
        <w:t xml:space="preserve">        </w:t>
      </w:r>
      <w:r>
        <w:rPr>
          <w:rStyle w:val="StringTok"/>
        </w:rPr>
        <w:t xml:space="preserve">"Texte à reformuler :</w:t>
      </w:r>
      <w:r>
        <w:rPr>
          <w:rStyle w:val="CharTok"/>
        </w:rPr>
        <w:t xml:space="preserve">\n</w:t>
      </w:r>
      <w:r>
        <w:rPr>
          <w:rStyle w:val="SpecialCharTok"/>
        </w:rPr>
        <w:t xml:space="preserve">{contenu}</w:t>
      </w:r>
      <w:r>
        <w:rPr>
          <w:rStyle w:val="StringTok"/>
        </w:rPr>
        <w:t xml:space="preserve">"</w:t>
      </w:r>
      <w:r>
        <w:br/>
      </w:r>
      <w:r>
        <w:rPr>
          <w:rStyle w:val="NormalTok"/>
        </w:rPr>
        <w:t xml:space="preserve">    ),</w:t>
      </w:r>
      <w:r>
        <w:br/>
      </w:r>
      <w:r>
        <w:rPr>
          <w:rStyle w:val="NormalTok"/>
        </w:rPr>
        <w:t xml:space="preserve">    </w:t>
      </w:r>
      <w:r>
        <w:rPr>
          <w:rStyle w:val="StringTok"/>
        </w:rPr>
        <w:t xml:space="preserve">"corriger"</w:t>
      </w:r>
      <w:r>
        <w:rPr>
          <w:rStyle w:val="NormalTok"/>
        </w:rPr>
        <w:t xml:space="preserve">: (...),</w:t>
      </w:r>
      <w:r>
        <w:br/>
      </w:r>
      <w:r>
        <w:rPr>
          <w:rStyle w:val="NormalTok"/>
        </w:rPr>
        <w:t xml:space="preserve">    </w:t>
      </w:r>
      <w:r>
        <w:rPr>
          <w:rStyle w:val="StringTok"/>
        </w:rPr>
        <w:t xml:space="preserve">"completer"</w:t>
      </w:r>
      <w:r>
        <w:rPr>
          <w:rStyle w:val="NormalTok"/>
        </w:rPr>
        <w:t xml:space="preserve">: (...),</w:t>
      </w:r>
      <w:r>
        <w:br/>
      </w:r>
      <w:r>
        <w:rPr>
          <w:rStyle w:val="NormalTok"/>
        </w:rPr>
        <w:t xml:space="preserve">}</w:t>
      </w:r>
      <w:r>
        <w:br/>
      </w:r>
      <w:r>
        <w:br/>
      </w:r>
      <w:r>
        <w:br/>
      </w:r>
      <w:r>
        <w:rPr>
          <w:rStyle w:val="KeywordTok"/>
        </w:rPr>
        <w:t xml:space="preserve">def</w:t>
      </w:r>
      <w:r>
        <w:rPr>
          <w:rStyle w:val="NormalTok"/>
        </w:rPr>
        <w:t xml:space="preserve"> build_prompt(type_action: </w:t>
      </w:r>
      <w:r>
        <w:rPr>
          <w:rStyle w:val="BuiltInTok"/>
        </w:rPr>
        <w:t xml:space="preserve">str</w:t>
      </w:r>
      <w:r>
        <w:rPr>
          <w:rStyle w:val="NormalTok"/>
        </w:rPr>
        <w:t xml:space="preserve">, contenu: </w:t>
      </w:r>
      <w:r>
        <w:rPr>
          <w:rStyle w:val="BuiltInTok"/>
        </w:rPr>
        <w:t xml:space="preserve">str</w:t>
      </w:r>
      <w:r>
        <w:rPr>
          <w:rStyle w:val="NormalTok"/>
        </w:rPr>
        <w:t xml:space="preserve">, instructions: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template </w:t>
      </w:r>
      <w:r>
        <w:rPr>
          <w:rStyle w:val="OperatorTok"/>
        </w:rPr>
        <w:t xml:space="preserve">=</w:t>
      </w:r>
      <w:r>
        <w:rPr>
          <w:rStyle w:val="NormalTok"/>
        </w:rPr>
        <w:t xml:space="preserve"> PROMPT_TEMPLATES.get(type_action)</w:t>
      </w:r>
      <w:r>
        <w:br/>
      </w:r>
      <w:r>
        <w:rPr>
          <w:rStyle w:val="NormalTok"/>
        </w:rPr>
        <w:t xml:space="preserve">    </w:t>
      </w:r>
      <w:r>
        <w:rPr>
          <w:rStyle w:val="ControlFlowTok"/>
        </w:rPr>
        <w:t xml:space="preserve">if</w:t>
      </w:r>
      <w:r>
        <w:rPr>
          <w:rStyle w:val="NormalTok"/>
        </w:rPr>
        <w:t xml:space="preserve"> template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f"Type d'action inconnu: </w:t>
      </w:r>
      <w:r>
        <w:rPr>
          <w:rStyle w:val="SpecialCharTok"/>
        </w:rPr>
        <w:t xml:space="preserve">{</w:t>
      </w:r>
      <w:r>
        <w:rPr>
          <w:rStyle w:val="NormalTok"/>
        </w:rPr>
        <w:t xml:space="preserve">type_action</w:t>
      </w:r>
      <w:r>
        <w:rPr>
          <w:rStyle w:val="SpecialCharTok"/>
        </w:rPr>
        <w:t xml:space="preserve">}</w:t>
      </w:r>
      <w:r>
        <w:rPr>
          <w:rStyle w:val="SpecialStringTok"/>
        </w:rPr>
        <w:t xml:space="preserve">"</w:t>
      </w:r>
      <w:r>
        <w:rPr>
          <w:rStyle w:val="NormalTok"/>
        </w:rPr>
        <w:t xml:space="preserve">)</w:t>
      </w:r>
      <w:r>
        <w:br/>
      </w:r>
      <w:r>
        <w:rPr>
          <w:rStyle w:val="NormalTok"/>
        </w:rPr>
        <w:t xml:space="preserve">    prompt </w:t>
      </w:r>
      <w:r>
        <w:rPr>
          <w:rStyle w:val="OperatorTok"/>
        </w:rPr>
        <w:t xml:space="preserve">=</w:t>
      </w:r>
      <w:r>
        <w:rPr>
          <w:rStyle w:val="NormalTok"/>
        </w:rPr>
        <w:t xml:space="preserve"> template.</w:t>
      </w:r>
      <w:r>
        <w:rPr>
          <w:rStyle w:val="BuiltInTok"/>
        </w:rPr>
        <w:t xml:space="preserve">format</w:t>
      </w:r>
      <w:r>
        <w:rPr>
          <w:rStyle w:val="NormalTok"/>
        </w:rPr>
        <w:t xml:space="preserve">(contenu</w:t>
      </w:r>
      <w:r>
        <w:rPr>
          <w:rStyle w:val="OperatorTok"/>
        </w:rPr>
        <w:t xml:space="preserve">=</w:t>
      </w:r>
      <w:r>
        <w:rPr>
          <w:rStyle w:val="NormalTok"/>
        </w:rPr>
        <w:t xml:space="preserve">contenu)</w:t>
      </w:r>
      <w:r>
        <w:br/>
      </w:r>
      <w:r>
        <w:rPr>
          <w:rStyle w:val="NormalTok"/>
        </w:rPr>
        <w:t xml:space="preserve">    </w:t>
      </w:r>
      <w:r>
        <w:rPr>
          <w:rStyle w:val="ControlFlowTok"/>
        </w:rPr>
        <w:t xml:space="preserve">if</w:t>
      </w:r>
      <w:r>
        <w:rPr>
          <w:rStyle w:val="NormalTok"/>
        </w:rPr>
        <w:t xml:space="preserve"> instructions:</w:t>
      </w:r>
      <w:r>
        <w:br/>
      </w:r>
      <w:r>
        <w:rPr>
          <w:rStyle w:val="NormalTok"/>
        </w:rPr>
        <w:t xml:space="preserve">        prompt </w:t>
      </w:r>
      <w:r>
        <w:rPr>
          <w:rStyle w:val="OperatorTok"/>
        </w:rPr>
        <w:t xml:space="preserve">+=</w:t>
      </w:r>
      <w:r>
        <w:rPr>
          <w:rStyle w:val="NormalTok"/>
        </w:rPr>
        <w:t xml:space="preserve"> </w:t>
      </w:r>
      <w:r>
        <w:rPr>
          <w:rStyle w:val="SpecialStringTok"/>
        </w:rPr>
        <w:t xml:space="preserve">f"</w:t>
      </w:r>
      <w:r>
        <w:rPr>
          <w:rStyle w:val="CharTok"/>
        </w:rPr>
        <w:t xml:space="preserve">\n\n</w:t>
      </w:r>
      <w:r>
        <w:rPr>
          <w:rStyle w:val="SpecialStringTok"/>
        </w:rPr>
        <w:t xml:space="preserve">Consigne particulière à respecter: </w:t>
      </w:r>
      <w:r>
        <w:rPr>
          <w:rStyle w:val="SpecialCharTok"/>
        </w:rPr>
        <w:t xml:space="preserve">{</w:t>
      </w:r>
      <w:r>
        <w:rPr>
          <w:rStyle w:val="NormalTok"/>
        </w:rPr>
        <w:t xml:space="preserve">instructions</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prompt</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xml:space="preserve">,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5.6.3), et la longueur de la consigne est bornée à 500 caractères (§ 5.7.1).</w:t>
      </w:r>
    </w:p>
    <w:p>
      <w:pPr>
        <w:pStyle w:val="SourceCode"/>
      </w:pPr>
      <w:r>
        <w:rPr>
          <w:rStyle w:val="KeywordTok"/>
        </w:rPr>
        <w:t>def _charge_utile(model, prompt, temperature, num_ctx, think, keep_alive) -&gt; dict:</w:t>
        <w:br/>
        <w:t xml:space="preserve">    charge = {</w:t>
        <w:br/>
        <w:t xml:space="preserve">        "model": model,</w:t>
        <w:br/>
        <w:t xml:space="preserve">        "prompt": prompt,</w:t>
        <w:br/>
        <w:t xml:space="preserve">        "keep_alive": keep_alive,   # maintien du modèle en mémoire entre deux appels</w:t>
        <w:br/>
        <w:t xml:space="preserve">        "stream": True,             # flux NDJSON : une ligne JSON par jeton</w:t>
        <w:br/>
        <w:t xml:space="preserve">        "options": {</w:t>
        <w:br/>
        <w:t xml:space="preserve">            "temperature": temperature,</w:t>
        <w:br/>
        <w:t xml:space="preserve">            "num_ctx": num_ctx,     # sans elle, Ollama tronque SILENCIEUSEMENT le prompt</w:t>
        <w:br/>
        <w:t xml:space="preserve">        },</w:t>
        <w:br/>
        <w:t xml:space="preserve">    }</w:t>
        <w:br/>
        <w:t xml:space="preserve">    if think is not None:</w:t>
        <w:br/>
        <w:t xml:space="preserve">        charge["think"] = think     # champ de premier niveau, pas une option</w:t>
        <w:br/>
        <w:t xml:space="preserve">    return charge</w:t>
        <w:br/>
        <w:br/>
        <w:br/>
        <w:t>def _lire_flux(response) -&gt; tuple[str, int]:</w:t>
        <w:br/>
        <w:t xml:space="preserve">    """Reconstitue le texte complet à partir du flux NDJSON d'Ollama."""</w:t>
        <w:br/>
        <w:t xml:space="preserve">    morceaux, jetons = [], 0</w:t>
        <w:br/>
        <w:t xml:space="preserve">    for ligne in response.iter_lines():</w:t>
        <w:br/>
        <w:t xml:space="preserve">        if not ligne:</w:t>
        <w:br/>
        <w:t xml:space="preserve">            continue</w:t>
        <w:br/>
        <w:t xml:space="preserve">        bloc = json.loads(ligne)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try:</w:t>
        <w:br/>
        <w:t xml:space="preserve">        with requests.post(f"{base_url}/api/generate", json=charge, stream=True,</w:t>
        <w:br/>
        <w:t xml:space="preserve">                           # Couple (connexion, lecture). La lecture est SANS limite.</w:t>
        <w:br/>
        <w:t xml:space="preserve">                           timeout=(connect_timeout, None)) as response:</w:t>
        <w:br/>
        <w:t xml:space="preserve">            try:</w:t>
        <w:br/>
        <w:t xml:space="preserve">                response.raise_for_status()</w:t>
        <w:br/>
        <w:t xml:space="preserve">            except requests.exceptions.HTTPError as e:</w:t>
        <w:br/>
        <w:t xml:space="preserve">                # Le corps est lu ICI : sortir du bloc `with` libère la connexion</w:t>
        <w:br/>
        <w:t xml:space="preserve">                # et le diagnostic d'Ollama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raise RuntimeError(f"Impossible de joindre Ollama sur {base_url}. "</w:t>
        <w:br/>
        <w:t xml:space="preserve">                           "Vérifiez qu'il est lancé sur votre machine.") from e</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 xml:space="preserve">La règle annoncée en § 5.2.2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 xml:space="preserve">du § 9.2. La correction propre consisterait à passer ces valeurs en paramètres ou par un objet de configuration injecté ; elle est notée en § 8.11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SourceCode"/>
      </w:pPr>
      <w:r>
        <w:rPr>
          <w:rStyle w:val="CommentTok"/>
        </w:rPr>
        <w:t xml:space="preserve"># backend/database/db.py</w:t>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w:t>
      </w:r>
      <w:r>
        <w:rPr>
          <w:rStyle w:val="CommentTok"/>
        </w:rPr>
        <w:t xml:space="preserve"># … dossiers, consentements, ias, password_resets : même schéma</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 xml:space="preserve">La colonne est alimentée par l'ORM à chaque modification, sans que la route ait à y penser. C'est ce qui rend le tri de la liste des documents fiable, alors que l'enregistrement automatique produit des écritures très fréquentes (§ 7.1.2).</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 xml:space="preserve">La première déclaration agit quand l'application supprime un objet, la seconde quand le SGBD supprime une ligne. Les deux sont nécessaires : le raisonnement RGPD complet figure en § 5.4.5.</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 xml:space="preserve">est traitée comme un libellé, pas comme du SQL (cas TS-02, § 9.6).</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 xml:space="preserve">est expliqué en § 5.7.2.</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xml:space="preserve">(§ 5.4.6)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 xml:space="preserve">Les statistiques globales, elles, sont de simples comptages sur fenêtre glissante, cohérents avec le mécanisme de quota (§ 5.7.2)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 xml:space="preserve">du § 5.6.3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SourceCode"/>
      </w:pPr>
      <w:r>
        <w:rPr>
          <w:rStyle w:val="CommentTok"/>
        </w:rPr>
        <w:t xml:space="preserve"># backend/app/routes/document_route.py</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l'en-tête Authorization :</w:t>
      </w:r>
      <w:r>
        <w:br/>
      </w:r>
      <w:r>
        <w:rPr>
          <w:rStyle w:val="NormalTok"/>
        </w:rPr>
        <w:t xml:space="preserve">    </w:t>
      </w:r>
      <w:r>
        <w:rPr>
          <w:rStyle w:val="CommentTok"/>
        </w:rPr>
        <w:t xml:space="preserve"># on le laisse passer sans vérifier le jeton, sinon Flask n'a jamais</w:t>
      </w:r>
      <w:r>
        <w:br/>
      </w:r>
      <w:r>
        <w:rPr>
          <w:rStyle w:val="NormalTok"/>
        </w:rPr>
        <w:t xml:space="preserve">    </w:t>
      </w:r>
      <w:r>
        <w:rPr>
          <w:rStyle w:val="CommentTok"/>
        </w:rPr>
        <w:t xml:space="preserve"># l'occasion de générer sa réponse OPTIONS et le navigateur bloque la</w:t>
      </w:r>
      <w:r>
        <w:br/>
      </w:r>
      <w:r>
        <w:rPr>
          <w:rStyle w:val="NormalTok"/>
        </w:rPr>
        <w:t xml:space="preserve">    </w:t>
      </w:r>
      <w:r>
        <w:rPr>
          <w:rStyle w:val="CommentTok"/>
        </w:rPr>
        <w:t xml:space="preserve"># requête réelle qui suit. Aucune donnée n'est exposée par un OPTIONS.</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 xml:space="preserve">Le back-office ajoute une seconde couche, et c'est ici que se matérialise la décision du § 5.2.5 :</w:t>
      </w:r>
    </w:p>
    <w:p>
      <w:pPr>
        <w:pStyle w:val="SourceCode"/>
      </w:pPr>
      <w:r>
        <w:rPr>
          <w:rStyle w:val="CommentTok"/>
        </w:rPr>
        <w:t xml:space="preserve"># backend/app/routes/admin_route.py</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xml:space="preserve">— il reste inaccessible même si l'assainissement de l'aperçu échouait (§ 7.1.2)</w:t>
            </w:r>
          </w:p>
        </w:tc>
      </w:tr>
      <w:tr>
        <w:tc>
          <w:tcPr/>
          <w:p>
            <w:pPr>
              <w:pStyle w:val="Compact"/>
              <w:jc w:val="left"/>
            </w:pPr>
            <w:r>
              <w:rPr>
                <w:rStyle w:val="VerbatimChar"/>
              </w:rPr>
              <w:t xml:space="preserve">secure</w:t>
            </w:r>
          </w:p>
        </w:tc>
        <w:tc>
          <w:tcPr/>
          <w:p>
            <w:pPr>
              <w:pStyle w:val="Compact"/>
              <w:jc w:val="left"/>
            </w:pPr>
            <w:r>
              <w:t xml:space="preserve">Le jeton ne transite jamais sur HTTP en clair hors développement (§ 6.3)</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8.7)</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 xml:space="preserve">est elle-même la mesure la plus utile : trois routes posent ou suppriment ce cookie, et un attribut oublié à un seul endroit suffirait à annuler la protection. Un point unique rend l'oubli impossible et rend la vérification (cas TS-08, § 9.6)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xml:space="preserve">(§ 6.3),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xml:space="preserve">(§ 6.4). Leur code complet figure en annexe § 12.5.</w:t>
      </w:r>
    </w:p>
    <w:p>
      <w:pPr>
        <w:numPr>
          <w:ilvl w:val="0"/>
          <w:numId w:val="2020"/>
        </w:numPr>
        <w:pStyle w:val="Compact"/>
      </w:pPr>
      <w:r>
        <w:t xml:space="preserve">La présentation d’éléments de sécurité de l’application</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xml:space="preserve">, confrontée aux exigences du cahier des charges (§ 2.4)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xml:space="preserve">§ 8.3</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xml:space="preserve">§ 8.2</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xml:space="preserve">§ 8.5, § 8.6</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xml:space="preserve">§ 8.4</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xml:space="preserve">§ 8.9</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xml:space="preserve">§ 11, § 9.6</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xml:space="preserve">§ 8.2, § 8.8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xml:space="preserve">§ 5.4.5, § 5.5.2</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xml:space="preserve">§ 8.11</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xml:space="preserve">§ 8.9</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 xml:space="preserve">bcrypt avec sel aléatoire par empreinte ; politique 8 caractères, majuscule, minuscule, chiffre, vérifiée côté serveur (§ 7.2.1)</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xml:space="preserve">, durée 7 jours (§ 7.4.3)</w:t>
            </w:r>
          </w:p>
        </w:tc>
      </w:tr>
      <w:tr>
        <w:tc>
          <w:tcPr/>
          <w:p>
            <w:pPr>
              <w:pStyle w:val="Compact"/>
              <w:jc w:val="left"/>
            </w:pPr>
            <w:r>
              <w:t xml:space="preserve">Stockage du refresh token</w:t>
            </w:r>
          </w:p>
        </w:tc>
        <w:tc>
          <w:tcPr/>
          <w:p>
            <w:pPr>
              <w:pStyle w:val="Compact"/>
              <w:jc w:val="left"/>
            </w:pPr>
            <w:r>
              <w:t xml:space="preserve">Empreinte SHA-256 uniquement : une fuite de la base ne permet pas de rejouer une session (§ 7.2.2)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xml:space="preserve">(§ 7.3.2). L'identifiant présent dans l'URL n'est jamais tenu pour légitime, et un identifiant appartenant à autrui produit un</w:t>
      </w:r>
      <w:r>
        <w:t xml:space="preserve"> </w:t>
      </w:r>
      <w:r>
        <w:rPr>
          <w:rStyle w:val="VerbatimChar"/>
        </w:rPr>
        <w:t xml:space="preserve">404</w:t>
      </w:r>
      <w:r>
        <w:t xml:space="preserve"> </w:t>
      </w:r>
      <w:r>
        <w:t xml:space="preserve">indiscernable d'un identifiant inexistant (§ 5.7.2).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xml:space="preserve">(§ 7.4.2). Côté client, l'entrée de menu est masquée et la garde</w:t>
      </w:r>
      <w:r>
        <w:t xml:space="preserve"> </w:t>
      </w:r>
      <w:r>
        <w:rPr>
          <w:rStyle w:val="VerbatimChar"/>
        </w:rPr>
        <w:t xml:space="preserve">requiresAdmin</w:t>
      </w:r>
      <w:r>
        <w:t xml:space="preserve"> </w:t>
      </w:r>
      <w:r>
        <w:t xml:space="preserve">du routeur bloque l'accès direct à l'URL — mais ces deux mesures sont du confort d'usage. Le contrôle qui compte est celui du serveur, et c'est celui que vérifient les cas TS-03 et TS-04 (§ 9.6).</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 xml:space="preserve">une requête suffirait à charger toute la table en mémoire (§ 7.3.3).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xml:space="preserve">, ni f-string dans une requête. Le cas TS-02 (§ 9.6)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 xml:space="preserve">du script MySQL (§ 5.5.2)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 xml:space="preserve">que présentait la première version, son mécanisme d'aggravation par l'enregistrement automatique, et sa correction par DOMPurify sont détaillés en § 7.1.2.</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xml:space="preserve">: même un XSS réussi ne permet pas de voler la session longue durée (§ 7.4.3).</w:t>
      </w:r>
    </w:p>
    <w:p>
      <w:pPr>
        <w:pStyle w:val="FirstParagraph"/>
      </w:pPr>
      <w:r>
        <w:t xml:space="preserve">La veille a montré que la deuxième ligne est elle-même un composant à maintenir — CVE-2026-0540 affecte la version déclarée par le projet (§ 11.3).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6.4). Un jeton CSRF dédié par double-submit a été étudié et écarté : il n'aurait rien ajouté ici, puisqu'un XSS réussi permettrait de lire le cookie et de forger l'en-tête — cette protection suppose donc le XSS de l'aperçu déjà fermé (§ 7.1.2),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 xml:space="preserve">est normalisée en JSON et volontairement peu bavarde, sans indiquer le nombre de tentatives restantes ni la durée du blocage (§ 6.4).</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 xml:space="preserve">avec le message « Email ou mot de passe incorrect ». Cette cohérence connaît une exception, documentée en § 8.11.</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 xml:space="preserve">documenté (§ 6.3)</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xml:space="preserve">, ni base de développement, ni clé — vérifié par le cas TS-06 (§ 9.6)</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11.3)</w:t>
            </w:r>
          </w:p>
        </w:tc>
      </w:tr>
    </w:tbl>
    <w:p>
      <w:pPr>
        <w:pStyle w:val="BodyText"/>
      </w:pPr>
      <w:r>
        <w:t xml:space="preserve">Le dernier point de ce tableau est la seule mesure de ce dossier qui ne soit pas dans le code : c'est une consigne de déploiement. Elle figure donc dans la liste de contrôle du § 6.6,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xml:space="preserve">: type, réponse et horodatage de chaque recueil (§ 5.4.4)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 xml:space="preserve">côté SGBD (§ 5.4.5)</w:t>
            </w:r>
          </w:p>
        </w:tc>
      </w:tr>
      <w:tr>
        <w:tc>
          <w:tcPr/>
          <w:p>
            <w:pPr>
              <w:pStyle w:val="Compact"/>
              <w:jc w:val="left"/>
            </w:pPr>
            <w:r>
              <w:t xml:space="preserve">Absence de transfert</w:t>
            </w:r>
          </w:p>
        </w:tc>
        <w:tc>
          <w:tcPr/>
          <w:p>
            <w:pPr>
              <w:pStyle w:val="Compact"/>
              <w:jc w:val="left"/>
            </w:pPr>
            <w:r>
              <w:t xml:space="preserve">Inférence entièrement locale : aucun contenu rédigé ne quitte l'infrastructure (§ 5.2.4)</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 xml:space="preserve">Partiellement couverte ; compléments AI Act identifiés en § 11.4</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xml:space="preserve">,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8.11).</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4.1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 xml:space="preserve">La règle de découpage du § 5.2.2 n'est pas strictement tenue</w:t>
            </w:r>
          </w:p>
        </w:tc>
        <w:tc>
          <w:tcPr/>
          <w:p>
            <w:pPr>
              <w:pStyle w:val="Compact"/>
              <w:jc w:val="left"/>
            </w:pPr>
            <w:r>
              <w:t xml:space="preserve">Injecter la configuration en paramètre (§ 7.2.4)</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4.1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9.6),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 xml:space="preserve">La base de cette pyramide est la règle d'architecture du § 5.2.2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xml:space="preserve">(§ 6.4)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 xml:space="preserve">Flask-Limiter protège les routes d'authentification (§ 6.4)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 xml:space="preserve">est pure : mêmes entrées, même sortie, aucun effet de bord. C'est le cas le plus simple à couvrir et l'un des plus utiles, puisque le prompt détermine réellement le comportement du modèle (§ 4.6).</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 xml:space="preserve">Aucun ne mentionne « juridique » (non-régression du § 4.6)</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xml:space="preserve"># Non-régression : le positionnement a dérivé une fois (§ 4.6).</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 xml:space="preserve">Le cas TU-04 est le plus instructif, parce qu'il est né d'une erreur réelle. La dérive du positionnement éditorial décrite en § 4.6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 xml:space="preserve">porteuse d'un message lisible (§ 5.7.3).</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6.1)</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 xml:space="preserve">relevée dans la veille (CVE-2026-48526, § 11.2).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xml:space="preserve">(§ 7.1.2)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xml:space="preserve">, la route la plus riche en contrôles (§ 5.7.2),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 xml:space="preserve">C'est la mesure anti-énumération du § 5.7.2.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 xml:space="preserve">Le test insère 19 appels datés de moins de 24 heures et un appel daté de 25 heures, puis demande une génération : elle doit réussir. Un compteur remis à zéro à minuit passerait TI-10 mais échouerait TI-11. C'est donc bien le mécanisme du § 5.7.2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 xml:space="preserve">les sessions révoquées (§ 4.6)</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xml:space="preserve">; rôle rétrogradé en base sans nouveau jeton → accès refusé immédiatement (§ 5.2.5)</w:t>
            </w:r>
          </w:p>
        </w:tc>
      </w:tr>
    </w:tbl>
    <w:p>
      <w:pPr>
        <w:pStyle w:val="BodyText"/>
      </w:pPr>
      <w:r>
        <w:t xml:space="preserve">Le dernier cas mérite d'être souligné : il vérifie une décision explicite du § 5.2.5,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 xml:space="preserve">Les documents survivent et réapparaissent hors dossier (§ 5.4.5)</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 xml:space="preserve">L'application refuse de démarrer (§ 6.3)</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11.4).</w:t>
      </w:r>
    </w:p>
    <w:p>
      <w:pPr>
        <w:pStyle w:val="FirstParagraph"/>
      </w:pPr>
      <w:r>
        <w:t>Le résultat tient en un chiffre et une nuance. Le chiffre : 120 occurrences sur trois règles, dont 117 dues à une seule couleur — l'accent #E0533C de la charte (§ 5.3.2)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7.2.3).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xml:space="preserve">. C'est la fonctionnalité la plus significative du projet à trois titres : elle traverse les trois couches du backend et sollicite un système externe (§ 5.2.1) ; elle concentre cinq contrôles de nature différente — authentification, validation, autorisation, quota, disponibilité (§ 5.7.2) ; et elle porte les deux exigences les plus délicates du cahier des charges, le quota de 20 appels par 24 heures et la traçabilité des interactions.</w:t>
      </w:r>
    </w:p>
    <w:p>
      <w:pPr>
        <w:pStyle w:val="BodyText"/>
      </w:pPr>
      <w:r>
        <w:t xml:space="preserve">C'est aussi la fonctionnalité qu'aucune capture d'écran ne peut attester, puisqu'elle se manifeste par un enchaînement et non par un état (§ 4.6,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xml:space="preserve">. C'est la traduction du § 5.6.3,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xml:space="preserve">(§ 5.7.3).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 xml:space="preserve">comme un contrôle de routine intégré à l'intégration continue (§ 6.6, cas TS-09 du § 9.6).</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4.2 du rapport d'audit — et la règle d'écoute sur la seule interface de bouclage est passée du statut d'habitude implicite à celui de consigne écrite (§ 5.2.1, § 6.6). Son application explicite par OLLAMA_HOST=127.0.0.1:11434 reste à poser sur le poste : aujourd'hui le comportement par défaut suffit, mais une mesure qui dépend d'un défaut n'est pas une mesure.</w:t>
      </w:r>
    </w:p>
    <w:p>
      <w:pPr>
        <w:pStyle w:val="BodyText"/>
      </w:pPr>
      <w:r>
        <w:t xml:space="preserve">Cette entrée éclaire rétrospectivement le choix d'architecture du § 5.2.4.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 xml:space="preserve">la faille XSS de l'aperçu Markdown (§ 7.1.2).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xml:space="preserve">: le stockage du contenu en Markdown brut plutôt qu'en HTML (§ 5.2.4)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p>
      <w:pPr>
        <w:pStyle w:val="BodyText"/>
      </w:pPr>
      <w:r>
        <w:rPr>
          <w:b/>
        </w:rPr>
        <w:t>AI Act — une exigence apparue en cours de projet</w:t>
      </w:r>
    </w:p>
    <w:p>
      <w:pPr>
        <w:pStyle w:val="FirstParagraph"/>
      </w:pPr>
      <w:r>
        <w:t xml:space="preserve">Depuis le</w:t>
      </w:r>
      <w:r>
        <w:t xml:space="preserve"> </w:t>
      </w:r>
      <w:r>
        <w:rPr>
          <w:bCs/>
          <w:b/>
        </w:rPr>
        <w:t xml:space="preserve">2 août 2026</w:t>
      </w:r>
      <w:r>
        <w:t xml:space="preserve">, les obligations de transparence du règlement européen sur l'intelligence artificielle sont applicables et contrôlées. Deux d'entre elles concernent directement HelpMeDraft : un système d'IA interactif doit informer clairement l'utilisateur qu'il interagit avec une intelligence artificielle, et les contenus générés ou modifiés par IA doivent être marqués — par un marquage visible, et par un filigrane techniquement détectable. Les autorités de contrôle en France sont la CNIL, la DGCCRF et l'Arcom ; les sanctions pour manquement à la transparence atteignent 15 M€ ou 3 % du chiffre d'affaires mondial.</w:t>
      </w:r>
    </w:p>
    <w:p>
      <w:pPr>
        <w:pStyle w:val="BodyText"/>
      </w:pPr>
      <w:r>
        <w:t>Le projet couvre déjà une partie de l'exigence : le panneau est intitulé « Assistant IA — Ollama », l'action demandée est explicite, et aucune proposition n'est appliquée sans décision de l'utilisateur. Trois compléments restent à produire. Ils sont spécifiés ici plutôt que simplement listés, parce que leur coût réel tient à l'endroit où ils s'insèrent, pas à leur volume de code.</w:t>
      </w:r>
    </w:p>
    <w:p>
      <w:pPr>
        <w:pStyle w:val="BodyText"/>
      </w:pPr>
      <w:r>
        <w:t>1 · Mention d'information non ambiguë. L'obligation porte sur l'information de l'utilisateur, pas sur l'étiquetage d'un panneau : un titre « Assistant IA — Ollama » nomme un outil, il ne dit pas que le texte proposé est produit par un modèle et peut être inexact. La mention doit donc apparaître au premier usage de l'assistant, dans la modale elle-même, et rester consultable ensuite. Formulation retenue : « Les propositions de cet assistant sont générées par un modèle de langage exécuté localement. Elles peuvent contenir des erreurs ou des affirmations fausses : relisez avant d'insérer. » Emplacement : composant de la modale IA, avant les boutons d'action. Le fait que l'utilisateur l'ait vue relève du confort, pas de la preuve — contrairement au consentement RGPD, l'AI Act n'exige pas de tracer l'information, il exige qu'elle soit donnée.</w:t>
      </w:r>
    </w:p>
    <w:p>
      <w:pPr>
        <w:pStyle w:val="BodyText"/>
      </w:pPr>
      <w:r>
        <w:t>2 · Trace des passages issus d'une génération. C'est le complément le plus structurant, et le seul qui touche au modèle de données. L'information existe déjà côté base : la table ia conserve content_before et content_after pour chaque interaction (§ 5.4.4). Ce qui manque est le lien entre cette trace et le document final — une fois la proposition insérée, rien ne distingue dans le Markdown ce que l'utilisateur a écrit de ce qu'il a accepté. Deux options ont été étudiées. Marquer le texte dans le document lui-même (balises, commentaires Markdown) polluerait le contenu et serait détruit à la première réécriture manuelle. Conserver la trace hors du document, en enregistrant à l'insertion la position et la longueur du passage inséré, laisse le Markdown intact mais demande de gérer le décalage des positions à chaque frappe ultérieure. C'est la seconde option qui est retenue, avec une réconciliation à l'ouverture du document plutôt qu'un suivi continu : l'exigence est la traçabilité, pas le surlignage en temps réel.</w:t>
      </w:r>
    </w:p>
    <w:p>
      <w:pPr>
        <w:pStyle w:val="BodyText"/>
      </w:pPr>
      <w:r>
        <w:t>3 · Clause dédiée dans les CGU et la politique de confidentialité. Elle est distincte du consentement au traitement des données, et c'est tout l'enjeu : le consentement RGPD porte sur ce que l'application fait des données de l'utilisateur, la clause AI Act porte sur ce que l'utilisateur doit savoir de ce que l'application produit. Trois points à y faire figurer — la nature générée des propositions et leur faillibilité, l'exécution locale du modèle (aucun contenu transmis à un tiers, ce qui est un argument commercial autant qu'une mention légale), et la responsabilité éditoriale, qui reste celle de l'utilisateur sur le document final. Ce dernier point recoupe une clause déjà présente dans les CGU (§ 2.6) : il s'agit de l'étendre explicitement aux contenus générés, pas d'en écrire une nouvelle.</w:t>
      </w:r>
    </w:p>
    <w:p>
      <w:pPr>
        <w:pStyle w:val="BodyText"/>
      </w:pPr>
      <w:r>
        <w:t>Un quatrième point figure dans le règlement sans concerner le projet, et le dire vaut mieux que l'omettre : l'obligation de filigrane techniquement détectable sur les contenus générés vise les systèmes qui produisent du contenu de synthèse destiné à circuler — image, audio, vidéo, texte publié. HelpMeDraft produit des propositions que l'utilisateur modifie et intègre à son propre document avant toute diffusion ; le contenu livré n'est pas un contenu de synthèse au sens du règlement. Le marquage visible et l'information, eux, s'appliquent bien, et ce sont les trois compléments ci-dessus.</w:t>
      </w:r>
    </w:p>
    <w:p>
      <w:pPr>
        <w:numPr>
          <w:ilvl w:val="0"/>
          <w:numId w:val="2025"/>
        </w:numPr>
        <w:pStyle w:val="Compact"/>
      </w:pPr>
      <w:r>
        <w:t xml:space="preserve">une</w:t>
      </w:r>
      <w:r>
        <w:t xml:space="preserve"> </w:t>
      </w:r>
      <w:r>
        <w:rPr>
          <w:bCs/>
          <w:b/>
        </w:rPr>
        <w:t xml:space="preserve">mention d'information non ambiguë</w:t>
      </w:r>
      <w:r>
        <w:t xml:space="preserve"> </w:t>
      </w:r>
      <w:r>
        <w:t xml:space="preserve">au premier usage de l'assistant, et non seulement un titre de panneau ;</w:t>
      </w:r>
    </w:p>
    <w:p>
      <w:pPr>
        <w:numPr>
          <w:ilvl w:val="0"/>
          <w:numId w:val="2025"/>
        </w:numPr>
        <w:pStyle w:val="Compact"/>
      </w:pPr>
      <w:r>
        <w:t xml:space="preserve">une</w:t>
      </w:r>
      <w:r>
        <w:t xml:space="preserve"> </w:t>
      </w:r>
      <w:r>
        <w:rPr>
          <w:bCs/>
          <w:b/>
        </w:rPr>
        <w:t xml:space="preserve">trace des passages issus d'une génération</w:t>
      </w:r>
      <w:r>
        <w:t xml:space="preserve"> </w:t>
      </w:r>
      <w:r>
        <w:t xml:space="preserve">dans le document — la table</w:t>
      </w:r>
      <w:r>
        <w:t xml:space="preserve"> </w:t>
      </w:r>
      <w:r>
        <w:rPr>
          <w:rStyle w:val="VerbatimChar"/>
        </w:rPr>
        <w:t xml:space="preserve">ia</w:t>
      </w:r>
      <w:r>
        <w:t xml:space="preserve"> </w:t>
      </w:r>
      <w:r>
        <w:t xml:space="preserve">conserve déjà l'information côté base (§ 5.4.4), il reste à l'exposer côté interface ;</w:t>
      </w:r>
    </w:p>
    <w:p>
      <w:pPr>
        <w:numPr>
          <w:ilvl w:val="0"/>
          <w:numId w:val="2025"/>
        </w:numPr>
        <w:pStyle w:val="Compact"/>
      </w:pPr>
      <w:r>
        <w:t xml:space="preserve">une</w:t>
      </w:r>
      <w:r>
        <w:t xml:space="preserve"> </w:t>
      </w:r>
      <w:r>
        <w:rPr>
          <w:bCs/>
          <w:b/>
        </w:rPr>
        <w:t xml:space="preserve">clause dédiée</w:t>
      </w:r>
      <w:r>
        <w:t xml:space="preserve"> </w:t>
      </w:r>
      <w:r>
        <w:t xml:space="preserve">dans les CGU et la politique de confidentialité, distincte du consentement au traitement des données.</w:t>
      </w:r>
    </w:p>
    <w:p>
      <w:pPr>
        <w:pStyle w:val="FirstParagraph"/>
      </w:pPr>
      <w:r>
        <w:t xml:space="preserve">Cette entrée est celle qui justifie le mieux la veille comme livrable.</w:t>
      </w:r>
      <w:r>
        <w:t xml:space="preserve"> </w:t>
      </w:r>
      <w:r>
        <w:rPr>
          <w:bCs/>
          <w:b/>
        </w:rPr>
        <w:t xml:space="preserve">Le cahier des charges a été rédigé avant l'entrée en application du règlement et ne mentionne que le RGPD.</w:t>
      </w:r>
      <w:r>
        <w:t xml:space="preserve"> </w:t>
      </w:r>
      <w:r>
        <w:t xml:space="preserve">Une exigence réglementaire peut donc apparaître</w:t>
      </w:r>
      <w:r>
        <w:t xml:space="preserve"> </w:t>
      </w:r>
      <w:r>
        <w:rPr>
          <w:iCs/>
          <w:i/>
        </w:rPr>
        <w:t xml:space="preserve">pendant</w:t>
      </w:r>
      <w:r>
        <w:t xml:space="preserve"> </w:t>
      </w:r>
      <w:r>
        <w:t xml:space="preserve">un projet, sans que le commanditaire l'ait anticipée ni que le développeur en soit informé autrement que par sa propre veille. Sans ce suivi, l'application aurait été livrée non conforme à une obligation entrée en vigueur trois semaines avant la fin du développement.</w:t>
      </w:r>
    </w:p>
    <w:bookmarkEnd w:id="145"/>
    <w:bookmarkStart w:id="146" w:name="X0d3bb18a8de658abc7319f37ebc9ef8363f8570"/>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 xml:space="preserve">Le RGAA 4.1.2 reste en vigueur, les déclarations publiées avant la sortie de la version 5 restent valides 18 mois, et la nouvelle version « précise ou complète » les critères sans les infirmer. L'audit d'accessibilité restant à réaliser (§ 5.1.4, § 9.7)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 xml:space="preserve">Vérifier le code d'une dépendance ne suffit pas si l'on ne maîtrise pas la version effectivement installée. Le fichier de verrouillage devient un artefact de sécurité (§ 4.4).</w:t>
      </w:r>
    </w:p>
    <w:p>
      <w:pPr>
        <w:numPr>
          <w:ilvl w:val="0"/>
          <w:numId w:val="2026"/>
        </w:numPr>
      </w:pPr>
      <w:r>
        <w:rPr>
          <w:bCs/>
          <w:b/>
        </w:rPr>
        <w:t xml:space="preserve">Une brique de sécurité se maintient comme le reste.</w:t>
      </w:r>
      <w:r>
        <w:t xml:space="preserve"> </w:t>
      </w:r>
      <w:r>
        <w:t xml:space="preserve">DOMPurify corrige une faille et en introduit une autre ; seule la défense en profondeur reste stable dans le temps (§ 7.1.2).</w:t>
      </w:r>
    </w:p>
    <w:p>
      <w:pPr>
        <w:numPr>
          <w:ilvl w:val="0"/>
          <w:numId w:val="2026"/>
        </w:numPr>
      </w:pPr>
      <w:r>
        <w:rPr>
          <w:bCs/>
          <w:b/>
        </w:rPr>
        <w:t xml:space="preserve">Le cadre réglementaire bouge pendant le projet.</w:t>
      </w:r>
      <w:r>
        <w:t xml:space="preserve"> </w:t>
      </w:r>
      <w:r>
        <w:t xml:space="preserve">Un cahier des charges n'est pas un contrat figé face au droit : il faut y confronter l'actualité normative, pas seulement les spécifications d'origine (§ 2.4).</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417" w:right="1417" w:bottom="1417" w:left="1417" w:header="708" w:footer="708" w:gutter="0"/>
          <w:pgNumType w:start="0"/>
          <w:cols w:space="708"/>
          <w:titlePg/>
          <w:docGrid w:linePitch="360"/>
        </w:sectPr>
      </w:pPr>
    </w:p>
    <w:p w14:paraId="598335ED" w14:textId="7A402884" w:rsidR="003A2DEC" w:rsidRPr="003A2DEC" w:rsidRDefault="003A2DEC" w:rsidP="003A2DEC">
      <w:pPr>
        <w:pStyle w:val="Paragraphedeliste"/>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 xml:space="preserve">L'écran de création (C-07) ne montre pas l'indicateur d'enregistrement automatique : le document est vierge, le titre est vide, et le mécanisme ne s'arme qu'à partir d'un titre valide. La fonctionnalité est bien présente (§ 7.1.2)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xml:space="preserve">, sept tables, MySQL 8) est versionné dans le dépôt ; ses extraits significatifs figurent en § 5.5.2. Le script de</w:t>
      </w:r>
      <w:r>
        <w:t xml:space="preserve"> </w:t>
      </w:r>
      <w:r>
        <w:rPr>
          <w:bCs/>
          <w:b/>
        </w:rPr>
        <w:t xml:space="preserve">migration</w:t>
      </w:r>
      <w:r>
        <w:t xml:space="preserve"> </w:t>
      </w:r>
      <w:r>
        <w:t xml:space="preserve">est reproduit ici intégralement, car l'ordre de ses opérations porte un raisonnement (§ 5.5.3).</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xml:space="preserve">— figure en § 6.4 et n'est pas répété ici.</w:t>
      </w:r>
    </w:p>
    <w:bookmarkEnd w:id="156"/>
    <w:bookmarkEnd w:id="157"/>
    <w:sectPr w:rsidR="00E93063" w:rsidSect="00B1648B">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