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3</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5</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6</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7</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10</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10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12</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14</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20</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27</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28</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30</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39</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43</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47</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50</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75</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79</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80</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85</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88</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xml:space="preserve">§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xml:space="preserve">§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xml:space="preserve">§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xml:space="preserve">§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xml:space="preserve">§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xml:space="preserve">§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xml:space="preserve">§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xml:space="preserve">§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xml:space="preserve">§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xml:space="preserve">§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xml:space="preserve">§ 6</w:t>
            </w:r>
          </w:p>
        </w:tc>
      </w:tr>
    </w:tbl>
    <w:p>
      <w:pPr>
        <w:pStyle w:val="BodyText"/>
      </w:pPr>
      <w:r>
        <w:rPr>
          <w:bCs/>
          <w:b/>
        </w:rPr>
        <w:t xml:space="preserve">Compétences transversales</w:t>
      </w:r>
      <w:r>
        <w:t xml:space="preserve"> </w:t>
      </w:r>
      <w:r>
        <w:t xml:space="preserve">—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Heading2"/>
      </w:pPr>
      <w:r>
        <w:t xml:space="preserve">2.1. 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Heading2"/>
      </w:pPr>
      <w:r>
        <w:t xml:space="preserve">2.2. 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Heading2"/>
      </w:pPr>
      <w:r>
        <w:t xml:space="preserve">2.3. 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Heading2"/>
      </w:pPr>
      <w:r>
        <w:t xml:space="preserve">2.4. 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xml:space="preserve">, s'est ajoutée en cours de projet : les obligations de transparence de l'AI Act, applicables depuis le 2 août 2026 (§ 11).</w:t>
      </w:r>
    </w:p>
    <w:bookmarkEnd w:id="25"/>
    <w:bookmarkStart w:id="26" w:name="Xd05cc1879bab2903b908698afdb19b362a69363"/>
    <w:p>
      <w:pPr>
        <w:pStyle w:val="Heading2"/>
      </w:pPr>
      <w:r>
        <w:t xml:space="preserve">2.5. 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 xml:space="preserve">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Heading2"/>
      </w:pPr>
      <w:r>
        <w:t xml:space="preserve">2.6. 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Heading2"/>
      </w:pPr>
      <w:r>
        <w:t xml:space="preserve">3.1. 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Heading2"/>
      </w:pPr>
      <w:r>
        <w:t xml:space="preserve">3.2. 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Heading2"/>
      </w:pPr>
      <w:r>
        <w:t xml:space="preserve">4.1. 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Heading2"/>
      </w:pPr>
      <w:r>
        <w:t xml:space="preserve">4.2. 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 xml:space="preserve">Terminé (§ 8)</w:t>
            </w:r>
          </w:p>
        </w:tc>
      </w:tr>
      <w:tr>
        <w:tc>
          <w:tcPr/>
          <w:p>
            <w:pPr>
              <w:pStyle w:val="Compact"/>
              <w:jc w:val="left"/>
            </w:pPr>
            <w:r>
              <w:t xml:space="preserve">Journal de veille</w:t>
            </w:r>
          </w:p>
        </w:tc>
        <w:tc>
          <w:tcPr/>
          <w:p>
            <w:pPr>
              <w:pStyle w:val="Compact"/>
              <w:jc w:val="left"/>
            </w:pPr>
            <w:r>
              <w:t xml:space="preserve">Terminé (§ 11)</w:t>
            </w:r>
          </w:p>
        </w:tc>
      </w:tr>
      <w:tr>
        <w:tc>
          <w:tcPr/>
          <w:p>
            <w:pPr>
              <w:pStyle w:val="Compact"/>
              <w:jc w:val="left"/>
            </w:pPr>
            <w:r>
              <w:t xml:space="preserve">Mise à niveau des dépendances issue de la veille</w:t>
            </w:r>
          </w:p>
        </w:tc>
        <w:tc>
          <w:tcPr/>
          <w:p>
            <w:pPr>
              <w:pStyle w:val="Compact"/>
              <w:jc w:val="left"/>
            </w:pPr>
            <w:r>
              <w:t>Terminée (§ 11.5) — DOMPurify 3.4.16, Ollama 0.35.1</w:t>
            </w:r>
          </w:p>
        </w:tc>
      </w:tr>
      <w:tr>
        <w:tc>
          <w:tcPr/>
          <w:p>
            <w:pPr>
              <w:pStyle w:val="Compact"/>
              <w:jc w:val="left"/>
            </w:pPr>
            <w:r>
              <w:t xml:space="preserve">Mention de transparence IA (AI Act)</w:t>
            </w:r>
          </w:p>
        </w:tc>
        <w:tc>
          <w:tcPr/>
          <w:p>
            <w:pPr>
              <w:pStyle w:val="Compact"/>
              <w:jc w:val="left"/>
            </w:pPr>
            <w:r>
              <w:t xml:space="preserve">À faire (§ 11.4)</w:t>
            </w:r>
          </w:p>
        </w:tc>
      </w:tr>
      <w:tr>
        <w:tc>
          <w:tcPr/>
          <w:p>
            <w:pPr>
              <w:pStyle w:val="Compact"/>
              <w:jc w:val="left"/>
            </w:pPr>
            <w:r>
              <w:t xml:space="preserve">Plan de tests et jeu d'essai</w:t>
            </w:r>
          </w:p>
        </w:tc>
        <w:tc>
          <w:tcPr/>
          <w:p>
            <w:pPr>
              <w:pStyle w:val="Compact"/>
              <w:jc w:val="left"/>
            </w:pPr>
            <w:r>
              <w:t xml:space="preserve">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9.8)</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9.7)</w:t>
            </w:r>
          </w:p>
        </w:tc>
      </w:tr>
    </w:tbl>
    <w:bookmarkEnd w:id="33"/>
    <w:bookmarkStart w:id="34" w:name="X40a503b0cc59f2508bed4ac11a21206d9a9e273"/>
    <w:p>
      <w:pPr>
        <w:pStyle w:val="Heading2"/>
      </w:pPr>
      <w:r>
        <w:t xml:space="preserve">4.3. 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Heading2"/>
      </w:pPr>
      <w:r>
        <w:t xml:space="preserve">4.4. 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xml:space="preserve">(§ 11.3) a montré l'utilité : c'est lui qui permet de savoir, après coup et avec certitude, quelle version exacte d'une dépendance a été installée.</w:t>
      </w:r>
    </w:p>
    <w:bookmarkEnd w:id="35"/>
    <w:bookmarkStart w:id="36" w:name="X114670d3a61b9f61a74d3b84cdf89614e9bcd94"/>
    <w:p>
      <w:pPr>
        <w:pStyle w:val="Heading2"/>
      </w:pPr>
      <w:r>
        <w:t xml:space="preserve">4.5. 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xml:space="preserve">§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xml:space="preserve">§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xml:space="preserve">§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xml:space="preserve">§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xml:space="preserve">§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xml:space="preserve">§ 6</w:t>
            </w:r>
          </w:p>
        </w:tc>
      </w:tr>
    </w:tbl>
    <w:bookmarkEnd w:id="36"/>
    <w:bookmarkStart w:id="38" w:name="X888c3fba5dd05560a3140a9aa5ca8e21944a344"/>
    <w:p>
      <w:pPr>
        <w:pStyle w:val="Heading2"/>
      </w:pPr>
      <w:r>
        <w:t xml:space="preserve">4.6. 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 xml:space="preserve">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11.3),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xml:space="preserve">, au même titre qu'une route ou un modèle de données. Ils dérivent d'autant plus facilement qu'aucun test ne les couvre, et seule une relecture confrontée au cahier des charges les rattrape. C'est la raison d'être du cas de test TU-04 du § 9.3.1,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xml:space="preserve">.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Heading2"/>
      </w:pPr>
      <w:r>
        <w:t xml:space="preserve">5.0. 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Heading3"/>
      </w:pPr>
      <w:r>
        <w:t xml:space="preserve">5.1.1. 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Heading3"/>
      </w:pPr>
      <w:r>
        <w:t xml:space="preserve">5.1.2. 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 xml:space="preserve">Information de l'utilisateur sur la nature générée des propositions — partiellement couvert, complément identifié en § 11.4</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Heading3"/>
      </w:pPr>
      <w:r>
        <w:t xml:space="preserve">5.1.3. 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Heading3"/>
      </w:pPr>
      <w:r>
        <w:t xml:space="preserve">5.1.4. 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xml:space="preserve">(§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xml:space="preserve">(§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9.8)</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Heading3"/>
      </w:pPr>
      <w:r>
        <w:t xml:space="preserve">5.2.1. 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xml:space="preserve">). Cette règle, initialement implicite, est devenue une consigne explicite de déploiement après la publication de CVE-2026-7482 (§ 11.3).</w:t>
      </w:r>
    </w:p>
    <w:bookmarkEnd w:id="45"/>
    <w:bookmarkStart w:id="46" w:name="X8369aaa8dfc32272386751bf2a6c46ab26ba3d7"/>
    <w:p>
      <w:pPr>
        <w:pStyle w:val="Heading3"/>
      </w:pPr>
      <w:r>
        <w:t xml:space="preserve">5.2.2. 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xml:space="preserve">—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 xml:space="preserve">pour lire la configuration — est apportée en § 7.2.4.</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Heading3"/>
      </w:pPr>
      <w:r>
        <w:t xml:space="preserve">5.2.3. 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Heading3"/>
      </w:pPr>
      <w:r>
        <w:t xml:space="preserve">5.2.4. 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11.3).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 xml:space="preserve">de la bibliothèque d'assainissement — argument qui a pris du poids quand la veille a révélé une vulnérabilité dans DOMPurify elle-même (§ 11.3).</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Heading3"/>
      </w:pPr>
      <w:r>
        <w:t xml:space="preserve">5.2.5. 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Heading3"/>
      </w:pPr>
      <w:r>
        <w:t xml:space="preserve">5.3.1. Démarche de maquettage</w:t>
      </w:r>
    </w:p>
    <w:p>
      <w:pPr>
        <w:pStyle w:val="FirstParagraph"/>
      </w:pPr>
      <w:r>
        <w:t xml:space="preserve">Le dossier de maquettage s'est construit en trois temps : recensement des écrans nécessaires à partir du périmètre fonctionnel du cahier des charges (§ 2.3),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xml:space="preserve">: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5.3.2),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Heading3"/>
      </w:pPr>
      <w:r>
        <w:t xml:space="preserve">5.3.2. 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Heading3"/>
      </w:pPr>
      <w:r>
        <w:t xml:space="preserve">5.3.3. 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Heading3"/>
      </w:pPr>
      <w:r>
        <w:t xml:space="preserve">5.3.4. 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 xml:space="preserve">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 xml:space="preserve">du routeur double ce masquage, et le backend revérifie le rôle en base à chaque appel (§ 5.2.5).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Heading3"/>
      </w:pPr>
      <w:r>
        <w:t xml:space="preserve">5.3.5. Maquette de l'écran le plus représentatif : l'éditeur de document</w:t>
      </w:r>
    </w:p>
    <w:p>
      <w:pPr>
        <w:pStyle w:val="FirstParagraph"/>
      </w:pPr>
      <w:r>
        <w:t xml:space="preserve">L'éditeur est la fonctionnalité centrale du produit. Sa maquette (planche W-06) se décompose en cinq zones.</w:t>
      </w:r>
    </w:p>
    <w:p>
      <w:pPr>
        <w:pStyle w:val="SourceCode"/>
      </w:pPr>
      <w:r>
        <w:rPr>
          <w:rStyle w:val="VerbatimChar"/>
        </w:rPr>
        <w:t xml:space="preserve">┌───────────────────────────────────────────────────────────────┐</w:t>
      </w:r>
      <w:r>
        <w:br/>
      </w:r>
      <w:r>
        <w:rPr>
          <w:rStyle w:val="VerbatimChar"/>
        </w:rPr>
        <w:t xml:space="preserve">│  Nav                                        [utilisateur ▾]   │</w:t>
      </w:r>
      <w:r>
        <w:br/>
      </w:r>
      <w:r>
        <w:rPr>
          <w:rStyle w:val="VerbatimChar"/>
        </w:rPr>
        <w:t xml:space="preserve">├───────────────────────────────────────────────────────────────┤</w:t>
      </w:r>
      <w:r>
        <w:br/>
      </w:r>
      <w:r>
        <w:rPr>
          <w:rStyle w:val="VerbatimChar"/>
        </w:rPr>
        <w:t xml:space="preserve">│  ← Retour aux documents                                       │</w:t>
      </w:r>
      <w:r>
        <w:br/>
      </w:r>
      <w:r>
        <w:rPr>
          <w:rStyle w:val="VerbatimChar"/>
        </w:rPr>
        <w:t xml:space="preserve">│  [ NOUVEAU BROUILLON ]                                        │  ① en-tête</w:t>
      </w:r>
      <w:r>
        <w:br/>
      </w:r>
      <w:r>
        <w:rPr>
          <w:rStyle w:val="VerbatimChar"/>
        </w:rPr>
        <w:t xml:space="preserve">│  Titre du document.........   [Statut ▾]   [Dossier ▾]        │</w:t>
      </w:r>
      <w:r>
        <w:br/>
      </w:r>
      <w:r>
        <w:rPr>
          <w:rStyle w:val="VerbatimChar"/>
        </w:rPr>
        <w:t xml:space="preserve">│                              ✓ Enregistré automatiquement     │  ② état</w:t>
      </w:r>
      <w:r>
        <w:br/>
      </w:r>
      <w:r>
        <w:rPr>
          <w:rStyle w:val="VerbatimChar"/>
        </w:rPr>
        <w:t xml:space="preserve">├───────────────────────────────────────────────────────────────┤</w:t>
      </w:r>
      <w:r>
        <w:br/>
      </w:r>
      <w:r>
        <w:rPr>
          <w:rStyle w:val="VerbatimChar"/>
        </w:rPr>
        <w:t xml:space="preserve">│ G  I  S │ H1 H2 H3 │ •Liste 1.Liste │ Lien Code "Citation │   │  ③ barre</w:t>
      </w:r>
      <w:r>
        <w:br/>
      </w:r>
      <w:r>
        <w:rPr>
          <w:rStyle w:val="VerbatimChar"/>
        </w:rPr>
        <w:t xml:space="preserve">│         │          │                │  ✦ IA    ✓ Aperçu   │   │     d'outils</w:t>
      </w:r>
      <w:r>
        <w:br/>
      </w:r>
      <w:r>
        <w:rPr>
          <w:rStyle w:val="VerbatimChar"/>
        </w:rPr>
        <w:t xml:space="preserve">├────────────────────────────┬──────────────────────────────────┤</w:t>
      </w:r>
      <w:r>
        <w:br/>
      </w:r>
      <w:r>
        <w:rPr>
          <w:rStyle w:val="VerbatimChar"/>
        </w:rPr>
        <w:t xml:space="preserve">│                            │                                  │</w:t>
      </w:r>
      <w:r>
        <w:br/>
      </w:r>
      <w:r>
        <w:rPr>
          <w:rStyle w:val="VerbatimChar"/>
        </w:rPr>
        <w:t xml:space="preserve">│   Zone de saisie           │   Aperçu du rendu                │  ④ édition</w:t>
      </w:r>
      <w:r>
        <w:br/>
      </w:r>
      <w:r>
        <w:rPr>
          <w:rStyle w:val="VerbatimChar"/>
        </w:rPr>
        <w:t xml:space="preserve">│   Markdown                 │   (mise à jour en direct)        │</w:t>
      </w:r>
      <w:r>
        <w:br/>
      </w:r>
      <w:r>
        <w:rPr>
          <w:rStyle w:val="VerbatimChar"/>
        </w:rPr>
        <w:t xml:space="preserve">│   (CodeMirror 6)           │                                  │</w:t>
      </w:r>
      <w:r>
        <w:br/>
      </w:r>
      <w:r>
        <w:rPr>
          <w:rStyle w:val="VerbatimChar"/>
        </w:rPr>
        <w:t xml:space="preserve">│                            │                                  │</w:t>
      </w:r>
      <w:r>
        <w:br/>
      </w:r>
      <w:r>
        <w:rPr>
          <w:rStyle w:val="VerbatimChar"/>
        </w:rPr>
        <w:t xml:space="preserve">├────────────────────────────┴──────────────────────────────────┤</w:t>
      </w:r>
      <w:r>
        <w:br/>
      </w:r>
      <w:r>
        <w:rPr>
          <w:rStyle w:val="VerbatimChar"/>
        </w:rPr>
        <w:t xml:space="preserve">│                                  [ Annuler ]  [ Enregistrer ] │</w:t>
      </w:r>
      <w:r>
        <w:br/>
      </w:r>
      <w:r>
        <w:rPr>
          <w:rStyle w:val="VerbatimChar"/>
        </w:rPr>
        <w:t xml:space="preserve">├───────────────────────────────────────────────────────────────┤</w:t>
      </w:r>
      <w:r>
        <w:br/>
      </w:r>
      <w:r>
        <w:rPr>
          <w:rStyle w:val="VerbatimChar"/>
        </w:rPr>
        <w:t xml:space="preserve">│  Historique des interactions IA  ▾                            │  ⑤ historique</w:t>
      </w:r>
      <w:r>
        <w:br/>
      </w:r>
      <w:r>
        <w:rPr>
          <w:rStyle w:val="VerbatimChar"/>
        </w:rPr>
        <w:t xml:space="preserve">└───────────────────────────────────────────────────────────────┘</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xml:space="preserve">—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xml:space="preserve">—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 (§ 11.4).</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Heading3"/>
      </w:pPr>
      <w:r>
        <w:t xml:space="preserve">5.3.6. 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 xml:space="preserve">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5.1.4) ; il sera mené sur la version 4.1.2, en vigueur, la version 5 étant annoncée pour fin 2026 (§ 11.4).</w:t>
      </w:r>
    </w:p>
    <w:bookmarkEnd w:id="57"/>
    <w:bookmarkStart w:id="59" w:name="X4d114d2287c569a7764960a6f8a063ccff4af3a"/>
    <w:p>
      <w:pPr>
        <w:pStyle w:val="Heading3"/>
      </w:pPr>
      <w:r>
        <w:t xml:space="preserve">5.3.7. Index des planches</w:t>
      </w:r>
    </w:p>
    <w:p>
      <w:pPr>
        <w:pStyle w:val="FirstParagraph"/>
      </w:pPr>
      <w:r>
        <w:t xml:space="preserve">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Heading3"/>
      </w:pPr>
      <w:r>
        <w:t xml:space="preserve">5.4.1. Règles de gestion</w:t>
      </w:r>
    </w:p>
    <w:p>
      <w:pPr>
        <w:pStyle w:val="FirstParagraph"/>
      </w:pPr>
      <w:r>
        <w:t xml:space="preserve">Le modèle découle de huit règles de gestion, tirées du périmètre fonctionnel (§ 2.3) et des contraintes (§ 5.1.1)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Heading3"/>
      </w:pPr>
      <w:r>
        <w:t xml:space="preserve">5.4.2. 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Heading3"/>
      </w:pPr>
      <w:r>
        <w:t xml:space="preserve">5.4.3. 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xml:space="preserve">) invite à l'énumération, et même si chaque accès vérifie la propriété (§ 5.2.5),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 xml:space="preserve">du script MySQL (§ 5.5.2)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Heading3"/>
      </w:pPr>
      <w:r>
        <w:t xml:space="preserve">5.4.4. 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 xml:space="preserve">possible : sans état serveur, un JWT reste valide jusqu'à son expiration, quoi qu'il arrive. La rotation décrite en § 4.6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Heading3"/>
      </w:pPr>
      <w:r>
        <w:t xml:space="preserve">5.4.5. 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Heading3"/>
      </w:pPr>
      <w:r>
        <w:t xml:space="preserve">5.4.6. 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Heading3"/>
      </w:pPr>
      <w:r>
        <w:t xml:space="preserve">5.4.7. 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 xml:space="preserve">ajoutées dans le script MySQL (§ 5.5.2).</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 xml:space="preserve">comme valeur d'exemple, alors que l'inférence est locale et qu'aucune donnée n'est transmise à OpenAI (§ 5.2.4).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Heading3"/>
      </w:pPr>
      <w:r>
        <w:t xml:space="preserve">5.5.1. 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 xml:space="preserve">Création complète du schéma sur une base vierge (§ 5.5.2)</w:t>
            </w:r>
          </w:p>
        </w:tc>
      </w:tr>
      <w:tr>
        <w:tc>
          <w:tcPr/>
          <w:p>
            <w:pPr>
              <w:pStyle w:val="Compact"/>
              <w:jc w:val="left"/>
            </w:pPr>
            <w:r>
              <w:rPr>
                <w:rStyle w:val="VerbatimChar"/>
              </w:rPr>
              <w:t xml:space="preserve">migration_durcissement.sql</w:t>
            </w:r>
          </w:p>
        </w:tc>
        <w:tc>
          <w:tcPr/>
          <w:p>
            <w:pPr>
              <w:pStyle w:val="Compact"/>
              <w:jc w:val="left"/>
            </w:pPr>
            <w:r>
              <w:t xml:space="preserve">Passage d'une base existante au schéma durci (§ 5.5.3)</w:t>
            </w:r>
          </w:p>
        </w:tc>
      </w:tr>
    </w:tbl>
    <w:bookmarkEnd w:id="68"/>
    <w:bookmarkStart w:id="69" w:name="X3c9aca75c9d17f5626a50e0d181a3e726cb0229"/>
    <w:p>
      <w:pPr>
        <w:pStyle w:val="Heading3"/>
      </w:pPr>
      <w:r>
        <w:t xml:space="preserve">5.5.2. Script de création — MySQL 8</w:t>
      </w:r>
    </w:p>
    <w:p>
      <w:pPr>
        <w:pStyle w:val="FirstParagraph"/>
      </w:pPr>
      <w:r>
        <w:t xml:space="preserve">Le script complet est versionné dans le dépôt (</w:t>
      </w:r>
      <w:r>
        <w:rPr>
          <w:rStyle w:val="VerbatimChar"/>
        </w:rPr>
        <w:t xml:space="preserve">backend/database/schema_mysql.sql</w:t>
      </w:r>
      <w:r>
        <w:t xml:space="preserve">)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Heading3"/>
      </w:pPr>
      <w:r>
        <w:t xml:space="preserve">5.5.3. 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Heading3"/>
      </w:pPr>
      <w:r>
        <w:t xml:space="preserve">5.5.4. 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 xml:space="preserve">selon l'intention décrite en § 5.4.5,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Heading3"/>
      </w:pPr>
      <w:r>
        <w:t xml:space="preserve">5.6.1. 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Heading3"/>
      </w:pPr>
      <w:r>
        <w:t xml:space="preserve">5.6.2. 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Heading3"/>
      </w:pPr>
      <w:r>
        <w:t xml:space="preserve">5.6.3. 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xml:space="preserve">. C'est à la fois l'exigence de traçabilité du cahier des charges et le mécanisme même du quota : le comptage lit ce journal (§ 5.4.2).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 xml:space="preserve">L'extension, elle, est conditionnelle : l'enregistrement automatique se déclenche sous condition — un titre valide et un délai d'inactivité écoulé (§ 7.1.2).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Heading3"/>
      </w:pPr>
      <w:r>
        <w:t xml:space="preserve">5.6.4. Couverture du cahier des charges</w:t>
      </w:r>
    </w:p>
    <w:p>
      <w:pPr>
        <w:pStyle w:val="FirstParagraph"/>
      </w:pPr>
      <w:r>
        <w:t xml:space="preserve">Chaque fonctionnalité listée au cahier des charges (§ 2.3)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Heading3"/>
      </w:pPr>
      <w:r>
        <w:t xml:space="preserve">5.7.1. 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Heading3"/>
      </w:pPr>
      <w:r>
        <w:t xml:space="preserve">5.7.2. 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Heading3"/>
      </w:pPr>
      <w:r>
        <w:t xml:space="preserve">5.7.3. 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C'est l'application concrète de la règle de séparation des couches (§ 5.2.2)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 xml:space="preserve">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10.3) verrouille cette propriété.</w:t>
      </w:r>
    </w:p>
    <w:p w14:paraId="26C0E4E8" w14:textId="5E0E5454"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Heading2"/>
      </w:pPr>
      <w:r>
        <w:t xml:space="preserve">6.1. 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11.3).</w:t>
      </w:r>
    </w:p>
    <w:bookmarkEnd w:id="82"/>
    <w:bookmarkStart w:id="85" w:name="X4c9993feee0460b61edab6d627145bfb7242c12"/>
    <w:p>
      <w:pPr>
        <w:pStyle w:val="Heading2"/>
      </w:pPr>
      <w:r>
        <w:t xml:space="preserve">6.2. Pile applicative et dépendances</w:t>
      </w:r>
    </w:p>
    <w:bookmarkStart w:id="83" w:name="Xf3d9023f726e803abe5eab79db2bc0940dd961e"/>
    <w:p>
      <w:pPr>
        <w:pStyle w:val="Heading3"/>
      </w:pPr>
      <w:r>
        <w:t xml:space="preserve">6.2.1. 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xml:space="preserve">(§ 11.3), à l'installation involontaire d'une version compromise.</w:t>
      </w:r>
    </w:p>
    <w:bookmarkEnd w:id="83"/>
    <w:bookmarkStart w:id="84" w:name="Xaa5f8574cc346eda3fd354261493ca2989a397d"/>
    <w:p>
      <w:pPr>
        <w:pStyle w:val="Heading3"/>
      </w:pPr>
      <w:r>
        <w:t xml:space="preserve">6.2.2.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6.7)</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 xml:space="preserve">avant injection (§ 7.1.2)</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Heading2"/>
      </w:pPr>
      <w:r>
        <w:t xml:space="preserve">6.3. 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 xml:space="preserve">à la mise en production. Cette étape figure dans la liste de contrôle de déploiement (§ 6.6).</w:t>
      </w:r>
    </w:p>
    <w:bookmarkEnd w:id="86"/>
    <w:bookmarkStart w:id="87" w:name="Xb703d407babec277ce052cef14d98faeb56bd4c"/>
    <w:p>
      <w:pPr>
        <w:pStyle w:val="Heading2"/>
      </w:pPr>
      <w:r>
        <w:t xml:space="preserve">6.4. 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 xml:space="preserve">global. Ce motif permet d'instancier une application de test avec une configuration distincte, sans toucher au code de production — prérequis du plan de tests (§ 9.2).</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xml:space="preserve">,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p>
      <w:pPr>
        <w:pStyle w:val="Heading2"/>
      </w:pPr>
      <w:r>
        <w:t xml:space="preserve">6.5. Lancement en développement</w:t>
      </w:r>
    </w:p>
    <w:p>
      <w:pPr>
        <w:pStyle w:val="FirstParagraph"/>
      </w:pPr>
      <w:r>
        <w:t xml:space="preserve">Trois processus, dans trois terminaux :</w:t>
      </w:r>
    </w:p>
    <w:p>
      <w:pPr>
        <w:pStyle w:val="SourceCode"/>
      </w:pPr>
      <w:r>
        <w:rPr>
          <w:rStyle w:val="CommentTok"/>
        </w:rPr>
        <w:t># 1 — Moteur d'inférence</w:t>
        <w:br/>
        <w:t>ollama serve                       # http://localhost:11434</w:t>
        <w:br/>
        <w:br/>
        <w:t># 2 — Backend, depuis backend/, environnement virtuel activé</w:t>
        <w:br/>
        <w:t>python run.py                      # http://localhost:5000</w:t>
        <w:br/>
        <w:br/>
        <w:t># 3 — Frontend, depuis frontend/</w:t>
        <w:br/>
        <w:t>npm run dev                           # http://localhost:5173</w:t>
      </w:r>
    </w:p>
    <w:p>
      <w:pPr>
        <w:pStyle w:val="FirstParagraph"/>
      </w:pPr>
      <w:r>
        <w:t xml:space="preserve">Le backend doit être lancé</w:t>
      </w:r>
      <w:r>
        <w:t xml:space="preserve"> </w:t>
      </w:r>
      <w:r>
        <w:rPr>
          <w:bCs/>
          <w:b/>
        </w:rPr>
        <w:t xml:space="preserve">depuis le dossier</w:t>
      </w:r>
      <w:r>
        <w:rPr>
          <w:bCs/>
          <w:b/>
        </w:rPr>
        <w:t xml:space="preserve"> </w:t>
      </w:r>
      <w:r>
        <w:rPr>
          <w:rStyle w:val="VerbatimChar"/>
          <w:bCs/>
          <w:b/>
        </w:rPr>
        <w:t xml:space="preserve">backend/</w:t>
      </w:r>
      <w:r>
        <w:t xml:space="preserve"> </w:t>
      </w:r>
      <w:r>
        <w:t xml:space="preserve">: l'import de</w:t>
      </w:r>
      <w:r>
        <w:t xml:space="preserve"> </w:t>
      </w:r>
      <w:r>
        <w:rPr>
          <w:rStyle w:val="VerbatimChar"/>
        </w:rPr>
        <w:t xml:space="preserve">utilitaires</w:t>
      </w:r>
      <w:r>
        <w:t xml:space="preserve"> </w:t>
      </w:r>
      <w:r>
        <w:t xml:space="preserve">et le chemin de la base SQLite sont relatifs au répertoire courant. C'est une fragilité connue, héritée d'un choix de structure ; la conteneurisation la supprimera en fixant le répertoire de travail dans l'image.</w:t>
      </w:r>
    </w:p>
    <w:p>
      <w:pPr>
        <w:pStyle w:val="BodyText"/>
      </w:pPr>
      <w:r>
        <w:t xml:space="preserve">Les tables sont créées automatiquement au premier import du module de persistance : aucune migration à lancer en développement.</w:t>
      </w:r>
    </w:p>
    <w:bookmarkEnd w:id="88"/>
    <w:bookmarkStart w:id="89" w:name="Xd1095e60733dbbf5c9c8b2c195c2b19f7df47a2"/>
    <w:p>
      <w:pPr>
        <w:pStyle w:val="Heading2"/>
      </w:pPr>
      <w:r>
        <w:t xml:space="preserve">6.6. Déploiement et industrialisation</w:t>
      </w:r>
    </w:p>
    <w:p>
      <w:pPr>
        <w:pStyle w:val="FirstParagraph"/>
      </w:pPr>
      <w:r>
        <w:t>La conteneurisation et l'intégration continue sont en place depuis le 4 octobre ; seul le déploiement proprement dit reste à faire (§ 4.2).</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6.1).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11.3).</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11.3)</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Heading2"/>
      </w:pPr>
      <w:r>
        <w:t xml:space="preserve">6.7. 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 xml:space="preserve">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Heading3"/>
      </w:pPr>
      <w:r>
        <w:t xml:space="preserve">7.1.1. Le tableau de bord (capture C-05)</w:t>
      </w:r>
    </w:p>
    <w:p>
      <w:pPr>
        <w:pStyle w:val="Figure"/>
        <w:jc w:val="center"/>
      </w:pPr>
      <w:r>
        <w:drawing>
          <wp:inline xmlns:a="http://schemas.openxmlformats.org/drawingml/2006/main" xmlns:pic="http://schemas.openxmlformats.org/drawingml/2006/picture">
            <wp:extent cx="4860000" cy="5089190"/>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4860000" cy="5089190"/>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Heading3"/>
      </w:pPr>
      <w:r>
        <w:t xml:space="preserve">7.1.2. L'éditeur de document (capture C-07)</w:t>
      </w:r>
    </w:p>
    <w:p>
      <w:pPr>
        <w:pStyle w:val="Figure"/>
        <w:jc w:val="center"/>
      </w:pPr>
      <w:r>
        <w:drawing>
          <wp:inline xmlns:a="http://schemas.openxmlformats.org/drawingml/2006/main" xmlns:pic="http://schemas.openxmlformats.org/drawingml/2006/picture">
            <wp:extent cx="4860000" cy="3737557"/>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860000" cy="3737557"/>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 xml:space="preserve">L'exigence du cahier des charges (§ 2.3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xml:space="preserve">) afin que son apparition ne décale pas le contenu. Le comportement est vérifié par le cas fonctionnel TF-06 (§ 9.5).</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 xml:space="preserve">Une réserve, issue de la veille (§ 11.3)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xml:space="preserve">, indépendante de cette bibliothèque. Les cas TU-19 (§ 9.3.4) et TS-01 (§ 9.6)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Heading3"/>
      </w:pPr>
      <w:r>
        <w:t xml:space="preserve">7.2.1. Politique de mot de passe et hachage</w:t>
      </w:r>
    </w:p>
    <w:p>
      <w:pPr>
        <w:pStyle w:val="SourceCode"/>
      </w:pPr>
      <w:r>
        <w:rPr>
          <w:rStyle w:val="CommentTok"/>
        </w:rPr>
        <w:t xml:space="preserve"># backend/app/services/auth_service.py</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bcrypt.gensalt() génère un sel aléatoire à chaque appel : deux</w:t>
      </w:r>
      <w:r>
        <w:br/>
      </w:r>
      <w:r>
        <w:rPr>
          <w:rStyle w:val="NormalTok"/>
        </w:rPr>
        <w:t xml:space="preserve">    </w:t>
      </w:r>
      <w:r>
        <w:rPr>
          <w:rStyle w:val="CommentTok"/>
        </w:rPr>
        <w:t xml:space="preserve"># utilisateurs ayant le même mot de passe n'ont pas la même empreinte.</w:t>
      </w:r>
      <w:r>
        <w:br/>
      </w:r>
      <w:r>
        <w:rPr>
          <w:rStyle w:val="NormalTok"/>
        </w:rPr>
        <w:t xml:space="preserve">    </w:t>
      </w:r>
      <w:r>
        <w:rPr>
          <w:rStyle w:val="CommentTok"/>
        </w:rPr>
        <w:t xml:space="preserve"># Le sel est stocké dans l'empreinte elle-même, rien à gérer à côté.</w:t>
      </w:r>
      <w:r>
        <w:br/>
      </w:r>
      <w:r>
        <w:rPr>
          <w:rStyle w:val="NormalTok"/>
        </w:rPr>
        <w:t xml:space="preserve">    </w:t>
      </w:r>
      <w:r>
        <w:rPr>
          <w:rStyle w:val="ControlFlowTok"/>
        </w:rPr>
        <w:t xml:space="preserve">return</w:t>
      </w:r>
      <w:r>
        <w:rPr>
          <w:rStyle w:val="NormalTok"/>
        </w:rPr>
        <w:t xml:space="preserve"> bcrypt.hashpw(plain_password.encode(</w:t>
      </w:r>
      <w:r>
        <w:rPr>
          <w:rStyle w:val="StringTok"/>
        </w:rPr>
        <w:t xml:space="preserve">"utf-8"</w:t>
      </w:r>
      <w:r>
        <w:rPr>
          <w:rStyle w:val="NormalTok"/>
        </w:rPr>
        <w:t xml:space="preserve">), bcrypt.gensalt()).decode(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xml:space="preserve">, ce qui est exactement le défaut recherché par une attaque par force brute. bcrypt est délibérément lente et son coût est paramétrable, ce qui la rend adaptée aux mots de passe. C'est l'inverse du raisonnement appliqué aux jetons (§ 7.2.2),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Heading3"/>
      </w:pPr>
      <w:r>
        <w:t xml:space="preserve">7.2.2. 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SourceCode"/>
      </w:pP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64 octets aléatoires : la valeur n'est pas devinable, et n'a donc pas</w:t>
      </w:r>
      <w:r>
        <w:br/>
      </w:r>
      <w:r>
        <w:rPr>
          <w:rStyle w:val="NormalTok"/>
        </w:rPr>
        <w:t xml:space="preserve">    </w:t>
      </w:r>
      <w:r>
        <w:rPr>
          <w:rStyle w:val="CommentTok"/>
        </w:rPr>
        <w:t xml:space="preserve"># besoin d'être salée — contrairement à un mot de passe choisi par un humain.</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mmentTok"/>
        </w:rPr>
        <w:t xml:space="preserve"># Le jeton existe mais a DÉJÀ été consommé : deux porteurs pour un</w:t>
      </w:r>
      <w:r>
        <w:br/>
      </w:r>
      <w:r>
        <w:rPr>
          <w:rStyle w:val="NormalTok"/>
        </w:rPr>
        <w:t xml:space="preserve">        </w:t>
      </w:r>
      <w:r>
        <w:rPr>
          <w:rStyle w:val="CommentTok"/>
        </w:rPr>
        <w:t xml:space="preserve"># jeton à usage unique. On considère le compte compromis et on coupe</w:t>
      </w:r>
      <w:r>
        <w:br/>
      </w:r>
      <w:r>
        <w:rPr>
          <w:rStyle w:val="NormalTok"/>
        </w:rPr>
        <w:t xml:space="preserve">        </w:t>
      </w:r>
      <w:r>
        <w:rPr>
          <w:rStyle w:val="CommentTok"/>
        </w:rPr>
        <w:t xml:space="preserve"># tout, plutôt que de refuser silencieusement cette seule requête.</w:t>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l'ancien jeton est consommé</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 </w:t>
      </w:r>
      <w:r>
        <w:rPr>
          <w:rStyle w:val="OperatorTok"/>
        </w:rPr>
        <w:t xml:space="preserve">+</w:t>
      </w:r>
      <w:r>
        <w:rPr>
          <w:rStyle w:val="NormalTok"/>
        </w:rPr>
        <w:t xml:space="preserve"> 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xml:space="preserve">) sans purge automatique. Elle croît donc d'une ligne par rafraîchissement, soit potentiellement plusieurs centaines par utilisateur et par semaine. Une tâche de purge des lignes révoquées et expirées reste à écrire ; elle figure dans les compléments identifiés en § 8.11.</w:t>
      </w:r>
    </w:p>
    <w:bookmarkEnd w:id="95"/>
    <w:bookmarkStart w:id="96" w:name="Xf51a3d54257a64be7b49ee3b176b6ccd9b4c4ad"/>
    <w:p>
      <w:pPr>
        <w:pStyle w:val="Heading3"/>
      </w:pPr>
      <w:r>
        <w:t xml:space="preserve">7.2.3.</w:t>
      </w:r>
      <w:r>
        <w:t xml:space="preserve"> </w:t>
      </w:r>
      <w:r>
        <w:rPr>
          <w:rStyle w:val="VerbatimChar"/>
        </w:rPr>
        <w:t xml:space="preserve">ia_service</w:t>
      </w:r>
      <w:r>
        <w:t xml:space="preserve"> </w:t>
      </w:r>
      <w:r>
        <w:t xml:space="preserve">: prompts et appel au modèle</w:t>
      </w:r>
    </w:p>
    <w:p>
      <w:pPr>
        <w:pStyle w:val="SourceCode"/>
      </w:pPr>
      <w:r>
        <w:rPr>
          <w:rStyle w:val="CommentTok"/>
        </w:rPr>
        <w:t xml:space="preserve"># backend/app/services/ia_service.py</w:t>
      </w:r>
      <w:r>
        <w:br/>
      </w:r>
      <w:r>
        <w:rPr>
          <w:rStyle w:val="NormalTok"/>
        </w:rPr>
        <w:t xml:space="preserve">PROMPT_TEMPLATES </w:t>
      </w:r>
      <w:r>
        <w:rPr>
          <w:rStyle w:val="OperatorTok"/>
        </w:rPr>
        <w:t xml:space="preserve">=</w:t>
      </w:r>
      <w:r>
        <w:rPr>
          <w:rStyle w:val="NormalTok"/>
        </w:rPr>
        <w:t xml:space="preserve"> {</w:t>
      </w:r>
      <w:r>
        <w:br/>
      </w:r>
      <w:r>
        <w:rPr>
          <w:rStyle w:val="NormalTok"/>
        </w:rPr>
        <w:t xml:space="preserve">    </w:t>
      </w:r>
      <w:r>
        <w:rPr>
          <w:rStyle w:val="StringTok"/>
        </w:rPr>
        <w:t xml:space="preserve">"reformuler"</w:t>
      </w:r>
      <w:r>
        <w:rPr>
          <w:rStyle w:val="NormalTok"/>
        </w:rPr>
        <w:t xml:space="preserve">: (</w:t>
      </w:r>
      <w:r>
        <w:br/>
      </w:r>
      <w:r>
        <w:rPr>
          <w:rStyle w:val="NormalTok"/>
        </w:rPr>
        <w:t xml:space="preserve">        </w:t>
      </w:r>
      <w:r>
        <w:rPr>
          <w:rStyle w:val="StringTok"/>
        </w:rPr>
        <w:t xml:space="preserve">"Tu es un assistant de rédaction de documents professionnels. "</w:t>
      </w:r>
      <w:r>
        <w:br/>
      </w:r>
      <w:r>
        <w:rPr>
          <w:rStyle w:val="NormalTok"/>
        </w:rPr>
        <w:t xml:space="preserve">        </w:t>
      </w:r>
      <w:r>
        <w:rPr>
          <w:rStyle w:val="StringTok"/>
        </w:rPr>
        <w:t xml:space="preserve">"Reformule le texte suivant pour le rendre plus clair et plus professionnel, "</w:t>
      </w:r>
      <w:r>
        <w:br/>
      </w:r>
      <w:r>
        <w:rPr>
          <w:rStyle w:val="NormalTok"/>
        </w:rPr>
        <w:t xml:space="preserve">        </w:t>
      </w:r>
      <w:r>
        <w:rPr>
          <w:rStyle w:val="StringTok"/>
        </w:rPr>
        <w:t xml:space="preserve">"sans changer son sens ni ajouter d'informations nouvelles. "</w:t>
      </w:r>
      <w:r>
        <w:br/>
      </w:r>
      <w:r>
        <w:rPr>
          <w:rStyle w:val="NormalTok"/>
        </w:rPr>
        <w:t xml:space="preserve">        </w:t>
      </w:r>
      <w:r>
        <w:rPr>
          <w:rStyle w:val="StringTok"/>
        </w:rPr>
        <w:t xml:space="preserve">"Réponds uniquement avec le texte reformulé, sans commentaire ni introduction.</w:t>
      </w:r>
      <w:r>
        <w:rPr>
          <w:rStyle w:val="CharTok"/>
        </w:rPr>
        <w:t xml:space="preserve">\n\n</w:t>
      </w:r>
      <w:r>
        <w:rPr>
          <w:rStyle w:val="StringTok"/>
        </w:rPr>
        <w:t xml:space="preserve">"</w:t>
      </w:r>
      <w:r>
        <w:br/>
      </w:r>
      <w:r>
        <w:rPr>
          <w:rStyle w:val="NormalTok"/>
        </w:rPr>
        <w:t xml:space="preserve">        </w:t>
      </w:r>
      <w:r>
        <w:rPr>
          <w:rStyle w:val="StringTok"/>
        </w:rPr>
        <w:t xml:space="preserve">"Texte à reformuler :</w:t>
      </w:r>
      <w:r>
        <w:rPr>
          <w:rStyle w:val="CharTok"/>
        </w:rPr>
        <w:t xml:space="preserve">\n</w:t>
      </w:r>
      <w:r>
        <w:rPr>
          <w:rStyle w:val="SpecialCharTok"/>
        </w:rPr>
        <w:t xml:space="preserve">{contenu}</w:t>
      </w:r>
      <w:r>
        <w:rPr>
          <w:rStyle w:val="StringTok"/>
        </w:rPr>
        <w:t xml:space="preserve">"</w:t>
      </w:r>
      <w:r>
        <w:br/>
      </w:r>
      <w:r>
        <w:rPr>
          <w:rStyle w:val="NormalTok"/>
        </w:rPr>
        <w:t xml:space="preserve">    ),</w:t>
      </w:r>
      <w:r>
        <w:br/>
      </w:r>
      <w:r>
        <w:rPr>
          <w:rStyle w:val="NormalTok"/>
        </w:rPr>
        <w:t xml:space="preserve">    </w:t>
      </w:r>
      <w:r>
        <w:rPr>
          <w:rStyle w:val="StringTok"/>
        </w:rPr>
        <w:t xml:space="preserve">"corriger"</w:t>
      </w:r>
      <w:r>
        <w:rPr>
          <w:rStyle w:val="NormalTok"/>
        </w:rPr>
        <w:t xml:space="preserve">: (...),</w:t>
      </w:r>
      <w:r>
        <w:br/>
      </w:r>
      <w:r>
        <w:rPr>
          <w:rStyle w:val="NormalTok"/>
        </w:rPr>
        <w:t xml:space="preserve">    </w:t>
      </w:r>
      <w:r>
        <w:rPr>
          <w:rStyle w:val="StringTok"/>
        </w:rPr>
        <w:t xml:space="preserve">"completer"</w:t>
      </w:r>
      <w:r>
        <w:rPr>
          <w:rStyle w:val="NormalTok"/>
        </w:rPr>
        <w:t xml:space="preserve">: (...),</w:t>
      </w:r>
      <w:r>
        <w:br/>
      </w:r>
      <w:r>
        <w:rPr>
          <w:rStyle w:val="NormalTok"/>
        </w:rPr>
        <w:t xml:space="preserve">}</w:t>
      </w:r>
      <w:r>
        <w:br/>
      </w:r>
      <w:r>
        <w:br/>
      </w:r>
      <w:r>
        <w:br/>
      </w:r>
      <w:r>
        <w:rPr>
          <w:rStyle w:val="KeywordTok"/>
        </w:rPr>
        <w:t xml:space="preserve">def</w:t>
      </w:r>
      <w:r>
        <w:rPr>
          <w:rStyle w:val="NormalTok"/>
        </w:rPr>
        <w:t xml:space="preserve"> build_prompt(type_action: </w:t>
      </w:r>
      <w:r>
        <w:rPr>
          <w:rStyle w:val="BuiltInTok"/>
        </w:rPr>
        <w:t xml:space="preserve">str</w:t>
      </w:r>
      <w:r>
        <w:rPr>
          <w:rStyle w:val="NormalTok"/>
        </w:rPr>
        <w:t xml:space="preserve">, contenu: </w:t>
      </w:r>
      <w:r>
        <w:rPr>
          <w:rStyle w:val="BuiltInTok"/>
        </w:rPr>
        <w:t xml:space="preserve">str</w:t>
      </w:r>
      <w:r>
        <w:rPr>
          <w:rStyle w:val="NormalTok"/>
        </w:rPr>
        <w:t xml:space="preserve">, instructions: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template </w:t>
      </w:r>
      <w:r>
        <w:rPr>
          <w:rStyle w:val="OperatorTok"/>
        </w:rPr>
        <w:t xml:space="preserve">=</w:t>
      </w:r>
      <w:r>
        <w:rPr>
          <w:rStyle w:val="NormalTok"/>
        </w:rPr>
        <w:t xml:space="preserve"> PROMPT_TEMPLATES.get(type_action)</w:t>
      </w:r>
      <w:r>
        <w:br/>
      </w:r>
      <w:r>
        <w:rPr>
          <w:rStyle w:val="NormalTok"/>
        </w:rPr>
        <w:t xml:space="preserve">    </w:t>
      </w:r>
      <w:r>
        <w:rPr>
          <w:rStyle w:val="ControlFlowTok"/>
        </w:rPr>
        <w:t xml:space="preserve">if</w:t>
      </w:r>
      <w:r>
        <w:rPr>
          <w:rStyle w:val="NormalTok"/>
        </w:rPr>
        <w:t xml:space="preserve"> template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f"Type d'action inconnu: </w:t>
      </w:r>
      <w:r>
        <w:rPr>
          <w:rStyle w:val="SpecialCharTok"/>
        </w:rPr>
        <w:t xml:space="preserve">{</w:t>
      </w:r>
      <w:r>
        <w:rPr>
          <w:rStyle w:val="NormalTok"/>
        </w:rPr>
        <w:t xml:space="preserve">type_action</w:t>
      </w:r>
      <w:r>
        <w:rPr>
          <w:rStyle w:val="SpecialCharTok"/>
        </w:rPr>
        <w:t xml:space="preserve">}</w:t>
      </w:r>
      <w:r>
        <w:rPr>
          <w:rStyle w:val="SpecialStringTok"/>
        </w:rPr>
        <w:t xml:space="preserve">"</w:t>
      </w:r>
      <w:r>
        <w:rPr>
          <w:rStyle w:val="NormalTok"/>
        </w:rPr>
        <w:t xml:space="preserve">)</w:t>
      </w:r>
      <w:r>
        <w:br/>
      </w:r>
      <w:r>
        <w:rPr>
          <w:rStyle w:val="NormalTok"/>
        </w:rPr>
        <w:t xml:space="preserve">    prompt </w:t>
      </w:r>
      <w:r>
        <w:rPr>
          <w:rStyle w:val="OperatorTok"/>
        </w:rPr>
        <w:t xml:space="preserve">=</w:t>
      </w:r>
      <w:r>
        <w:rPr>
          <w:rStyle w:val="NormalTok"/>
        </w:rPr>
        <w:t xml:space="preserve"> template.</w:t>
      </w:r>
      <w:r>
        <w:rPr>
          <w:rStyle w:val="BuiltInTok"/>
        </w:rPr>
        <w:t xml:space="preserve">format</w:t>
      </w:r>
      <w:r>
        <w:rPr>
          <w:rStyle w:val="NormalTok"/>
        </w:rPr>
        <w:t xml:space="preserve">(contenu</w:t>
      </w:r>
      <w:r>
        <w:rPr>
          <w:rStyle w:val="OperatorTok"/>
        </w:rPr>
        <w:t xml:space="preserve">=</w:t>
      </w:r>
      <w:r>
        <w:rPr>
          <w:rStyle w:val="NormalTok"/>
        </w:rPr>
        <w:t xml:space="preserve">contenu)</w:t>
      </w:r>
      <w:r>
        <w:br/>
      </w:r>
      <w:r>
        <w:rPr>
          <w:rStyle w:val="NormalTok"/>
        </w:rPr>
        <w:t xml:space="preserve">    </w:t>
      </w:r>
      <w:r>
        <w:rPr>
          <w:rStyle w:val="ControlFlowTok"/>
        </w:rPr>
        <w:t xml:space="preserve">if</w:t>
      </w:r>
      <w:r>
        <w:rPr>
          <w:rStyle w:val="NormalTok"/>
        </w:rPr>
        <w:t xml:space="preserve"> instructions:</w:t>
      </w:r>
      <w:r>
        <w:br/>
      </w:r>
      <w:r>
        <w:rPr>
          <w:rStyle w:val="NormalTok"/>
        </w:rPr>
        <w:t xml:space="preserve">        prompt </w:t>
      </w:r>
      <w:r>
        <w:rPr>
          <w:rStyle w:val="OperatorTok"/>
        </w:rPr>
        <w:t xml:space="preserve">+=</w:t>
      </w:r>
      <w:r>
        <w:rPr>
          <w:rStyle w:val="NormalTok"/>
        </w:rPr>
        <w:t xml:space="preserve"> </w:t>
      </w:r>
      <w:r>
        <w:rPr>
          <w:rStyle w:val="SpecialStringTok"/>
        </w:rPr>
        <w:t xml:space="preserve">f"</w:t>
      </w:r>
      <w:r>
        <w:rPr>
          <w:rStyle w:val="CharTok"/>
        </w:rPr>
        <w:t xml:space="preserve">\n\n</w:t>
      </w:r>
      <w:r>
        <w:rPr>
          <w:rStyle w:val="SpecialStringTok"/>
        </w:rPr>
        <w:t xml:space="preserve">Consigne particulière à respecter: </w:t>
      </w:r>
      <w:r>
        <w:rPr>
          <w:rStyle w:val="SpecialCharTok"/>
        </w:rPr>
        <w:t xml:space="preserve">{</w:t>
      </w:r>
      <w:r>
        <w:rPr>
          <w:rStyle w:val="NormalTok"/>
        </w:rPr>
        <w:t xml:space="preserve">instructions</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prompt</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xml:space="preserve">,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5.6.3), et la longueur de la consigne est bornée à 500 caractères (§ 5.7.1).</w:t>
      </w:r>
    </w:p>
    <w:p>
      <w:pPr>
        <w:pStyle w:val="SourceCode"/>
      </w:pPr>
      <w:r>
        <w:rPr>
          <w:rStyle w:val="KeywordTok"/>
        </w:rPr>
        <w:t>def _charge_utile(model, prompt, temperature, num_ctx, think, keep_alive) -&gt; dict:</w:t>
        <w:br/>
        <w:t xml:space="preserve">    charge = {</w:t>
        <w:br/>
        <w:t xml:space="preserve">        "model": model,</w:t>
        <w:br/>
        <w:t xml:space="preserve">        "prompt": prompt,</w:t>
        <w:br/>
        <w:t xml:space="preserve">        "keep_alive": keep_alive,   # maintien du modèle en mémoire entre deux appels</w:t>
        <w:br/>
        <w:t xml:space="preserve">        "stream": True,             # flux NDJSON : une ligne JSON par jeton</w:t>
        <w:br/>
        <w:t xml:space="preserve">        "options": {</w:t>
        <w:br/>
        <w:t xml:space="preserve">            "temperature": temperature,</w:t>
        <w:br/>
        <w:t xml:space="preserve">            "num_ctx": num_ctx,     # sans elle, Ollama tronque SILENCIEUSEMENT le prompt</w:t>
        <w:br/>
        <w:t xml:space="preserve">        },</w:t>
        <w:br/>
        <w:t xml:space="preserve">    }</w:t>
        <w:br/>
        <w:t xml:space="preserve">    if think is not None:</w:t>
        <w:br/>
        <w:t xml:space="preserve">        charge["think"] = think     # champ de premier niveau, pas une option</w:t>
        <w:br/>
        <w:t xml:space="preserve">    return charge</w:t>
        <w:br/>
        <w:br/>
        <w:br/>
        <w:t>def _lire_flux(response) -&gt; tuple[str, int]:</w:t>
        <w:br/>
        <w:t xml:space="preserve">    """Reconstitue le texte complet à partir du flux NDJSON d'Ollama."""</w:t>
        <w:br/>
        <w:t xml:space="preserve">    morceaux, jetons = [], 0</w:t>
        <w:br/>
        <w:t xml:space="preserve">    for ligne in response.iter_lines():</w:t>
        <w:br/>
        <w:t xml:space="preserve">        if not ligne:</w:t>
        <w:br/>
        <w:t xml:space="preserve">            continue</w:t>
        <w:br/>
        <w:t xml:space="preserve">        bloc = json.loads(ligne)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try:</w:t>
        <w:br/>
        <w:t xml:space="preserve">        with requests.post(f"{base_url}/api/generate", json=charge, stream=True,</w:t>
        <w:br/>
        <w:t xml:space="preserve">                           # Couple (connexion, lecture). La lecture est SANS limite.</w:t>
        <w:br/>
        <w:t xml:space="preserve">                           timeout=(connect_timeout, None)) as response:</w:t>
        <w:br/>
        <w:t xml:space="preserve">            try:</w:t>
        <w:br/>
        <w:t xml:space="preserve">                response.raise_for_status()</w:t>
        <w:br/>
        <w:t xml:space="preserve">            except requests.exceptions.HTTPError as e:</w:t>
        <w:br/>
        <w:t xml:space="preserve">                # Le corps est lu ICI : sortir du bloc `with` libère la connexion</w:t>
        <w:br/>
        <w:t xml:space="preserve">                # et le diagnostic d'Ollama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raise RuntimeError(f"Impossible de joindre Ollama sur {base_url}. "</w:t>
        <w:br/>
        <w:t xml:space="preserve">                           "Vérifiez qu'il est lancé sur votre machine.") from e</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Heading3"/>
      </w:pPr>
      <w:r>
        <w:t xml:space="preserve">7.2.4. Une précision sur la règle de découpage en couches</w:t>
      </w:r>
    </w:p>
    <w:p>
      <w:pPr>
        <w:pStyle w:val="FirstParagraph"/>
      </w:pPr>
      <w:r>
        <w:t xml:space="preserve">La règle annoncée en § 5.2.2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 xml:space="preserve">du § 9.2. La correction propre consisterait à passer ces valeurs en paramètres ou par un objet de configuration injecté ; elle est notée en § 8.11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Heading3"/>
      </w:pPr>
      <w:r>
        <w:t xml:space="preserve">7.3.1. Déclaration d'un modèle avec SQLAlchemy 2</w:t>
      </w:r>
    </w:p>
    <w:p>
      <w:pPr>
        <w:pStyle w:val="SourceCode"/>
      </w:pPr>
      <w:r>
        <w:rPr>
          <w:rStyle w:val="CommentTok"/>
        </w:rPr>
        <w:t xml:space="preserve"># backend/database/db.py</w:t>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w:t>
      </w:r>
      <w:r>
        <w:rPr>
          <w:rStyle w:val="CommentTok"/>
        </w:rPr>
        <w:t xml:space="preserve"># … dossiers, consentements, ias, password_resets : même schéma</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 xml:space="preserve">La colonne est alimentée par l'ORM à chaque modification, sans que la route ait à y penser. C'est ce qui rend le tri de la liste des documents fiable, alors que l'enregistrement automatique produit des écritures très fréquentes (§ 7.1.2).</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 xml:space="preserve">La première déclaration agit quand l'application supprime un objet, la seconde quand le SGBD supprime une ligne. Les deux sont nécessaires : le raisonnement RGPD complet figure en § 5.4.5.</w:t>
      </w:r>
    </w:p>
    <w:bookmarkEnd w:id="99"/>
    <w:bookmarkStart w:id="100" w:name="X68ad40c1678b23499c92c06cfb21a9d8e0eeea0"/>
    <w:p>
      <w:pPr>
        <w:pStyle w:val="Heading3"/>
      </w:pPr>
      <w:r>
        <w:t xml:space="preserve">7.3.2. 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 xml:space="preserve">est traitée comme un libellé, pas comme du SQL (cas TS-02, § 9.6).</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 xml:space="preserve">est expliqué en § 5.7.2.</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Heading3"/>
      </w:pPr>
      <w:r>
        <w:t xml:space="preserve">7.3.3. 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xml:space="preserve">(§ 5.4.6) : le SGBD n'a ni à trier ni à parcourir la table.</w:t>
      </w:r>
    </w:p>
    <w:bookmarkEnd w:id="101"/>
    <w:bookmarkStart w:id="102" w:name="X6eed81c27562e52ec73c9c4793fef7206e48414"/>
    <w:p>
      <w:pPr>
        <w:pStyle w:val="Heading3"/>
      </w:pPr>
      <w:r>
        <w:t xml:space="preserve">7.3.4. 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 xml:space="preserve">Les statistiques globales, elles, sont de simples comptages sur fenêtre glissante, cohérents avec le mécanisme de quota (§ 5.7.2)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Heading3"/>
      </w:pPr>
      <w:r>
        <w:t xml:space="preserve">7.3.5. 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 xml:space="preserve">du § 5.6.3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Heading3"/>
      </w:pPr>
      <w:r>
        <w:t xml:space="preserve">7.4.1. Le décorateur d'authentification</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Heading3"/>
      </w:pPr>
      <w:r>
        <w:t xml:space="preserve">7.4.2. 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SourceCode"/>
      </w:pPr>
      <w:r>
        <w:rPr>
          <w:rStyle w:val="CommentTok"/>
        </w:rPr>
        <w:t xml:space="preserve"># backend/app/routes/document_route.py</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l'en-tête Authorization :</w:t>
      </w:r>
      <w:r>
        <w:br/>
      </w:r>
      <w:r>
        <w:rPr>
          <w:rStyle w:val="NormalTok"/>
        </w:rPr>
        <w:t xml:space="preserve">    </w:t>
      </w:r>
      <w:r>
        <w:rPr>
          <w:rStyle w:val="CommentTok"/>
        </w:rPr>
        <w:t xml:space="preserve"># on le laisse passer sans vérifier le jeton, sinon Flask n'a jamais</w:t>
      </w:r>
      <w:r>
        <w:br/>
      </w:r>
      <w:r>
        <w:rPr>
          <w:rStyle w:val="NormalTok"/>
        </w:rPr>
        <w:t xml:space="preserve">    </w:t>
      </w:r>
      <w:r>
        <w:rPr>
          <w:rStyle w:val="CommentTok"/>
        </w:rPr>
        <w:t xml:space="preserve"># l'occasion de générer sa réponse OPTIONS et le navigateur bloque la</w:t>
      </w:r>
      <w:r>
        <w:br/>
      </w:r>
      <w:r>
        <w:rPr>
          <w:rStyle w:val="NormalTok"/>
        </w:rPr>
        <w:t xml:space="preserve">    </w:t>
      </w:r>
      <w:r>
        <w:rPr>
          <w:rStyle w:val="CommentTok"/>
        </w:rPr>
        <w:t xml:space="preserve"># requête réelle qui suit. Aucune donnée n'est exposée par un OPTIONS.</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 xml:space="preserve">Le back-office ajoute une seconde couche, et c'est ici que se matérialise la décision du § 5.2.5 :</w:t>
      </w:r>
    </w:p>
    <w:p>
      <w:pPr>
        <w:pStyle w:val="SourceCode"/>
      </w:pPr>
      <w:r>
        <w:rPr>
          <w:rStyle w:val="CommentTok"/>
        </w:rPr>
        <w:t xml:space="preserve"># backend/app/routes/admin_route.py</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Heading3"/>
      </w:pPr>
      <w:r>
        <w:t xml:space="preserve">7.4.3. 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xml:space="preserve">— il reste inaccessible même si l'assainissement de l'aperçu échouait (§ 7.1.2)</w:t>
            </w:r>
          </w:p>
        </w:tc>
      </w:tr>
      <w:tr>
        <w:tc>
          <w:tcPr/>
          <w:p>
            <w:pPr>
              <w:pStyle w:val="Compact"/>
              <w:jc w:val="left"/>
            </w:pPr>
            <w:r>
              <w:rPr>
                <w:rStyle w:val="VerbatimChar"/>
              </w:rPr>
              <w:t xml:space="preserve">secure</w:t>
            </w:r>
          </w:p>
        </w:tc>
        <w:tc>
          <w:tcPr/>
          <w:p>
            <w:pPr>
              <w:pStyle w:val="Compact"/>
              <w:jc w:val="left"/>
            </w:pPr>
            <w:r>
              <w:t xml:space="preserve">Le jeton ne transite jamais sur HTTP en clair hors développement (§ 6.3)</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8.7)</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 xml:space="preserve">est elle-même la mesure la plus utile : trois routes posent ou suppriment ce cookie, et un attribut oublié à un seul endroit suffirait à annuler la protection. Un point unique rend l'oubli impossible et rend la vérification (cas TS-08, § 9.6) simple à mener.</w:t>
      </w:r>
    </w:p>
    <w:bookmarkEnd w:id="107"/>
    <w:bookmarkStart w:id="108" w:name="Xe5d961f1930ad3cff53f505cbb7c8be059ea4dc"/>
    <w:p>
      <w:pPr>
        <w:pStyle w:val="Heading3"/>
      </w:pPr>
      <w:r>
        <w:t xml:space="preserve">7.4.4. 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xml:space="preserve">(§ 6.3),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xml:space="preserve">(§ 6.4). Leur code complet figure en annexe § 12.5.</w:t>
      </w:r>
    </w:p>
    <w:p>
      <w:pPr>
        <w:numPr>
          <w:ilvl w:val="0"/>
          <w:numId w:val="2020"/>
        </w:numPr>
        <w:pStyle w:val="Compact"/>
      </w:pPr>
      <w:r>
        <w:t xml:space="preserve">La présentation d’éléments de sécurité de l’application</w:t>
      </w:r>
    </w:p>
    <w:p>
      <w:pPr>
        <w:pStyle w:val="Heading2"/>
      </w:pPr>
      <w:r>
        <w:t xml:space="preserve">8.1. 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xml:space="preserve">, confrontée aux exigences du cahier des charges (§ 2.4)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xml:space="preserve">§ 8.3</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xml:space="preserve">§ 8.2</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xml:space="preserve">§ 8.5, § 8.6</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xml:space="preserve">§ 8.4</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xml:space="preserve">§ 8.9</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xml:space="preserve">§ 11, § 9.6</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xml:space="preserve">§ 8.2, § 8.8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xml:space="preserve">§ 5.4.5, § 5.5.2</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xml:space="preserve">§ 8.11</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xml:space="preserve">§ 8.9</w:t>
            </w:r>
          </w:p>
        </w:tc>
      </w:tr>
    </w:tbl>
    <w:bookmarkEnd w:id="110"/>
    <w:bookmarkStart w:id="111" w:name="X1179a7596a90fd5247116224b66a6246aec35d8"/>
    <w:p>
      <w:pPr>
        <w:pStyle w:val="Heading2"/>
      </w:pPr>
      <w:r>
        <w:t xml:space="preserve">8.2. 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 xml:space="preserve">bcrypt avec sel aléatoire par empreinte ; politique 8 caractères, majuscule, minuscule, chiffre, vérifiée côté serveur (§ 7.2.1)</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xml:space="preserve">, durée 7 jours (§ 7.4.3)</w:t>
            </w:r>
          </w:p>
        </w:tc>
      </w:tr>
      <w:tr>
        <w:tc>
          <w:tcPr/>
          <w:p>
            <w:pPr>
              <w:pStyle w:val="Compact"/>
              <w:jc w:val="left"/>
            </w:pPr>
            <w:r>
              <w:t xml:space="preserve">Stockage du refresh token</w:t>
            </w:r>
          </w:p>
        </w:tc>
        <w:tc>
          <w:tcPr/>
          <w:p>
            <w:pPr>
              <w:pStyle w:val="Compact"/>
              <w:jc w:val="left"/>
            </w:pPr>
            <w:r>
              <w:t xml:space="preserve">Empreinte SHA-256 uniquement : une fuite de la base ne permet pas de rejouer une session (§ 7.2.2)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Heading2"/>
      </w:pPr>
      <w:r>
        <w:t xml:space="preserve">8.3. 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xml:space="preserve">(§ 7.3.2). L'identifiant présent dans l'URL n'est jamais tenu pour légitime, et un identifiant appartenant à autrui produit un</w:t>
      </w:r>
      <w:r>
        <w:t xml:space="preserve"> </w:t>
      </w:r>
      <w:r>
        <w:rPr>
          <w:rStyle w:val="VerbatimChar"/>
        </w:rPr>
        <w:t xml:space="preserve">404</w:t>
      </w:r>
      <w:r>
        <w:t xml:space="preserve"> </w:t>
      </w:r>
      <w:r>
        <w:t xml:space="preserve">indiscernable d'un identifiant inexistant (§ 5.7.2).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xml:space="preserve">(§ 7.4.2). Côté client, l'entrée de menu est masquée et la garde</w:t>
      </w:r>
      <w:r>
        <w:t xml:space="preserve"> </w:t>
      </w:r>
      <w:r>
        <w:rPr>
          <w:rStyle w:val="VerbatimChar"/>
        </w:rPr>
        <w:t xml:space="preserve">requiresAdmin</w:t>
      </w:r>
      <w:r>
        <w:t xml:space="preserve"> </w:t>
      </w:r>
      <w:r>
        <w:t xml:space="preserve">du routeur bloque l'accès direct à l'URL — mais ces deux mesures sont du confort d'usage. Le contrôle qui compte est celui du serveur, et c'est celui que vérifient les cas TS-03 et TS-04 (§ 9.6).</w:t>
      </w:r>
    </w:p>
    <w:bookmarkEnd w:id="112"/>
    <w:bookmarkStart w:id="113" w:name="X0856e72d2535064ec86753a7cf4ff712e4fe370"/>
    <w:p>
      <w:pPr>
        <w:pStyle w:val="Heading2"/>
      </w:pPr>
      <w:r>
        <w:t xml:space="preserve">8.4. 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 xml:space="preserve">une requête suffirait à charger toute la table en mémoire (§ 7.3.3).</w:t>
      </w:r>
    </w:p>
    <w:bookmarkEnd w:id="113"/>
    <w:bookmarkStart w:id="114" w:name="X33e80f1257b6bbe875715b824d95e97cb733980"/>
    <w:p>
      <w:pPr>
        <w:pStyle w:val="Heading2"/>
      </w:pPr>
      <w:r>
        <w:t xml:space="preserve">8.5. 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xml:space="preserve">, ni f-string dans une requête. Le cas TS-02 (§ 9.6)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 xml:space="preserve">du script MySQL (§ 5.5.2)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Heading2"/>
      </w:pPr>
      <w:r>
        <w:t xml:space="preserve">8.6. 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 xml:space="preserve">que présentait la première version, son mécanisme d'aggravation par l'enregistrement automatique, et sa correction par DOMPurify sont détaillés en § 7.1.2.</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xml:space="preserve">: même un XSS réussi ne permet pas de voler la session longue durée (§ 7.4.3).</w:t>
      </w:r>
    </w:p>
    <w:p>
      <w:pPr>
        <w:pStyle w:val="FirstParagraph"/>
      </w:pPr>
      <w:r>
        <w:t xml:space="preserve">La veille a montré que la deuxième ligne est elle-même un composant à maintenir — CVE-2026-0540 affecte la version déclarée par le projet (§ 11.3). C'est précisément l'argument qui justifie de conserver les lignes 1 et 3 : une mesure de sécurité unique est un point de défaillance unique.</w:t>
      </w:r>
    </w:p>
    <w:bookmarkEnd w:id="115"/>
    <w:bookmarkStart w:id="116" w:name="X43c2787c9850fa8aa67b082c0e2bddaf1c79309"/>
    <w:p>
      <w:pPr>
        <w:pStyle w:val="Heading2"/>
      </w:pPr>
      <w:r>
        <w:t xml:space="preserve">8.7. 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6.4). Un jeton CSRF dédié par double-submit a été étudié et écarté : il n'aurait rien ajouté ici, puisqu'un XSS réussi permettrait de lire le cookie et de forger l'en-tête — cette protection suppose donc le XSS de l'aperçu déjà fermé (§ 7.1.2), et les deux failles sont liées.</w:t>
      </w:r>
    </w:p>
    <w:bookmarkEnd w:id="116"/>
    <w:bookmarkStart w:id="117" w:name="X976a6e4e95f16d2446480716f11e8a0402ce938"/>
    <w:p>
      <w:pPr>
        <w:pStyle w:val="Heading2"/>
      </w:pPr>
      <w:r>
        <w:t xml:space="preserve">8.8. 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 xml:space="preserve">est normalisée en JSON et volontairement peu bavarde, sans indiquer le nombre de tentatives restantes ni la durée du blocage (§ 6.4).</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 xml:space="preserve">avec le message « Email ou mot de passe incorrect ». Cette cohérence connaît une exception, documentée en § 8.11.</w:t>
      </w:r>
    </w:p>
    <w:bookmarkEnd w:id="117"/>
    <w:bookmarkStart w:id="118" w:name="X29ccdf8d9158e4b7c89bb71644f6012126d1351"/>
    <w:p>
      <w:pPr>
        <w:pStyle w:val="Heading2"/>
      </w:pPr>
      <w:r>
        <w:t xml:space="preserve">8.9. 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 xml:space="preserve">documenté (§ 6.3)</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xml:space="preserve">, ni base de développement, ni clé — vérifié par le cas TS-06 (§ 9.6)</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11.3)</w:t>
            </w:r>
          </w:p>
        </w:tc>
      </w:tr>
    </w:tbl>
    <w:p>
      <w:pPr>
        <w:pStyle w:val="BodyText"/>
      </w:pPr>
      <w:r>
        <w:t xml:space="preserve">Le dernier point de ce tableau est la seule mesure de ce dossier qui ne soit pas dans le code : c'est une consigne de déploiement. Elle figure donc dans la liste de contrôle du § 6.6, parce qu'une mesure de sécurité qui n'est écrite nulle part n'est pas une mesure.</w:t>
      </w:r>
    </w:p>
    <w:bookmarkEnd w:id="118"/>
    <w:bookmarkStart w:id="119" w:name="Xa05696c868e61d79898635404fa157da2630d6f"/>
    <w:p>
      <w:pPr>
        <w:pStyle w:val="Heading2"/>
      </w:pPr>
      <w:r>
        <w:t xml:space="preserve">8.10. 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xml:space="preserve">: type, réponse et horodatage de chaque recueil (§ 5.4.4)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 xml:space="preserve">côté SGBD (§ 5.4.5)</w:t>
            </w:r>
          </w:p>
        </w:tc>
      </w:tr>
      <w:tr>
        <w:tc>
          <w:tcPr/>
          <w:p>
            <w:pPr>
              <w:pStyle w:val="Compact"/>
              <w:jc w:val="left"/>
            </w:pPr>
            <w:r>
              <w:t xml:space="preserve">Absence de transfert</w:t>
            </w:r>
          </w:p>
        </w:tc>
        <w:tc>
          <w:tcPr/>
          <w:p>
            <w:pPr>
              <w:pStyle w:val="Compact"/>
              <w:jc w:val="left"/>
            </w:pPr>
            <w:r>
              <w:t xml:space="preserve">Inférence entièrement locale : aucun contenu rédigé ne quitte l'infrastructure (§ 5.2.4)</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 xml:space="preserve">Partiellement couverte ; compléments AI Act identifiés en § 11.4</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xml:space="preserve">,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8.11).</w:t>
      </w:r>
    </w:p>
    <w:bookmarkEnd w:id="119"/>
    <w:bookmarkStart w:id="120" w:name="X93d10a80969c3831892638521d3d35f606f4e2d"/>
    <w:p>
      <w:pPr>
        <w:pStyle w:val="Heading2"/>
      </w:pPr>
      <w:r>
        <w:t xml:space="preserve">8.11. 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4.1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 xml:space="preserve">La règle de découpage du § 5.2.2 n'est pas strictement tenue</w:t>
            </w:r>
          </w:p>
        </w:tc>
        <w:tc>
          <w:tcPr/>
          <w:p>
            <w:pPr>
              <w:pStyle w:val="Compact"/>
              <w:jc w:val="left"/>
            </w:pPr>
            <w:r>
              <w:t xml:space="preserve">Injecter la configuration en paramètre (§ 7.2.4)</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4.1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9.6),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Heading2"/>
      </w:pPr>
      <w:r>
        <w:t xml:space="preserve">9.1. 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 xml:space="preserve">La base de cette pyramide est la règle d'architecture du § 5.2.2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Heading2"/>
      </w:pPr>
      <w:r>
        <w:t xml:space="preserve">9.2. Environnement de test</w:t>
      </w:r>
    </w:p>
    <w:p>
      <w:pPr>
        <w:pStyle w:val="FirstParagraph"/>
      </w:pPr>
      <w:r>
        <w:t xml:space="preserve">Le motif de fabrique</w:t>
      </w:r>
      <w:r>
        <w:t xml:space="preserve"> </w:t>
      </w:r>
      <w:r>
        <w:rPr>
          <w:rStyle w:val="VerbatimChar"/>
        </w:rPr>
        <w:t xml:space="preserve">create_app()</w:t>
      </w:r>
      <w:r>
        <w:t xml:space="preserve"> </w:t>
      </w:r>
      <w:r>
        <w:t xml:space="preserve">(§ 6.4)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 xml:space="preserve">Flask-Limiter protège les routes d'authentification (§ 6.4)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Heading2"/>
      </w:pPr>
      <w:r>
        <w:t xml:space="preserve">9.3. Tests unitaires des composants métier</w:t>
      </w:r>
    </w:p>
    <w:bookmarkStart w:id="123" w:name="X6601220644fe5b243f84b2646e09bd917c974a2"/>
    <w:p>
      <w:pPr>
        <w:pStyle w:val="Heading3"/>
      </w:pPr>
      <w:r>
        <w:t xml:space="preserve">9.3.1.</w:t>
      </w:r>
      <w:r>
        <w:t xml:space="preserve"> </w:t>
      </w:r>
      <w:r>
        <w:rPr>
          <w:rStyle w:val="VerbatimChar"/>
        </w:rPr>
        <w:t xml:space="preserve">ia_service</w:t>
      </w:r>
      <w:r>
        <w:t xml:space="preserve"> </w:t>
      </w:r>
      <w:r>
        <w:t xml:space="preserve">— construction du prompt</w:t>
      </w:r>
    </w:p>
    <w:p>
      <w:pPr>
        <w:pStyle w:val="FirstParagraph"/>
      </w:pPr>
      <w:r>
        <w:t xml:space="preserve">La fonction</w:t>
      </w:r>
      <w:r>
        <w:t xml:space="preserve"> </w:t>
      </w:r>
      <w:r>
        <w:rPr>
          <w:rStyle w:val="VerbatimChar"/>
        </w:rPr>
        <w:t xml:space="preserve">build_prompt</w:t>
      </w:r>
      <w:r>
        <w:t xml:space="preserve"> </w:t>
      </w:r>
      <w:r>
        <w:t xml:space="preserve">est pure : mêmes entrées, même sortie, aucun effet de bord. C'est le cas le plus simple à couvrir et l'un des plus utiles, puisque le prompt détermine réellement le comportement du modèle (§ 4.6).</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 xml:space="preserve">Aucun ne mentionne « juridique » (non-régression du § 4.6)</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xml:space="preserve"># Non-régression : le positionnement a dérivé une fois (§ 4.6).</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 xml:space="preserve">Le cas TU-04 est le plus instructif, parce qu'il est né d'une erreur réelle. La dérive du positionnement éditorial décrite en § 4.6 n'avait été rattrapée que par une relecture ; elle est désormais couverte par un test. Un prompt est du code, il se teste comme du code.</w:t>
      </w:r>
    </w:p>
    <w:bookmarkEnd w:id="123"/>
    <w:bookmarkStart w:id="124" w:name="X1f2e9e46ea5c0ab3bfb8fbec5fc373cf2ddb13a"/>
    <w:p>
      <w:pPr>
        <w:pStyle w:val="Heading3"/>
      </w:pPr>
      <w:r>
        <w:t xml:space="preserve">9.3.2.</w:t>
      </w:r>
      <w:r>
        <w:t xml:space="preserve"> </w:t>
      </w:r>
      <w:r>
        <w:rPr>
          <w:rStyle w:val="VerbatimChar"/>
        </w:rPr>
        <w:t xml:space="preserve">ia_service</w:t>
      </w:r>
      <w:r>
        <w:t xml:space="preserve"> </w:t>
      </w:r>
      <w:r>
        <w:t xml:space="preserve">—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 xml:space="preserve">porteuse d'un message lisible (§ 5.7.3).</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6.1)</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Heading3"/>
      </w:pPr>
      <w:r>
        <w:t xml:space="preserve">9.3.3.</w:t>
      </w:r>
      <w:r>
        <w:t xml:space="preserve"> </w:t>
      </w:r>
      <w:r>
        <w:rPr>
          <w:rStyle w:val="VerbatimChar"/>
        </w:rPr>
        <w:t xml:space="preserve">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 xml:space="preserve">relevée dans la veille (CVE-2026-48526, § 11.2).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Heading3"/>
      </w:pPr>
      <w:r>
        <w:t xml:space="preserve">9.3.4. 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xml:space="preserve">(§ 7.1.2)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Heading2"/>
      </w:pPr>
      <w:r>
        <w:t xml:space="preserve">9.4. 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xml:space="preserve">, la route la plus riche en contrôles (§ 5.7.2),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 xml:space="preserve">C'est la mesure anti-énumération du § 5.7.2.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 xml:space="preserve">Le test insère 19 appels datés de moins de 24 heures et un appel daté de 25 heures, puis demande une génération : elle doit réussir. Un compteur remis à zéro à minuit passerait TI-10 mais échouerait TI-11. C'est donc bien le mécanisme du § 5.7.2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 xml:space="preserve">les sessions révoquées (§ 4.6)</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xml:space="preserve">; rôle rétrogradé en base sans nouveau jeton → accès refusé immédiatement (§ 5.2.5)</w:t>
            </w:r>
          </w:p>
        </w:tc>
      </w:tr>
    </w:tbl>
    <w:p>
      <w:pPr>
        <w:pStyle w:val="BodyText"/>
      </w:pPr>
      <w:r>
        <w:t xml:space="preserve">Le dernier cas mérite d'être souligné : il vérifie une décision explicite du § 5.2.5,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Heading2"/>
      </w:pPr>
      <w:r>
        <w:t xml:space="preserve">9.5. 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 xml:space="preserve">Les documents survivent et réapparaissent hors dossier (§ 5.4.5)</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Heading2"/>
      </w:pPr>
      <w:r>
        <w:t xml:space="preserve">9.6. 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 xml:space="preserve">L'application refuse de démarrer (§ 6.3)</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Heading2"/>
      </w:pPr>
      <w:r>
        <w:t xml:space="preserve">9.7. 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11.4).</w:t>
      </w:r>
    </w:p>
    <w:p>
      <w:pPr>
        <w:pStyle w:val="FirstParagraph"/>
      </w:pPr>
      <w:r>
        <w:t>Le résultat tient en un chiffre et une nuance. Le chiffre : 120 occurrences sur trois règles, dont 117 dues à une seule couleur — l'accent #E0533C de la charte (§ 5.3.2)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Heading2"/>
      </w:pPr>
      <w:r>
        <w:t xml:space="preserve">9.8. 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7.2.3).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Heading2"/>
      </w:pPr>
      <w:r>
        <w:t xml:space="preserve">10.1. 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xml:space="preserve">. C'est la fonctionnalité la plus significative du projet à trois titres : elle traverse les trois couches du backend et sollicite un système externe (§ 5.2.1) ; elle concentre cinq contrôles de nature différente — authentification, validation, autorisation, quota, disponibilité (§ 5.7.2) ; et elle porte les deux exigences les plus délicates du cahier des charges, le quota de 20 appels par 24 heures et la traçabilité des interactions.</w:t>
      </w:r>
    </w:p>
    <w:p>
      <w:pPr>
        <w:pStyle w:val="BodyText"/>
      </w:pPr>
      <w:r>
        <w:t xml:space="preserve">C'est aussi la fonctionnalité qu'aucune capture d'écran ne peut attester, puisqu'elle se manifeste par un enchaînement et non par un état (§ 4.6, § 12.2). D'où la nécessité d'un jeu d'essai documenté.</w:t>
      </w:r>
    </w:p>
    <w:bookmarkEnd w:id="133"/>
    <w:bookmarkStart w:id="134" w:name="X7c50809e322bf8c10e3c3d5a4c79327834f56e9"/>
    <w:p>
      <w:pPr>
        <w:pStyle w:val="Heading2"/>
      </w:pPr>
      <w:r>
        <w:t xml:space="preserve">10.2. 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Heading2"/>
      </w:pPr>
      <w:r>
        <w:t xml:space="preserve">10.3. 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Heading2"/>
      </w:pPr>
      <w:r>
        <w:t xml:space="preserve">10.4. 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xml:space="preserve">. C'est la traduction du § 5.6.3,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xml:space="preserve">(§ 5.7.3).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Heading2"/>
      </w:pPr>
      <w:r>
        <w:t xml:space="preserve">10.5. 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Heading2"/>
      </w:pPr>
      <w:r>
        <w:t xml:space="preserve">11.1. 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Heading2"/>
      </w:pPr>
      <w:r>
        <w:t xml:space="preserve">11.2. 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Heading2"/>
      </w:pPr>
      <w:r>
        <w:t xml:space="preserve">11.3. Les trois vulnérabilités les plus instructives</w:t>
      </w:r>
    </w:p>
    <w:bookmarkStart w:id="141" w:name="Xd91f29c2435b05e4baabc6b158360c3844bb9a5"/>
    <w:p>
      <w:pPr>
        <w:pStyle w:val="Heading2"/>
      </w:pPr>
      <w:r>
        <w:t xml:space="preserve">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 xml:space="preserve">comme un contrôle de routine intégré à l'intégration continue (§ 6.6, cas TS-09 du § 9.6).</w:t>
      </w:r>
    </w:p>
    <w:bookmarkEnd w:id="141"/>
    <w:bookmarkStart w:id="142" w:name="X6d960e4100123691763656c3dffa340a23a8c8b"/>
    <w:p>
      <w:pPr>
        <w:pStyle w:val="Heading2"/>
      </w:pPr>
      <w:r>
        <w:t xml:space="preserve">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4.2 du rapport d'audit — et la règle d'écoute sur la seule interface de bouclage est passée du statut d'habitude implicite à celui de consigne écrite (§ 5.2.1, § 6.6). Son application explicite par OLLAMA_HOST=127.0.0.1:11434 reste à poser sur le poste : aujourd'hui le comportement par défaut suffit, mais une mesure qui dépend d'un défaut n'est pas une mesure.</w:t>
      </w:r>
    </w:p>
    <w:p>
      <w:pPr>
        <w:pStyle w:val="BodyText"/>
      </w:pPr>
      <w:r>
        <w:t xml:space="preserve">Cette entrée éclaire rétrospectivement le choix d'architecture du § 5.2.4.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Heading2"/>
      </w:pPr>
      <w:r>
        <w:t xml:space="preserve">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 xml:space="preserve">la faille XSS de l'aperçu Markdown (§ 7.1.2).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xml:space="preserve">: le stockage du contenu en Markdown brut plutôt qu'en HTML (§ 5.2.4)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Heading2"/>
      </w:pPr>
      <w:r>
        <w:t xml:space="preserve">11.4. Évolutions réglementaires</w:t>
      </w:r>
    </w:p>
    <w:bookmarkStart w:id="145" w:name="X8c9b54b9e9bba1a773c3871acb0e6be17b651a6"/>
    <w:p>
      <w:pPr>
        <w:pStyle w:val="Heading2"/>
      </w:pPr>
      <w:r>
        <w:t xml:space="preserve">AI Act — une exigence apparue en cours de projet</w:t>
      </w:r>
    </w:p>
    <w:p>
      <w:pPr>
        <w:pStyle w:val="FirstParagraph"/>
      </w:pPr>
      <w:r>
        <w:t xml:space="preserve">Depuis le</w:t>
      </w:r>
      <w:r>
        <w:t xml:space="preserve"> </w:t>
      </w:r>
      <w:r>
        <w:rPr>
          <w:bCs/>
          <w:b/>
        </w:rPr>
        <w:t xml:space="preserve">2 août 2026</w:t>
      </w:r>
      <w:r>
        <w:t xml:space="preserve">, les obligations de transparence du règlement européen sur l'intelligence artificielle sont applicables et contrôlées. Deux d'entre elles concernent directement HelpMeDraft : un système d'IA interactif doit informer clairement l'utilisateur qu'il interagit avec une intelligence artificielle, et les contenus générés ou modifiés par IA doivent être marqués — par un marquage visible, et par un filigrane techniquement détectable. Les autorités de contrôle en France sont la CNIL, la DGCCRF et l'Arcom ; les sanctions pour manquement à la transparence atteignent 15 M€ ou 3 % du chiffre d'affaires mondial.</w:t>
      </w:r>
    </w:p>
    <w:p>
      <w:pPr>
        <w:pStyle w:val="BodyText"/>
      </w:pPr>
      <w:r>
        <w:t>Le projet couvre déjà une partie de l'exigence : le panneau est intitulé « Assistant IA — Ollama », l'action demandée est explicite, et aucune proposition n'est appliquée sans décision de l'utilisateur. Trois compléments restent à produire. Ils sont spécifiés ici plutôt que simplement listés, parce que leur coût réel tient à l'endroit où ils s'insèrent, pas à leur volume de code.</w:t>
      </w:r>
    </w:p>
    <w:p>
      <w:pPr>
        <w:pStyle w:val="BodyText"/>
      </w:pPr>
      <w:r>
        <w:t>1 · Mention d'information non ambiguë. L'obligation porte sur l'information de l'utilisateur, pas sur l'étiquetage d'un panneau : un titre « Assistant IA — Ollama » nomme un outil, il ne dit pas que le texte proposé est produit par un modèle et peut être inexact. La mention doit donc apparaître au premier usage de l'assistant, dans la modale elle-même, et rester consultable ensuite. Formulation retenue : « Les propositions de cet assistant sont générées par un modèle de langage exécuté localement. Elles peuvent contenir des erreurs ou des affirmations fausses : relisez avant d'insérer. » Emplacement : composant de la modale IA, avant les boutons d'action. Le fait que l'utilisateur l'ait vue relève du confort, pas de la preuve — contrairement au consentement RGPD, l'AI Act n'exige pas de tracer l'information, il exige qu'elle soit donnée.</w:t>
      </w:r>
    </w:p>
    <w:p>
      <w:pPr>
        <w:pStyle w:val="BodyText"/>
      </w:pPr>
      <w:r>
        <w:t>2 · Trace des passages issus d'une génération. C'est le complément le plus structurant, et le seul qui touche au modèle de données. L'information existe déjà côté base : la table ia conserve content_before et content_after pour chaque interaction (§ 5.4.4). Ce qui manque est le lien entre cette trace et le document final — une fois la proposition insérée, rien ne distingue dans le Markdown ce que l'utilisateur a écrit de ce qu'il a accepté. Deux options ont été étudiées. Marquer le texte dans le document lui-même (balises, commentaires Markdown) polluerait le contenu et serait détruit à la première réécriture manuelle. Conserver la trace hors du document, en enregistrant à l'insertion la position et la longueur du passage inséré, laisse le Markdown intact mais demande de gérer le décalage des positions à chaque frappe ultérieure. C'est la seconde option qui est retenue, avec une réconciliation à l'ouverture du document plutôt qu'un suivi continu : l'exigence est la traçabilité, pas le surlignage en temps réel.</w:t>
      </w:r>
    </w:p>
    <w:p>
      <w:pPr>
        <w:pStyle w:val="BodyText"/>
      </w:pPr>
      <w:r>
        <w:t>3 · Clause dédiée dans les CGU et la politique de confidentialité. Elle est distincte du consentement au traitement des données, et c'est tout l'enjeu : le consentement RGPD porte sur ce que l'application fait des données de l'utilisateur, la clause AI Act porte sur ce que l'utilisateur doit savoir de ce que l'application produit. Trois points à y faire figurer — la nature générée des propositions et leur faillibilité, l'exécution locale du modèle (aucun contenu transmis à un tiers, ce qui est un argument commercial autant qu'une mention légale), et la responsabilité éditoriale, qui reste celle de l'utilisateur sur le document final. Ce dernier point recoupe une clause déjà présente dans les CGU (§ 2.6) : il s'agit de l'étendre explicitement aux contenus générés, pas d'en écrire une nouvelle.</w:t>
      </w:r>
    </w:p>
    <w:p>
      <w:pPr>
        <w:pStyle w:val="BodyText"/>
      </w:pPr>
      <w:r>
        <w:t>Un quatrième point figure dans le règlement sans concerner le projet, et le dire vaut mieux que l'omettre : l'obligation de filigrane techniquement détectable sur les contenus générés vise les systèmes qui produisent du contenu de synthèse destiné à circuler — image, audio, vidéo, texte publié. HelpMeDraft produit des propositions que l'utilisateur modifie et intègre à son propre document avant toute diffusion ; le contenu livré n'est pas un contenu de synthèse au sens du règlement. Le marquage visible et l'information, eux, s'appliquent bien, et ce sont les trois compléments ci-dessus.</w:t>
      </w:r>
    </w:p>
    <w:p>
      <w:pPr>
        <w:numPr>
          <w:ilvl w:val="0"/>
          <w:numId w:val="2025"/>
        </w:numPr>
        <w:pStyle w:val="Compact"/>
      </w:pPr>
      <w:r>
        <w:t xml:space="preserve">une</w:t>
      </w:r>
      <w:r>
        <w:t xml:space="preserve"> </w:t>
      </w:r>
      <w:r>
        <w:rPr>
          <w:bCs/>
          <w:b/>
        </w:rPr>
        <w:t xml:space="preserve">mention d'information non ambiguë</w:t>
      </w:r>
      <w:r>
        <w:t xml:space="preserve"> </w:t>
      </w:r>
      <w:r>
        <w:t xml:space="preserve">au premier usage de l'assistant, et non seulement un titre de panneau ;</w:t>
      </w:r>
    </w:p>
    <w:p>
      <w:pPr>
        <w:numPr>
          <w:ilvl w:val="0"/>
          <w:numId w:val="2025"/>
        </w:numPr>
        <w:pStyle w:val="Compact"/>
      </w:pPr>
      <w:r>
        <w:t xml:space="preserve">une</w:t>
      </w:r>
      <w:r>
        <w:t xml:space="preserve"> </w:t>
      </w:r>
      <w:r>
        <w:rPr>
          <w:bCs/>
          <w:b/>
        </w:rPr>
        <w:t xml:space="preserve">trace des passages issus d'une génération</w:t>
      </w:r>
      <w:r>
        <w:t xml:space="preserve"> </w:t>
      </w:r>
      <w:r>
        <w:t xml:space="preserve">dans le document — la table</w:t>
      </w:r>
      <w:r>
        <w:t xml:space="preserve"> </w:t>
      </w:r>
      <w:r>
        <w:rPr>
          <w:rStyle w:val="VerbatimChar"/>
        </w:rPr>
        <w:t xml:space="preserve">ia</w:t>
      </w:r>
      <w:r>
        <w:t xml:space="preserve"> </w:t>
      </w:r>
      <w:r>
        <w:t xml:space="preserve">conserve déjà l'information côté base (§ 5.4.4), il reste à l'exposer côté interface ;</w:t>
      </w:r>
    </w:p>
    <w:p>
      <w:pPr>
        <w:numPr>
          <w:ilvl w:val="0"/>
          <w:numId w:val="2025"/>
        </w:numPr>
        <w:pStyle w:val="Compact"/>
      </w:pPr>
      <w:r>
        <w:t xml:space="preserve">une</w:t>
      </w:r>
      <w:r>
        <w:t xml:space="preserve"> </w:t>
      </w:r>
      <w:r>
        <w:rPr>
          <w:bCs/>
          <w:b/>
        </w:rPr>
        <w:t xml:space="preserve">clause dédiée</w:t>
      </w:r>
      <w:r>
        <w:t xml:space="preserve"> </w:t>
      </w:r>
      <w:r>
        <w:t xml:space="preserve">dans les CGU et la politique de confidentialité, distincte du consentement au traitement des données.</w:t>
      </w:r>
    </w:p>
    <w:p>
      <w:pPr>
        <w:pStyle w:val="FirstParagraph"/>
      </w:pPr>
      <w:r>
        <w:t xml:space="preserve">Cette entrée est celle qui justifie le mieux la veille comme livrable.</w:t>
      </w:r>
      <w:r>
        <w:t xml:space="preserve"> </w:t>
      </w:r>
      <w:r>
        <w:rPr>
          <w:bCs/>
          <w:b/>
        </w:rPr>
        <w:t xml:space="preserve">Le cahier des charges a été rédigé avant l'entrée en application du règlement et ne mentionne que le RGPD.</w:t>
      </w:r>
      <w:r>
        <w:t xml:space="preserve"> </w:t>
      </w:r>
      <w:r>
        <w:t xml:space="preserve">Une exigence réglementaire peut donc apparaître</w:t>
      </w:r>
      <w:r>
        <w:t xml:space="preserve"> </w:t>
      </w:r>
      <w:r>
        <w:rPr>
          <w:iCs/>
          <w:i/>
        </w:rPr>
        <w:t xml:space="preserve">pendant</w:t>
      </w:r>
      <w:r>
        <w:t xml:space="preserve"> </w:t>
      </w:r>
      <w:r>
        <w:t xml:space="preserve">un projet, sans que le commanditaire l'ait anticipée ni que le développeur en soit informé autrement que par sa propre veille. Sans ce suivi, l'application aurait été livrée non conforme à une obligation entrée en vigueur trois semaines avant la fin du développement.</w:t>
      </w:r>
    </w:p>
    <w:bookmarkEnd w:id="145"/>
    <w:bookmarkStart w:id="146" w:name="X0d3bb18a8de658abc7319f37ebc9ef8363f8570"/>
    <w:p>
      <w:pPr>
        <w:pStyle w:val="Heading2"/>
      </w:pPr>
      <w:r>
        <w:t xml:space="preserve">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 xml:space="preserve">Le RGAA 4.1.2 reste en vigueur, les déclarations publiées avant la sortie de la version 5 restent valides 18 mois, et la nouvelle version « précise ou complète » les critères sans les infirmer. L'audit d'accessibilité restant à réaliser (§ 5.1.4, § 9.7)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Heading2"/>
      </w:pPr>
      <w:r>
        <w:t xml:space="preserve">11.5. 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 xml:space="preserve">Vérifier le code d'une dépendance ne suffit pas si l'on ne maîtrise pas la version effectivement installée. Le fichier de verrouillage devient un artefact de sécurité (§ 4.4).</w:t>
      </w:r>
    </w:p>
    <w:p>
      <w:pPr>
        <w:numPr>
          <w:ilvl w:val="0"/>
          <w:numId w:val="2026"/>
        </w:numPr>
      </w:pPr>
      <w:r>
        <w:rPr>
          <w:bCs/>
          <w:b/>
        </w:rPr>
        <w:t xml:space="preserve">Une brique de sécurité se maintient comme le reste.</w:t>
      </w:r>
      <w:r>
        <w:t xml:space="preserve"> </w:t>
      </w:r>
      <w:r>
        <w:t xml:space="preserve">DOMPurify corrige une faille et en introduit une autre ; seule la défense en profondeur reste stable dans le temps (§ 7.1.2).</w:t>
      </w:r>
    </w:p>
    <w:p>
      <w:pPr>
        <w:numPr>
          <w:ilvl w:val="0"/>
          <w:numId w:val="2026"/>
        </w:numPr>
      </w:pPr>
      <w:r>
        <w:rPr>
          <w:bCs/>
          <w:b/>
        </w:rPr>
        <w:t xml:space="preserve">Le cadre réglementaire bouge pendant le projet.</w:t>
      </w:r>
      <w:r>
        <w:t xml:space="preserve"> </w:t>
      </w:r>
      <w:r>
        <w:t xml:space="preserve">Un cahier des charges n'est pas un contrat figé face au droit : il faut y confronter l'actualité normative, pas seulement les spécifications d'origine (§ 2.4).</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417" w:right="1417" w:bottom="1417" w:left="1417" w:header="708" w:footer="708" w:gutter="0"/>
          <w:pgNumType w:start="0"/>
          <w:cols w:space="708"/>
          <w:titlePg/>
          <w:docGrid w:linePitch="360"/>
        </w:sectPr>
      </w:pPr>
    </w:p>
    <w:p w14:paraId="598335ED" w14:textId="7A402884" w:rsidR="003A2DEC" w:rsidRPr="003A2DEC" w:rsidRDefault="003A2DEC" w:rsidP="003A2DEC">
      <w:pPr>
        <w:pStyle w:val="Paragraphedeliste"/>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 xml:space="preserve">L'écran de création (C-07) ne montre pas l'indicateur d'enregistrement automatique : le document est vierge, le titre est vide, et le mécanisme ne s'arme qu'à partir d'un titre valide. La fonctionnalité est bien présente (§ 7.1.2)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Heading3"/>
      </w:pPr>
      <w:r>
        <w:t xml:space="preserve">a. Modèles SQLAlchemy —</w:t>
      </w:r>
      <w:r>
        <w:t xml:space="preserve"> </w:t>
      </w:r>
      <w:r>
        <w:rPr>
          <w:rStyle w:val="VerbatimChar"/>
        </w:rPr>
        <w:t xml:space="preserve">backend/database/db.py</w:t>
      </w:r>
      <w:r>
        <w:t xml:space="preserve"> </w:t>
      </w:r>
      <w:r>
        <w:t xml:space="preserve">(extrait)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Heading3"/>
      </w:pPr>
      <w:r>
        <w:t xml:space="preserve">b. Comptage du quota IA sur fenêtre glissante —</w:t>
      </w:r>
      <w:r>
        <w:t xml:space="preserve"> </w:t>
      </w:r>
      <w:r>
        <w:rPr>
          <w:rStyle w:val="VerbatimChar"/>
        </w:rPr>
        <w:t xml:space="preserve">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Heading3"/>
      </w:pPr>
      <w:r>
        <w:t xml:space="preserve">c. Script de modification de la base —</w:t>
      </w:r>
      <w:r>
        <w:t xml:space="preserve"> </w:t>
      </w:r>
      <w:r>
        <w:rPr>
          <w:rStyle w:val="VerbatimChar"/>
        </w:rPr>
        <w:t xml:space="preserve">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xml:space="preserve">, sept tables, MySQL 8) est versionné dans le dépôt ; ses extraits significatifs figurent en § 5.5.2. Le script de</w:t>
      </w:r>
      <w:r>
        <w:t xml:space="preserve"> </w:t>
      </w:r>
      <w:r>
        <w:rPr>
          <w:bCs/>
          <w:b/>
        </w:rPr>
        <w:t xml:space="preserve">migration</w:t>
      </w:r>
      <w:r>
        <w:t xml:space="preserve"> </w:t>
      </w:r>
      <w:r>
        <w:t xml:space="preserve">est reproduit ici intégralement, car l'ordre de ses opérations porte un raisonnement (§ 5.5.3).</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Heading3"/>
      </w:pPr>
      <w:r>
        <w:t xml:space="preserve">a. Configuration —</w:t>
      </w:r>
      <w:r>
        <w:t xml:space="preserve"> </w:t>
      </w:r>
      <w:r>
        <w:rPr>
          <w:rStyle w:val="VerbatimChar"/>
        </w:rPr>
        <w:t xml:space="preserve">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Heading3"/>
      </w:pPr>
      <w:r>
        <w:t xml:space="preserve">b. 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Heading3"/>
      </w:pPr>
      <w:r>
        <w:t xml:space="preserve">c. 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Heading3"/>
      </w:pPr>
      <w:r>
        <w:t xml:space="preserve">d. 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Heading3"/>
      </w:pPr>
      <w:r>
        <w:t xml:space="preserve">e. 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xml:space="preserve">— figure en § 6.4 et n'est pas répété ici.</w:t>
      </w:r>
    </w:p>
    <w:bookmarkEnd w:id="156"/>
    <w:bookmarkEnd w:id="157"/>
    <w:sectPr w:rsidR="00E93063" w:rsidSect="00B1648B">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