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7562" w14:textId="0F02B891" w:rsidR="003A2DEC" w:rsidRDefault="003A2DEC"/>
    <w:tbl>
      <w:tblPr>
        <w:tblpPr w:leftFromText="187" w:rightFromText="187" w:horzAnchor="margin" w:tblpXSpec="center" w:tblpY="2881"/>
        <w:jc w:val="center"/>
        <w:tblBorders>
          <w:left w:val="single" w:sz="12" w:space="0" w:color="4472C4" w:themeColor="accent1"/>
        </w:tblBorders>
        <w:tblCellMar>
          <w:left w:w="144" w:type="dxa"/>
          <w:right w:w="115" w:type="dxa"/>
        </w:tblCellMar>
        <w:tblLook w:val="04A0" w:firstRow="1" w:lastRow="0" w:firstColumn="1" w:lastColumn="0" w:noHBand="0" w:noVBand="1"/>
        <w:tblW w:w="5000" w:type="pct"/>
        <w:tblLayout w:type="autofit"/>
      </w:tblPr>
      <w:tblGrid>
        <w:gridCol w:w="7246"/>
      </w:tblGrid>
      <w:tr w:rsidR="003A2DEC" w14:paraId="5ABF774E" w14:textId="77777777">
        <w:tc>
          <w:tcPr>
            <w:tcMar>
              <w:top w:w="216" w:type="dxa"/>
              <w:left w:w="115" w:type="dxa"/>
              <w:bottom w:w="216" w:type="dxa"/>
              <w:right w:w="115" w:type="dxa"/>
            </w:tcMar>
          </w:tcPr>
          <w:p w14:paraId="4FC1D970" w14:textId="77777777" w:rsidR="003A2DEC" w:rsidRDefault="003A2DEC">
            <w:pPr>
              <w:pStyle w:val="Sansinterligne"/>
              <w:rPr>
                <w:color w:val="2F5496" w:themeColor="accent1" w:themeShade="BF"/>
                <w:sz w:val="24"/>
              </w:rPr>
            </w:pPr>
            <w:r>
              <w:rPr>
                <w:color w:val="2F5496" w:themeColor="accent1" w:themeShade="BF"/>
                <w:sz w:val="24"/>
                <w:szCs w:val="24"/>
              </w:rPr>
              <w:t>LexiCorp</w:t>
            </w:r>
          </w:p>
        </w:tc>
      </w:tr>
      <w:tr w:rsidR="003A2DEC" w14:paraId="7AC04B7E" w14:textId="77777777">
        <w:tc>
          <w:tcPr/>
          <w:p w14:paraId="7E50BF1A" w14:textId="5DCEEACE" w:rsidR="003A2DEC" w:rsidRDefault="003A2DEC">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Dossier projet</w:t>
            </w:r>
          </w:p>
        </w:tc>
      </w:tr>
      <w:tr w:rsidR="003A2DEC" w14:paraId="7CC0BCFF" w14:textId="77777777">
        <w:tc>
          <w:tcPr>
            <w:tcMar>
              <w:top w:w="216" w:type="dxa"/>
              <w:left w:w="115" w:type="dxa"/>
              <w:bottom w:w="216" w:type="dxa"/>
              <w:right w:w="115" w:type="dxa"/>
            </w:tcMar>
          </w:tcPr>
          <w:p w14:paraId="3E1D1523" w14:textId="549724AD" w:rsidR="003A2DEC" w:rsidRDefault="003A2DEC">
            <w:pPr>
              <w:pStyle w:val="Sansinterligne"/>
              <w:rPr>
                <w:color w:val="2F5496" w:themeColor="accent1" w:themeShade="BF"/>
                <w:sz w:val="24"/>
              </w:rPr>
            </w:pPr>
            <w:r>
              <w:rPr>
                <w:color w:val="2F5496" w:themeColor="accent1" w:themeShade="BF"/>
                <w:sz w:val="24"/>
                <w:szCs w:val="24"/>
              </w:rPr>
              <w:t>HelpMeDraft — assistant de rédaction assistée par IA</w:t>
            </w:r>
          </w:p>
        </w:tc>
      </w:tr>
    </w:tbl>
    <w:tbl>
      <w:tblPr>
        <w:tblpPr w:leftFromText="187" w:rightFromText="187" w:horzAnchor="margin" w:tblpXSpec="center" w:tblpYSpec="bottom"/>
        <w:jc w:val="center"/>
        <w:tblLook w:val="04A0" w:firstRow="1" w:lastRow="0" w:firstColumn="1" w:lastColumn="0" w:noHBand="0" w:noVBand="1"/>
        <w:tblW w:w="5000" w:type="pct"/>
        <w:tblLayout w:type="autofit"/>
      </w:tblPr>
      <w:tblGrid>
        <w:gridCol w:w="6998"/>
      </w:tblGrid>
      <w:tr w:rsidR="003A2DEC" w14:paraId="7DFAA099" w14:textId="77777777">
        <w:tc>
          <w:tcPr>
            <w:tcMar>
              <w:top w:w="216" w:type="dxa"/>
              <w:left w:w="115" w:type="dxa"/>
              <w:bottom w:w="216" w:type="dxa"/>
              <w:right w:w="115" w:type="dxa"/>
            </w:tcMar>
          </w:tcPr>
          <w:p w14:paraId="091F8850" w14:textId="4E993FF7" w:rsidR="003A2DEC" w:rsidRDefault="003A2DEC">
            <w:pPr>
              <w:pStyle w:val="Sansinterligne"/>
              <w:rPr>
                <w:color w:val="4472C4" w:themeColor="accent1"/>
                <w:sz w:val="28"/>
                <w:szCs w:val="28"/>
              </w:rPr>
            </w:pPr>
            <w:r>
              <w:rPr>
                <w:color w:val="4472C4" w:themeColor="accent1"/>
                <w:sz w:val="28"/>
                <w:szCs w:val="28"/>
              </w:rPr>
              <w:t xml:space="preserve">Ophélie Bellissens  /  CDA  /  Metz Numeric School</w:t>
            </w:r>
            <w:proofErr w:type="spellStart"/>
            <w:proofErr w:type="gramStart"/>
            <w:r>
              <w:rPr>
                <w:color w:val="4472C4" w:themeColor="accent1"/>
                <w:sz w:val="28"/>
                <w:szCs w:val="28"/>
              </w:rPr>
              <w:t/>
            </w:r>
            <w:proofErr w:type="spellEnd"/>
            <w:r>
              <w:rPr>
                <w:color w:val="4472C4" w:themeColor="accent1"/>
                <w:sz w:val="28"/>
                <w:szCs w:val="28"/>
              </w:rPr>
              <w:t xml:space="preserve"/>
            </w:r>
            <w:proofErr w:type="gramEnd"/>
            <w:r>
              <w:rPr>
                <w:color w:val="4472C4" w:themeColor="accent1"/>
                <w:sz w:val="28"/>
                <w:szCs w:val="28"/>
              </w:rPr>
              <w:t xml:space="preserve"/>
            </w:r>
          </w:p>
          <w:p w14:paraId="19BD1A57" w14:textId="77777777" w:rsidR="003A2DEC" w:rsidRDefault="003A2DEC">
            <w:pPr>
              <w:pStyle w:val="Sansinterligne"/>
              <w:rPr>
                <w:color w:val="4472C4" w:themeColor="accent1"/>
                <w:sz w:val="28"/>
                <w:szCs w:val="28"/>
              </w:rPr>
            </w:pPr>
            <w:r>
              <w:rPr>
                <w:color w:val="4472C4" w:themeColor="accent1"/>
                <w:sz w:val="28"/>
                <w:szCs w:val="28"/>
              </w:rPr>
              <w:t>Octobre 2026</w:t>
            </w:r>
          </w:p>
          <w:p w14:paraId="06A834B4" w14:textId="77777777" w:rsidR="003A2DEC" w:rsidRDefault="003A2DEC">
            <w:pPr>
              <w:pStyle w:val="Sansinterligne"/>
              <w:rPr>
                <w:color w:val="4472C4" w:themeColor="accent1"/>
              </w:rPr>
            </w:pPr>
          </w:p>
        </w:tc>
      </w:tr>
    </w:tbl>
    <w:p w14:paraId="101A3917" w14:textId="1D242741" w:rsidR="003A2DEC" w:rsidRDefault="003A2DEC">
      <w:r>
        <w:br w:type="page"/>
      </w:r>
    </w:p>
    <w:sdt>
      <w:sdtPr>
        <w:rPr>
          <w:rFonts w:asciiTheme="minorHAnsi" w:eastAsiaTheme="minorHAnsi" w:hAnsiTheme="minorHAnsi" w:cstheme="minorBidi"/>
          <w:color w:val="auto"/>
          <w:kern w:val="2"/>
          <w:sz w:val="22"/>
          <w:szCs w:val="22"/>
          <w:lang w:eastAsia="en-US"/>
          <w14:ligatures w14:val="standardContextual"/>
        </w:rPr>
        <w:id w:val="-38128262"/>
        <w:docPartObj>
          <w:docPartGallery w:val="Table of Contents"/>
          <w:docPartUnique/>
        </w:docPartObj>
      </w:sdtPr>
      <w:sdtEndPr>
        <w:rPr>
          <w:b/>
          <w:bCs/>
        </w:rPr>
      </w:sdtEndPr>
      <w:sdtContent>
        <w:p w14:paraId="430BC915" w14:textId="3C7C127A" w:rsidR="00B1648B" w:rsidRDefault="00B1648B" w:rsidP="00B1648B">
          <w:pPr>
            <w:pStyle w:val="En-ttedetabledesmatires"/>
            <w:jc w:val="center"/>
          </w:pPr>
          <w:r>
            <w:t>Table des matières</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fldChar w:fldCharType="begin"/>
          </w:r>
          <w:r>
            <w:instrText xml:space="preserve"> TOC \o "1-3" \h \z \u </w:instrText>
          </w:r>
          <w:r>
            <w:fldChar w:fldCharType="separate"/>
          </w:r>
          <w:r>
            <w:t>1.</w:t>
            <w:tab/>
            <w:t>La liste des compétences mises en œuvre dans le cadre du projet</w:t>
            <w:tab/>
            <w:t>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2.</w:t>
            <w:tab/>
            <w:t>Le cahier des charges ou l’expression des besoins du projet</w:t>
            <w:tab/>
            <w:t>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3.</w:t>
            <w:tab/>
            <w:t>- la présentation de l’entreprise et du service</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4.</w:t>
            <w:tab/>
            <w:t>La gestion de projet</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w:t>
            <w:tab/>
            <w:t>Les spécifications fonctionnelles du projet</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5.1.</w:t>
            <w:tab/>
            <w:t>Les contraintes du projet et livrables attendus</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5.2.</w:t>
            <w:tab/>
            <w:t>L’architecture logicielle du projet</w:t>
            <w:tab/>
            <w:t>11</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5.3.</w:t>
            <w:tab/>
            <w:t>Les maquettes et enchaînement des maquettes</w:t>
            <w:tab/>
            <w:t>13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5.4.</w:t>
            <w:tab/>
            <w:t>Le modèle entités-associations et modèle physique de la base de données</w:t>
            <w:tab/>
            <w:t>17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5.5.</w:t>
            <w:tab/>
            <w:t>Le script de création ou de modification de la base de données</w:t>
            <w:tab/>
            <w:t>23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5.6.</w:t>
            <w:tab/>
            <w:t>Le diagramme du comportement des fonctionnalités de type cas d’utilisations</w:t>
            <w:tab/>
            <w:t>25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5.7.</w:t>
            <w:tab/>
            <w:t>Le diagramme du détail des cas d’utilisations les plus significatifs de type diagramme de séquence</w:t>
            <w:tab/>
            <w:t>26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6.</w:t>
            <w:tab/>
            <w:t>Les spécifications techniques du projet</w:t>
            <w:tab/>
            <w:t>28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w:t>
            <w:tab/>
            <w:t>Les réalisations du candidat comportant les extraits de code les plus significatifs, les arguments qui ont conduit à ses choix, y compris pour la sécurité</w:t>
            <w:tab/>
            <w:t>34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7.1.</w:t>
            <w:tab/>
            <w:t>Les captures d’écran d’interfaces utilisateur et le code correspondant</w:t>
            <w:tab/>
            <w:t>34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7.2.</w:t>
            <w:tab/>
            <w:t>Des extraits de code de composants métier</w:t>
            <w:tab/>
            <w:t>38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7.3.</w:t>
            <w:tab/>
            <w:t>Des extraits de code de composants d’accès aux données</w:t>
            <w:tab/>
            <w:t>39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7.4.</w:t>
            <w:tab/>
            <w:t>Des extraits de code d’autres composants</w:t>
            <w:tab/>
            <w:t>42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8.</w:t>
            <w:tab/>
            <w:t>La présentation d’éléments de sécurité de l’application</w:t>
            <w:tab/>
            <w:t>44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9.</w:t>
            <w:tab/>
            <w:t>La présentation du plan de tests</w:t>
            <w:tab/>
            <w:t>49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10.</w:t>
            <w:tab/>
            <w:t>La présentation d’un jeu d’essai élaboré par le candidat</w:t>
            <w:tab/>
            <w:t>56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11.</w:t>
            <w:tab/>
            <w:t>- la description de la veille, effectuée par le candidat</w:t>
            <w:tab/>
            <w:t>59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w:t>
            <w:tab/>
            <w:t>ANNEXES</w:t>
            <w:tab/>
            <w:t>63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12.1.</w:t>
            <w:tab/>
            <w:t>Les maquettes des interfaces utilisateur</w:t>
            <w:tab/>
            <w:t>63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12.2.</w:t>
            <w:tab/>
            <w:t>Les captures d’écrans d’interfaces utilisateurs et le code correspondant</w:t>
            <w:tab/>
            <w:t>67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12.3.</w:t>
            <w:tab/>
            <w:t>Le code de composants métier les plus significatifs</w:t>
            <w:tab/>
            <w:t>72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12.4.</w:t>
            <w:tab/>
            <w:t>Le code de composants d’accès aux données les plus significatifs</w:t>
            <w:tab/>
            <w:t>76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12.5.</w:t>
            <w:tab/>
            <w:t>Le code d’autres composants</w:t>
            <w:tab/>
            <w:t>79</w:t>
          </w:r>
        </w:p>
        <w:p w14:paraId="400632DD" w14:textId="3EE4670A" w:rsidR="00B1648B" w:rsidRDefault="00B1648B" w:rsidP="00B1648B">
          <w:r>
            <w:rPr>
              <w:b/>
              <w:bCs/>
            </w:rPr>
            <w:fldChar w:fldCharType="end"/>
          </w:r>
        </w:p>
      </w:sdtContent>
    </w:sdt>
    <w:p w14:paraId="7011BD30" w14:textId="77777777" w:rsidR="00B1648B" w:rsidRDefault="00B1648B" w:rsidP="00B1648B"/>
    <w:p w14:paraId="655D83B9" w14:textId="77777777" w:rsidR="00B1648B" w:rsidRDefault="00B1648B" w:rsidP="00B1648B">
      <w:pPr>
        <w:sectPr w:rsidR="00B1648B" w:rsidSect="003A2DEC">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8" w:footer="708" w:gutter="0"/>
          <w:pgNumType w:start="1"/>
          <w:cols w:space="708"/>
          <w:titlePg/>
          <w:docGrid w:linePitch="360"/>
        </w:sectPr>
      </w:pPr>
    </w:p>
    <w:p w14:paraId="416AD645" w14:textId="2EFC2F6C" w:rsidR="003A2DEC" w:rsidRPr="00B1648B" w:rsidRDefault="003A2DEC" w:rsidP="00B1648B">
      <w:pPr>
        <w:pStyle w:val="Titre1"/>
        <w:numPr>
          <w:ilvl w:val="0"/>
          <w:numId w:val="5"/>
        </w:numPr>
        <w:rPr>
          <w:sz w:val="36"/>
          <w:szCs w:val="36"/>
        </w:rPr>
      </w:pPr>
      <w:bookmarkStart w:id="0" w:name="_Toc198828305"/>
      <w:r w:rsidRPr="00B1648B">
        <w:rPr>
          <w:sz w:val="36"/>
          <w:szCs w:val="36"/>
        </w:rPr>
        <w:lastRenderedPageBreak/>
        <w:t>La liste des compétences mises en œuvre dans le cadre du projet</w:t>
      </w:r>
      <w:bookmarkEnd w:id="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4</w:t>
            </w:r>
          </w:p>
        </w:tc>
      </w:tr>
    </w:tbl>
    <w:p>
      <w:pPr>
        <w:pStyle w:val="BodyText"/>
      </w:pPr>
      <w:r>
        <w:rPr>
          <w:bCs/>
          <w:b/>
        </w:rPr>
        <w:t xml:space="preserve">Activité type 2 — Concevoir et développer une application sécurisée organisée en couches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7.3, § 12.4</w:t>
            </w:r>
          </w:p>
        </w:tc>
      </w:tr>
    </w:tbl>
    <w:p>
      <w:pPr>
        <w:pStyle w:val="BodyText"/>
      </w:pPr>
      <w:r>
        <w:rPr>
          <w:bCs/>
          <w:b/>
        </w:rPr>
        <w:t xml:space="preserve">Activité type 3 — Préparer le déploiement d'une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6</w:t>
            </w:r>
          </w:p>
        </w:tc>
      </w:tr>
    </w:tbl>
    <w:p>
      <w:pPr>
        <w:pStyle w:val="BodyText"/>
      </w:pPr>
      <w:r>
        <w:rPr>
          <w:bCs/>
        </w:rPr>
        <w:t xml:space="preserve">Compétences transversales</w:t>
      </w:r>
      <w:r>
        <w:t xml:space="preserve"> </w:t>
      </w:r>
      <w:r>
        <w:t>—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14:paraId="3AAAF81F" w14:textId="5AAD3F46" w:rsidR="003A2DEC" w:rsidRPr="00B1648B" w:rsidRDefault="003A2DEC" w:rsidP="003A2DEC">
      <w:pPr>
        <w:pStyle w:val="Titre1"/>
        <w:numPr>
          <w:ilvl w:val="0"/>
          <w:numId w:val="5"/>
        </w:numPr>
        <w:rPr>
          <w:sz w:val="36"/>
          <w:szCs w:val="36"/>
        </w:rPr>
      </w:pPr>
      <w:bookmarkStart w:id="1" w:name="_Toc198828306"/>
      <w:r w:rsidRPr="00B1648B">
        <w:rPr>
          <w:sz w:val="36"/>
          <w:szCs w:val="36"/>
        </w:rPr>
        <w:t>Le cahier des charges ou l’expression des besoins du projet</w:t>
      </w:r>
      <w:bookmarkEnd w:id="1"/>
    </w:p>
    <w:p>
      <w:pPr>
        <w:pStyle w:val="BodyText"/>
      </w:pPr>
      <w:r>
        <w:rPr>
          <w:b/>
        </w:rPr>
        <w:t>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BodyText"/>
      </w:pPr>
      <w:r>
        <w:rPr>
          <w:b/>
        </w:rPr>
        <w:t>Objectifs fonctionnels</w:t>
      </w:r>
    </w:p>
    <w:p>
      <w:pPr>
        <w:pStyle w:val="FirstParagraph"/>
      </w:pPr>
      <w:r>
        <w:t xml:space="preserve">Le cahier des charges fixe quatre objectifs :</w:t>
      </w:r>
    </w:p>
    <w:p>
      <w:pPr>
        <w:numPr>
          <w:ilvl w:val="0"/>
          <w:numId w:val="2003"/>
        </w:numPr>
        <w:pStyle w:val="Compact"/>
      </w:pPr>
      <w:r>
        <w:t xml:space="preserve">permettre à l'utilisateur de rédiger et de stocker ses documents professionnels ;</w:t>
      </w:r>
    </w:p>
    <w:p>
      <w:pPr>
        <w:numPr>
          <w:ilvl w:val="0"/>
          <w:numId w:val="2003"/>
        </w:numPr>
        <w:pStyle w:val="Compact"/>
      </w:pPr>
      <w:r>
        <w:t xml:space="preserve">lui proposer des suggestions et des reformulations produites par un modèle de langage ;</w:t>
      </w:r>
    </w:p>
    <w:p>
      <w:pPr>
        <w:numPr>
          <w:ilvl w:val="0"/>
          <w:numId w:val="2003"/>
        </w:numPr>
        <w:pStyle w:val="Compact"/>
      </w:pPr>
      <w:r>
        <w:t xml:space="preserve">lui offrir un espace personnel sécurisé, avec authentification et historique ;</w:t>
      </w:r>
    </w:p>
    <w:p>
      <w:pPr>
        <w:numPr>
          <w:ilvl w:val="0"/>
          <w:numId w:val="2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BodyText"/>
      </w:pPr>
      <w:r>
        <w:rPr>
          <w:b/>
        </w:rPr>
        <w:t>Périmètre fonctionnel attendu</w:t>
      </w:r>
    </w:p>
    <w:p>
      <w:pPr>
        <w:pStyle w:val="FirstParagraph"/>
      </w:pPr>
      <w:r>
        <w:rPr>
          <w:bCs/>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rPr>
        <w:t xml:space="preserve">d. Intégration IA</w:t>
      </w:r>
      <w:r>
        <w:t xml:space="preserve"> </w:t>
      </w:r>
      <w:r>
        <w:t xml:space="preserve">— appels sécurisés vers le service de génération, prompt engineering dynamique, affichage différencié du résultat.</w:t>
      </w:r>
    </w:p>
    <w:p>
      <w:pPr>
        <w:pStyle w:val="BodyText"/>
      </w:pPr>
      <w:r>
        <w:rPr>
          <w:bCs/>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BodyText"/>
      </w:pPr>
      <w:r>
        <w:rPr>
          <w:b/>
        </w:rPr>
        <w:t>Exigences non fonctionnelles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rPr>
        <w:t xml:space="preserve">postérieure à la rédaction du cahier des charges</w:t>
      </w:r>
      <w:r>
        <w:t>, s'est ajoutée en cours de projet : les obligations de transparence de l'AI Act, applicables depuis le 2 août 2026 (§ 11).</w:t>
      </w:r>
    </w:p>
    <w:bookmarkEnd w:id="25"/>
    <w:bookmarkStart w:id="26" w:name="Xd05cc1879bab2903b908698afdb19b362a69363"/>
    <w:p>
      <w:pPr>
        <w:pStyle w:val="BodyText"/>
      </w:pPr>
      <w:r>
        <w:rPr>
          <w:b/>
        </w:rPr>
        <w:t>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Deux écarts assumés par rapport à cette recommandation sont justifiés en § 5.2 : l'usage de</w:t>
      </w:r>
      <w:r>
        <w:t xml:space="preserve"> </w:t>
      </w:r>
      <w:r>
        <w:rPr>
          <w:bCs/>
        </w:rPr>
        <w:t xml:space="preserve">Vue 3</w:t>
      </w:r>
      <w:r>
        <w:t xml:space="preserve"> </w:t>
      </w:r>
      <w:r>
        <w:t xml:space="preserve">à la place de React, et le choix d'un</w:t>
      </w:r>
      <w:r>
        <w:t xml:space="preserve"> </w:t>
      </w:r>
      <w:r>
        <w:rPr>
          <w:bCs/>
        </w:rPr>
        <w:t xml:space="preserve">modèle local Ollama</w:t>
      </w:r>
      <w:r>
        <w:t xml:space="preserve"> </w:t>
      </w:r>
      <w:r>
        <w:t xml:space="preserve">plutôt que l'API OpenAI.</w:t>
      </w:r>
    </w:p>
    <w:bookmarkEnd w:id="26"/>
    <w:bookmarkStart w:id="28" w:name="X3fe6f3465e309ef0e7afbd741db361977ba68b4"/>
    <w:p>
      <w:pPr>
        <w:pStyle w:val="BodyText"/>
      </w:pPr>
      <w:r>
        <w:rPr>
          <w:b/>
        </w:rPr>
        <w:t>Limites du projet</w:t>
      </w:r>
    </w:p>
    <w:p>
      <w:pPr>
        <w:pStyle w:val="FirstParagraph"/>
      </w:pPr>
      <w:r>
        <w:t xml:space="preserve">Les éléments suivants sont explicitement hors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14:paraId="4BFD9C0C" w14:textId="1A56EDCA" w:rsidR="003A2DEC" w:rsidRPr="00B1648B" w:rsidRDefault="003A2DEC" w:rsidP="003A2DEC">
      <w:pPr>
        <w:pStyle w:val="Titre1"/>
        <w:numPr>
          <w:ilvl w:val="0"/>
          <w:numId w:val="5"/>
        </w:numPr>
        <w:rPr>
          <w:sz w:val="36"/>
          <w:szCs w:val="36"/>
        </w:rPr>
      </w:pPr>
      <w:bookmarkStart w:id="2" w:name="_Toc198828307"/>
      <w:r w:rsidRPr="00B1648B">
        <w:rPr>
          <w:sz w:val="36"/>
          <w:szCs w:val="36"/>
        </w:rPr>
        <w:t>- la présentation de l’entreprise et du service</w:t>
      </w:r>
      <w:bookmarkEnd w:id="2"/>
      <w:r w:rsidRPr="00B1648B">
        <w:rPr>
          <w:sz w:val="36"/>
          <w:szCs w:val="36"/>
        </w:rPr>
        <w:t xml:space="preserve"> </w:t>
      </w:r>
    </w:p>
    <w:p>
      <w:pPr>
        <w:pStyle w:val="BodyText"/>
      </w:pPr>
      <w:r>
        <w:rPr>
          <w:b/>
        </w:rPr>
        <w:t>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BodyText"/>
      </w:pPr>
      <w:r>
        <w:rPr>
          <w:b/>
        </w:rPr>
        <w:t>Le service et mon positionnement</w:t>
      </w:r>
    </w:p>
    <w:p>
      <w:pPr>
        <w:pStyle w:val="FirstParagraph"/>
      </w:pPr>
      <w:r>
        <w:t xml:space="preserve">Le projet est rattaché au pôle produit de LexiCorp. J'y intervenais en tant que</w:t>
      </w:r>
      <w:r>
        <w:t xml:space="preserve"> </w:t>
      </w:r>
      <w:r>
        <w:rPr>
          <w:bCs/>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14:paraId="5B584995" w14:textId="69F4200D" w:rsidR="003A2DEC" w:rsidRPr="00B1648B" w:rsidRDefault="003A2DEC" w:rsidP="003A2DEC">
      <w:pPr>
        <w:pStyle w:val="Titre1"/>
        <w:numPr>
          <w:ilvl w:val="0"/>
          <w:numId w:val="5"/>
        </w:numPr>
        <w:rPr>
          <w:sz w:val="36"/>
          <w:szCs w:val="36"/>
        </w:rPr>
      </w:pPr>
      <w:bookmarkStart w:id="3" w:name="_Toc198828308"/>
      <w:r w:rsidRPr="00B1648B">
        <w:rPr>
          <w:sz w:val="36"/>
          <w:szCs w:val="36"/>
        </w:rPr>
        <w:t>La gestion de projet</w:t>
      </w:r>
      <w:bookmarkEnd w:id="3"/>
      <w:r w:rsidRPr="00B1648B">
        <w:rPr>
          <w:sz w:val="36"/>
          <w:szCs w:val="36"/>
        </w:rPr>
        <w:t xml:space="preserve"> </w:t>
      </w:r>
    </w:p>
    <w:p>
      <w:pPr>
        <w:pStyle w:val="BodyText"/>
      </w:pPr>
      <w:r>
        <w:rPr>
          <w:b/>
        </w:rPr>
        <w:t>Méthode retenue</w:t>
      </w:r>
    </w:p>
    <w:p>
      <w:pPr>
        <w:pStyle w:val="FirstParagraph"/>
      </w:pPr>
      <w:r>
        <w:t xml:space="preserve">J'ai travaillé en</w:t>
      </w:r>
      <w:r>
        <w:t xml:space="preserve"> </w:t>
      </w:r>
      <w:r>
        <w:rPr>
          <w:bCs/>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BodyText"/>
      </w:pPr>
      <w:r>
        <w:rPr>
          <w:b/>
        </w:rPr>
        <w:t>Planning et suivi</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Terminé (§ 8)</w:t>
            </w:r>
          </w:p>
        </w:tc>
      </w:tr>
      <w:tr>
        <w:tc>
          <w:tcPr/>
          <w:p>
            <w:pPr>
              <w:pStyle w:val="Compact"/>
              <w:jc w:val="left"/>
            </w:pPr>
            <w:r>
              <w:t xml:space="preserve">Journal de veille</w:t>
            </w:r>
          </w:p>
        </w:tc>
        <w:tc>
          <w:tcPr/>
          <w:p>
            <w:pPr>
              <w:pStyle w:val="Compact"/>
              <w:jc w:val="left"/>
            </w:pPr>
            <w:r>
              <w:t>Terminé (§ 11)</w:t>
            </w:r>
          </w:p>
        </w:tc>
      </w:tr>
      <w:tr>
        <w:tc>
          <w:tcPr/>
          <w:p>
            <w:pPr>
              <w:pStyle w:val="Compact"/>
              <w:jc w:val="left"/>
            </w:pPr>
            <w:r>
              <w:t xml:space="preserve">Mise à niveau des dépendances issue de la veille</w:t>
            </w:r>
          </w:p>
        </w:tc>
        <w:tc>
          <w:tcPr/>
          <w:p>
            <w:pPr>
              <w:pStyle w:val="Compact"/>
              <w:jc w:val="left"/>
            </w:pPr>
            <w:r>
              <w:t>Terminée (§ 11) — DOMPurify 3.4.16, Ollama 0.35.1</w:t>
            </w:r>
          </w:p>
        </w:tc>
      </w:tr>
      <w:tr>
        <w:tc>
          <w:tcPr/>
          <w:p>
            <w:pPr>
              <w:pStyle w:val="Compact"/>
              <w:jc w:val="left"/>
            </w:pPr>
            <w:r>
              <w:t xml:space="preserve">Mention de transparence IA (AI Act)</w:t>
            </w:r>
          </w:p>
        </w:tc>
        <w:tc>
          <w:tcPr/>
          <w:p>
            <w:pPr>
              <w:pStyle w:val="Compact"/>
              <w:jc w:val="left"/>
            </w:pPr>
            <w:r>
              <w:t>À faire (§ 11)</w:t>
            </w:r>
          </w:p>
        </w:tc>
      </w:tr>
      <w:tr>
        <w:tc>
          <w:tcPr/>
          <w:p>
            <w:pPr>
              <w:pStyle w:val="Compact"/>
              <w:jc w:val="left"/>
            </w:pPr>
            <w:r>
              <w:t xml:space="preserve">Plan de tests et jeu d'essai</w:t>
            </w:r>
          </w:p>
        </w:tc>
        <w:tc>
          <w:tcPr/>
          <w:p>
            <w:pPr>
              <w:pStyle w:val="Compact"/>
              <w:jc w:val="left"/>
            </w:pPr>
            <w:r>
              <w:t>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w:t>
            </w:r>
          </w:p>
        </w:tc>
      </w:tr>
    </w:tbl>
    <w:bookmarkEnd w:id="33"/>
    <w:bookmarkStart w:id="34" w:name="X40a503b0cc59f2508bed4ac11a21206d9a9e273"/>
    <w:p>
      <w:pPr>
        <w:pStyle w:val="BodyText"/>
      </w:pPr>
      <w:r>
        <w:rPr>
          <w:b/>
        </w:rPr>
        <w:t>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BodyText"/>
      </w:pPr>
      <w:r>
        <w:rPr>
          <w:b/>
        </w:rPr>
        <w:t>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11) a montré l'utilité : c'est lui qui permet de savoir, après coup et avec certitude, quelle version exacte d'une dépendance a été installée.</w:t>
      </w:r>
    </w:p>
    <w:bookmarkEnd w:id="35"/>
    <w:bookmarkStart w:id="36" w:name="X114670d3a61b9f61a74d3b84cdf89614e9bcd94"/>
    <w:p>
      <w:pPr>
        <w:pStyle w:val="BodyText"/>
      </w:pPr>
      <w:r>
        <w:rPr>
          <w:b/>
        </w:rPr>
        <w:t>Objectifs de qualité</w:t>
      </w:r>
    </w:p>
    <w:p>
      <w:pPr>
        <w:pStyle w:val="FirstParagraph"/>
      </w:pPr>
      <w:r>
        <w:t xml:space="preserve">Je me suis fixé six objectifs mesurables en début de projet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6</w:t>
            </w:r>
          </w:p>
        </w:tc>
      </w:tr>
    </w:tbl>
    <w:bookmarkEnd w:id="36"/>
    <w:bookmarkStart w:id="38" w:name="X888c3fba5dd05560a3140a9aa5ca8e21944a344"/>
    <w:p>
      <w:pPr>
        <w:pStyle w:val="BodyText"/>
      </w:pPr>
      <w:r>
        <w:rPr>
          <w:b/>
        </w:rPr>
        <w:t>Difficultés rencontrées et arbitrages</w:t>
      </w:r>
    </w:p>
    <w:p>
      <w:pPr>
        <w:pStyle w:val="FirstParagraph"/>
      </w:pPr>
      <w:r>
        <w:rPr>
          <w:bCs/>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rPr>
        <w:t xml:space="preserve">Confidentialité des contenus.</w:t>
      </w:r>
      <w:r>
        <w:t xml:space="preserve"> </w:t>
      </w:r>
      <w:r>
        <w:t>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 d'un service de plus à tenir à jour.</w:t>
      </w:r>
    </w:p>
    <w:p>
      <w:pPr>
        <w:pStyle w:val="BodyText"/>
      </w:pPr>
      <w:r>
        <w:rPr>
          <w:bCs/>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rPr>
        <w:t xml:space="preserve">les textes de l'interface, et les prompts, font partie des spécifications</w:t>
      </w:r>
      <w:r>
        <w:t>, au même titre qu'une route ou un modèle de données. Ils dérivent d'autant plus facilement qu'aucun test ne les couvre, et seule une relecture confrontée au cahier des charges les rattrape. C'est la raison d'être du cas de test TU-04 du § 9, qui verrouille désormais ce point.</w:t>
      </w:r>
    </w:p>
    <w:p>
      <w:pPr>
        <w:pStyle w:val="BodyText"/>
      </w:pPr>
      <w:r>
        <w:rPr>
          <w:bCs/>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rPr>
        <w:t xml:space="preserve">une capture atteste d'un état, pas d'un comportement</w:t>
      </w:r>
      <w:r>
        <w:t>. Vérifier une fonctionnalité demande de lire le code ou d'exécuter un scénario, pas de regarder une image fixe. C'est précisément la raison d'être du jeu d'essai documenté en § 10.</w:t>
      </w:r>
    </w:p>
    <w:p w14:paraId="650BAF12" w14:textId="74055DB3" w:rsidR="003A2DEC" w:rsidRPr="00B1648B" w:rsidRDefault="003A2DEC" w:rsidP="003A2DEC">
      <w:pPr>
        <w:pStyle w:val="Titre1"/>
        <w:numPr>
          <w:ilvl w:val="0"/>
          <w:numId w:val="5"/>
        </w:numPr>
        <w:rPr>
          <w:sz w:val="36"/>
          <w:szCs w:val="36"/>
        </w:rPr>
      </w:pPr>
      <w:bookmarkStart w:id="4" w:name="_Toc198828309"/>
      <w:r w:rsidRPr="00B1648B">
        <w:rPr>
          <w:sz w:val="36"/>
          <w:szCs w:val="36"/>
        </w:rPr>
        <w:t>Les spécifications fonctionnelles du projet</w:t>
      </w:r>
      <w:bookmarkEnd w:id="4"/>
      <w:r w:rsidRPr="00B1648B">
        <w:rPr>
          <w:sz w:val="36"/>
          <w:szCs w:val="36"/>
        </w:rPr>
        <w:t xml:space="preserve"> </w:t>
      </w:r>
    </w:p>
    <w:p>
      <w:pPr>
        <w:pStyle w:val="BodyText"/>
      </w:pPr>
      <w:r>
        <w:rPr>
          <w:b/>
        </w:rPr>
        <w:t>Acteurs et vue d'ensemble</w:t>
      </w:r>
    </w:p>
    <w:p>
      <w:pPr>
        <w:pStyle w:val="FirstParagraph"/>
      </w:pPr>
      <w:r>
        <w:t xml:space="preserve">Trois acteurs interviennent dans le système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rPr>
        <w:t xml:space="preserve">système externe</w:t>
      </w:r>
      <w:r>
        <w:t xml:space="preserve"> </w:t>
      </w:r>
      <w:r>
        <w:t xml:space="preserve">sollicité par l'API, jamais par le navigateur.</w:t>
      </w:r>
    </w:p>
    <w:bookmarkEnd w:id="39"/>
    <w:bookmarkStart w:id="44" w:name="Xc9c6ce25359aa4a035671141044e249dafa2795"/>
    <w:p w14:paraId="0C482C7E" w14:textId="28F4E18E" w:rsidR="003A2DEC" w:rsidRPr="00B1648B" w:rsidRDefault="003A2DEC" w:rsidP="003A2DEC">
      <w:pPr>
        <w:pStyle w:val="Titre1"/>
        <w:numPr>
          <w:ilvl w:val="1"/>
          <w:numId w:val="5"/>
        </w:numPr>
        <w:rPr>
          <w:sz w:val="36"/>
          <w:szCs w:val="36"/>
        </w:rPr>
      </w:pPr>
      <w:bookmarkStart w:id="5" w:name="_Toc198828310"/>
      <w:r w:rsidRPr="00B1648B">
        <w:rPr>
          <w:sz w:val="36"/>
          <w:szCs w:val="36"/>
        </w:rPr>
        <w:t>Les contraintes du projet et livrables attendus</w:t>
      </w:r>
      <w:bookmarkEnd w:id="5"/>
    </w:p>
    <w:p>
      <w:pPr>
        <w:pStyle w:val="BodyText"/>
      </w:pPr>
      <w:r>
        <w:rPr>
          <w:b/>
        </w:rPr>
        <w:t>Contraintes fonctionnelles</w:t>
      </w:r>
    </w:p>
    <w:p>
      <w:pPr>
        <w:numPr>
          <w:ilvl w:val="0"/>
          <w:numId w:val="2007"/>
        </w:numPr>
        <w:pStyle w:val="Compact"/>
      </w:pPr>
      <w:r>
        <w:t xml:space="preserve">Trois actions IA et trois seulement : reformuler, corriger, compléter.</w:t>
      </w:r>
    </w:p>
    <w:p>
      <w:pPr>
        <w:numPr>
          <w:ilvl w:val="0"/>
          <w:numId w:val="2007"/>
        </w:numPr>
        <w:pStyle w:val="Compact"/>
      </w:pPr>
      <w:r>
        <w:t xml:space="preserve">Chaque action doit pouvoir s'appliquer soit à une sélection de texte, soit au document entier.</w:t>
      </w:r>
    </w:p>
    <w:p>
      <w:pPr>
        <w:numPr>
          <w:ilvl w:val="0"/>
          <w:numId w:val="2007"/>
        </w:numPr>
        <w:pStyle w:val="Compact"/>
      </w:pPr>
      <w:r>
        <w:t xml:space="preserve">Le résultat doit pouvoir être inséré à côté du texte d'origine ou le remplacer ; l'utilisateur garde la décision finale.</w:t>
      </w:r>
    </w:p>
    <w:p>
      <w:pPr>
        <w:numPr>
          <w:ilvl w:val="0"/>
          <w:numId w:val="2007"/>
        </w:numPr>
        <w:pStyle w:val="Compact"/>
      </w:pPr>
      <w:r>
        <w:t xml:space="preserve">Un utilisateur ne voit et ne modifie que ses propres documents et dossiers.</w:t>
      </w:r>
    </w:p>
    <w:p>
      <w:pPr>
        <w:numPr>
          <w:ilvl w:val="0"/>
          <w:numId w:val="2007"/>
        </w:numPr>
        <w:pStyle w:val="Compact"/>
      </w:pPr>
      <w:r>
        <w:t xml:space="preserve">Quota de 20 requêtes IA par utilisateur et par période de 24 heures, modifiable par un administrateur.</w:t>
      </w:r>
    </w:p>
    <w:p>
      <w:pPr>
        <w:numPr>
          <w:ilvl w:val="0"/>
          <w:numId w:val="2007"/>
        </w:numPr>
        <w:pStyle w:val="Compact"/>
      </w:pPr>
      <w:r>
        <w:t xml:space="preserve">Toute interaction IA est journalisée avec le contenu avant et après.</w:t>
      </w:r>
    </w:p>
    <w:p>
      <w:pPr>
        <w:numPr>
          <w:ilvl w:val="0"/>
          <w:numId w:val="2007"/>
        </w:numPr>
        <w:pStyle w:val="Compact"/>
      </w:pPr>
      <w:r>
        <w:t xml:space="preserve">Trois statuts de document : brouillon, à relire, terminé.</w:t>
      </w:r>
    </w:p>
    <w:p>
      <w:pPr>
        <w:numPr>
          <w:ilvl w:val="0"/>
          <w:numId w:val="2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BodyText"/>
      </w:pPr>
      <w:r>
        <w:rPr>
          <w:b/>
        </w:rPr>
        <w:t>Contraintes techniques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Information de l'utilisateur sur la nature générée des propositions — partiellement couvert, complément identifié en § 11</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BodyText"/>
      </w:pPr>
      <w:r>
        <w:rPr>
          <w:b/>
        </w:rPr>
        <w:t>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BodyText"/>
      </w:pPr>
      <w:r>
        <w:rPr>
          <w:b/>
        </w:rPr>
        <w:t>Livrables attendus</w:t>
      </w:r>
    </w:p>
    <w:p>
      <w:pPr>
        <w:pStyle w:val="FirstParagraph"/>
      </w:pPr>
      <w:r>
        <w:rPr>
          <w:bCs/>
          <w:b/>
        </w:rPr>
        <w:t xml:space="preserve">Livrables techniques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11)</w:t>
            </w:r>
          </w:p>
        </w:tc>
      </w:tr>
    </w:tbl>
    <w:p>
      <w:pPr>
        <w:pStyle w:val="BodyText"/>
      </w:pPr>
      <w:r>
        <w:rPr>
          <w:bCs/>
          <w:b/>
        </w:rPr>
        <w:t xml:space="preserve">Livrables fonctionnels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14:paraId="47DFA747" w14:textId="5EBD2C13" w:rsidR="003A2DEC" w:rsidRPr="00B1648B" w:rsidRDefault="003A2DEC" w:rsidP="003A2DEC">
      <w:pPr>
        <w:pStyle w:val="Titre1"/>
        <w:numPr>
          <w:ilvl w:val="1"/>
          <w:numId w:val="5"/>
        </w:numPr>
        <w:rPr>
          <w:sz w:val="36"/>
          <w:szCs w:val="36"/>
        </w:rPr>
      </w:pPr>
      <w:bookmarkStart w:id="6" w:name="_Toc198828311"/>
      <w:r w:rsidRPr="00B1648B">
        <w:rPr>
          <w:sz w:val="36"/>
          <w:szCs w:val="36"/>
        </w:rPr>
        <w:t>L’architecture logicielle du projet</w:t>
      </w:r>
      <w:bookmarkEnd w:id="6"/>
      <w:r w:rsidRPr="00B1648B">
        <w:rPr>
          <w:sz w:val="36"/>
          <w:szCs w:val="36"/>
        </w:rPr>
        <w:t xml:space="preserve"> </w:t>
      </w:r>
    </w:p>
    <w:p>
      <w:pPr>
        <w:pStyle w:val="BodyText"/>
      </w:pPr>
      <w:r>
        <w:rPr>
          <w:b/>
        </w:rPr>
        <w:t>Vue d'ensemble</w:t>
      </w:r>
    </w:p>
    <w:p>
      <w:pPr>
        <w:pStyle w:val="FirstParagraph"/>
      </w:pPr>
      <w:r>
        <w:t xml:space="preserve">L'application suit une architecture</w:t>
      </w:r>
      <w:r>
        <w:t xml:space="preserve"> </w:t>
      </w:r>
      <w:r>
        <w:rPr>
          <w:bCs/>
        </w:rPr>
        <w:t xml:space="preserve">client/serveur découplée en trois niveaux</w:t>
      </w:r>
      <w:r>
        <w:t xml:space="preserve">, avec un service d'inférence local en périphérie :</w:t>
      </w:r>
    </w:p>
    <w:p>
      <w:pPr>
        <w:pStyle w:val="Figure"/>
        <w:jc w:val="center"/>
      </w:pPr>
      <w:r>
        <w:drawing>
          <wp:inline xmlns:a="http://schemas.openxmlformats.org/drawingml/2006/main" xmlns:pic="http://schemas.openxmlformats.org/drawingml/2006/picture">
            <wp:extent cx="5688000" cy="2495755"/>
            <wp:docPr id="1" name="Picture 1"/>
            <wp:cNvGraphicFramePr>
              <a:graphicFrameLocks noChangeAspect="1"/>
            </wp:cNvGraphicFramePr>
            <a:graphic>
              <a:graphicData uri="http://schemas.openxmlformats.org/drawingml/2006/picture">
                <pic:pic>
                  <pic:nvPicPr>
                    <pic:cNvPr id="0" name="archi.png"/>
                    <pic:cNvPicPr/>
                  </pic:nvPicPr>
                  <pic:blipFill>
                    <a:blip r:embed="rId20"/>
                    <a:stretch>
                      <a:fillRect/>
                    </a:stretch>
                  </pic:blipFill>
                  <pic:spPr>
                    <a:xfrm>
                      <a:off x="0" y="0"/>
                      <a:ext cx="5688000" cy="2495755"/>
                    </a:xfrm>
                    <a:prstGeom prst="rect"/>
                  </pic:spPr>
                </pic:pic>
              </a:graphicData>
            </a:graphic>
          </wp:inline>
        </w:drawing>
      </w:r>
    </w:p>
    <w:p>
      <w:pPr>
        <w:pStyle w:val="ImageCaption"/>
      </w:pPr>
      <w:r>
        <w:t>Architecture logicielle — découpage en couches et services périphériques.</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Cette règle, initialement implicite, est devenue une consigne explicite de déploiement après la publication de CVE-2026-7482 (§ 11).</w:t>
      </w:r>
    </w:p>
    <w:bookmarkEnd w:id="45"/>
    <w:bookmarkStart w:id="46" w:name="X8369aaa8dfc32272386751bf2a6c46ab26ba3d7"/>
    <w:p>
      <w:pPr>
        <w:pStyle w:val="BodyText"/>
      </w:pPr>
      <w:r>
        <w:rPr>
          <w:b/>
        </w:rPr>
        <w:t>Le découpage en couches du backend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pour lire la configuration — est apportée en § 7.2.</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BodyText"/>
      </w:pPr>
      <w:r>
        <w:rPr>
          <w:b/>
        </w:rPr>
        <w:t>L'organisation du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BodyText"/>
      </w:pPr>
      <w:r>
        <w:rPr>
          <w:b/>
        </w:rPr>
        <w:t>Les choix techniques structurants</w:t>
      </w:r>
    </w:p>
    <w:p>
      <w:pPr>
        <w:pStyle w:val="FirstParagraph"/>
      </w:pPr>
      <w:r>
        <w:rPr>
          <w:bCs/>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 La couche ia_service isole l'appel au modèle, ce qui permettrait de basculer vers un fournisseur distant sans toucher aux routes.</w:t>
      </w:r>
    </w:p>
    <w:p>
      <w:pPr>
        <w:pStyle w:val="BodyText"/>
      </w:pPr>
      <w:r>
        <w:rPr>
          <w:bCs/>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rPr>
        <w:t xml:space="preserve">indépendante</w:t>
      </w:r>
      <w:r>
        <w:t xml:space="preserve"> </w:t>
      </w:r>
      <w:r>
        <w:t>de la bibliothèque d'assainissement — argument qui a pris du poids quand la veille a révélé une vulnérabilité dans DOMPurify elle-même (§ 11).</w:t>
      </w:r>
    </w:p>
    <w:p>
      <w:pPr>
        <w:pStyle w:val="BodyText"/>
      </w:pPr>
      <w:r>
        <w:rPr>
          <w:bCs/>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BodyText"/>
      </w:pPr>
      <w:r>
        <w:rPr>
          <w:b/>
        </w:rPr>
        <w:t>Vérification des autorisations</w:t>
      </w:r>
    </w:p>
    <w:p>
      <w:pPr>
        <w:pStyle w:val="FirstParagraph"/>
      </w:pPr>
      <w:r>
        <w:t xml:space="preserve">Le rôle</w:t>
      </w:r>
      <w:r>
        <w:t xml:space="preserve"> </w:t>
      </w:r>
      <w:r>
        <w:rPr>
          <w:bCs/>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14:paraId="6A212FE6" w14:textId="5403AA1A" w:rsidR="003A2DEC" w:rsidRPr="00B1648B" w:rsidRDefault="003A2DEC" w:rsidP="003A2DEC">
      <w:pPr>
        <w:pStyle w:val="Titre1"/>
        <w:numPr>
          <w:ilvl w:val="1"/>
          <w:numId w:val="5"/>
        </w:numPr>
        <w:rPr>
          <w:sz w:val="36"/>
          <w:szCs w:val="36"/>
        </w:rPr>
      </w:pPr>
      <w:bookmarkStart w:id="7" w:name="_Toc198828312"/>
      <w:r w:rsidRPr="00B1648B">
        <w:rPr>
          <w:sz w:val="36"/>
          <w:szCs w:val="36"/>
        </w:rPr>
        <w:t>Les maquettes et enchaînement des maquettes</w:t>
      </w:r>
      <w:bookmarkEnd w:id="7"/>
      <w:r w:rsidRPr="00B1648B">
        <w:rPr>
          <w:sz w:val="36"/>
          <w:szCs w:val="36"/>
        </w:rPr>
        <w:t xml:space="preserve"> </w:t>
      </w:r>
    </w:p>
    <w:p>
      <w:pPr>
        <w:pStyle w:val="BodyText"/>
      </w:pPr>
      <w:r>
        <w:rPr>
          <w:b/>
        </w:rPr>
        <w:t>Démarche de maquettage</w:t>
      </w:r>
    </w:p>
    <w:p>
      <w:pPr>
        <w:pStyle w:val="FirstParagraph"/>
      </w:pPr>
      <w:r>
        <w:t>Le dossier de maquettage s'est construit en trois temps : recensement des écrans nécessaires à partir du périmètre fonctionnel du cahier des charges (§ 2), définition de la charte graphique et des composants récurrents, puis formalisation de l'enchaînement des écrans sous forme de schéma.</w:t>
      </w:r>
    </w:p>
    <w:p>
      <w:pPr>
        <w:pStyle w:val="BodyText"/>
      </w:pPr>
      <w:r>
        <w:t xml:space="preserve">Les maquettes sont des</w:t>
      </w:r>
      <w:r>
        <w:t xml:space="preserve"> </w:t>
      </w:r>
      <w:r>
        <w:rPr>
          <w:bCs/>
        </w:rPr>
        <w:t xml:space="preserve">wireframes basse fidélité</w:t>
      </w:r>
      <w:r>
        <w:t xml:space="preserve"> </w:t>
      </w:r>
      <w:r>
        <w:t>: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et le rendu final relève des captures d'écran (§ 7.1).</w:t>
      </w:r>
    </w:p>
    <w:p>
      <w:pPr>
        <w:pStyle w:val="BodyText"/>
      </w:pPr>
      <w:r>
        <w:t xml:space="preserve">Chaque planche porte une référence (W-01 à W-09) et ses</w:t>
      </w:r>
      <w:r>
        <w:t xml:space="preserve"> </w:t>
      </w:r>
      <w:r>
        <w:rPr>
          <w:bCs/>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BodyText"/>
      </w:pPr>
      <w:r>
        <w:rPr>
          <w:b/>
        </w:rPr>
        <w:t>Charte graphique</w:t>
      </w:r>
    </w:p>
    <w:p>
      <w:pPr>
        <w:pStyle w:val="FirstParagraph"/>
      </w:pPr>
      <w:r>
        <w:t xml:space="preserve">La charte est volontairement restreinte à quatre couleurs et trois familles typographiques, appliquées de façon homogène sur les 16 écrans.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BodyText"/>
      </w:pPr>
      <w:r>
        <w:rPr>
          <w:b/>
        </w:rPr>
        <w:t>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BodyText"/>
      </w:pPr>
      <w:r>
        <w:rPr>
          <w:b/>
        </w:rPr>
        <w:t>Schéma d'enchaînement des maquettes</w:t>
      </w:r>
    </w:p>
    <w:p>
      <w:pPr>
        <w:pStyle w:val="Figure"/>
        <w:jc w:val="center"/>
      </w:pPr>
      <w:r>
        <w:drawing>
          <wp:inline xmlns:a="http://schemas.openxmlformats.org/drawingml/2006/main" xmlns:pic="http://schemas.openxmlformats.org/drawingml/2006/picture">
            <wp:extent cx="5688000" cy="4469143"/>
            <wp:docPr id="2" name="Picture 2"/>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ImageCaption"/>
      </w:pPr>
      <w:r>
        <w:t>Enchaînement des écrans — planche W-09, reprise en annexe § 12.1.</w:t>
      </w:r>
    </w:p>
    <w:p>
      <w:pPr>
        <w:pStyle w:val="FirstParagraph"/>
      </w:pPr>
      <w:r>
        <w:rPr>
          <w:iCs/>
          <w:i/>
        </w:rPr>
        <w:t>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2009"/>
        </w:numPr>
        <w:pStyle w:val="Compact"/>
      </w:pPr>
      <w:r>
        <w:rPr>
          <w:bCs/>
        </w:rPr>
        <w:t xml:space="preserve">Le composant</w:t>
      </w:r>
      <w:r>
        <w:rPr>
          <w:bCs/>
          <w:b/>
        </w:rPr>
        <w:t xml:space="preserve"> </w:t>
      </w:r>
      <w:r>
        <w:rPr>
          <w:rStyle w:val="VerbatimChar"/>
          <w:bCs/>
        </w:rPr>
        <w:t xml:space="preserve">Nav</w:t>
      </w:r>
      <w:r>
        <w:rPr>
          <w:bCs/>
          <w:b/>
        </w:rPr>
        <w:t xml:space="preserve"> </w:t>
      </w:r>
      <w:r>
        <w:rPr>
          <w:bCs/>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du routeur double ce masquage, et le backend revérifie le rôle en base à chaque appel (§ 5.2). Masquer un lien n'est pas une mesure de sécurité, c'est un confort d'usage — le contrôle réel est côté serveur.</w:t>
      </w:r>
    </w:p>
    <w:p>
      <w:pPr>
        <w:numPr>
          <w:ilvl w:val="0"/>
          <w:numId w:val="2009"/>
        </w:numPr>
        <w:pStyle w:val="Compact"/>
      </w:pPr>
      <w:r>
        <w:rPr>
          <w:bCs/>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2009"/>
        </w:numPr>
        <w:pStyle w:val="Compact"/>
      </w:pPr>
      <w:r>
        <w:rPr>
          <w:bCs/>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BodyText"/>
      </w:pPr>
      <w:r>
        <w:rPr>
          <w:b/>
        </w:rPr>
        <w:t>Maquette de l'écran le plus représentatif : l'éditeur de document</w:t>
      </w:r>
    </w:p>
    <w:p>
      <w:pPr>
        <w:pStyle w:val="FirstParagraph"/>
      </w:pPr>
      <w:r>
        <w:t xml:space="preserve">L'éditeur est la fonctionnalité centrale du produit. Sa maquette (planche W-06) se décompose en cinq zones.</w:t>
      </w:r>
    </w:p>
    <w:p>
      <w:pPr>
        <w:pStyle w:val="FirstParagraph"/>
      </w:pPr>
      <w:r>
        <w:rPr>
          <w:bCs/>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rPr>
        <w:t xml:space="preserve">② Indicateur d'enregistrement</w:t>
      </w:r>
      <w:r>
        <w:t xml:space="preserve"> </w:t>
      </w:r>
      <w:r>
        <w:t>—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rPr>
        <w:t xml:space="preserve">⑤ Historique IA</w:t>
      </w:r>
      <w:r>
        <w:t xml:space="preserve"> </w:t>
      </w:r>
      <w:r>
        <w:t>—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w:t>
      </w:r>
    </w:p>
    <w:p>
      <w:pPr>
        <w:pStyle w:val="BodyText"/>
      </w:pPr>
      <w:r>
        <w:rPr>
          <w:bCs/>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BodyText"/>
      </w:pPr>
      <w:r>
        <w:rPr>
          <w:b/>
        </w:rPr>
        <w:t>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a été mené sur la version 4.1.2, en vigueur, la version 5 étant annoncée pour fin 2026 (§ 9, § 11).</w:t>
      </w:r>
    </w:p>
    <w:bookmarkEnd w:id="57"/>
    <w:bookmarkStart w:id="59" w:name="X4d114d2287c569a7764960a6f8a063ccff4af3a"/>
    <w:p>
      <w:pPr>
        <w:pStyle w:val="BodyText"/>
      </w:pPr>
      <w:r>
        <w:rPr>
          <w:b/>
        </w:rPr>
        <w:t>Index des planches</w:t>
      </w:r>
    </w:p>
    <w:p>
      <w:pPr>
        <w:pStyle w:val="FirstParagraph"/>
      </w:pPr>
      <w:r>
        <w:t>Les neuf planches figurent en annexe § 12.1. Les captures des écrans réellement implémentés sont présentées en § 7.1 et § 12.2, ce qui permet de confronter la conception et la réalisation.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14:paraId="163773FB" w14:textId="36B575CF" w:rsidR="003A2DEC" w:rsidRPr="00B1648B" w:rsidRDefault="00F02D2D" w:rsidP="003A2DEC">
      <w:pPr>
        <w:pStyle w:val="Titre1"/>
        <w:numPr>
          <w:ilvl w:val="1"/>
          <w:numId w:val="5"/>
        </w:numPr>
        <w:rPr>
          <w:sz w:val="36"/>
          <w:szCs w:val="36"/>
        </w:rPr>
      </w:pPr>
      <w:bookmarkStart w:id="8" w:name="_Toc198828313"/>
      <w:r w:rsidRPr="00B1648B">
        <w:rPr>
          <w:sz w:val="36"/>
          <w:szCs w:val="36"/>
        </w:rPr>
        <w:t>Le</w:t>
      </w:r>
      <w:r w:rsidR="003A2DEC" w:rsidRPr="00B1648B">
        <w:rPr>
          <w:sz w:val="36"/>
          <w:szCs w:val="36"/>
        </w:rPr>
        <w:t xml:space="preserve"> modèle entités-associations et modèle physique de la base de données</w:t>
      </w:r>
      <w:bookmarkEnd w:id="8"/>
      <w:r w:rsidR="003A2DEC" w:rsidRPr="00B1648B">
        <w:rPr>
          <w:sz w:val="36"/>
          <w:szCs w:val="36"/>
        </w:rPr>
        <w:t xml:space="preserve"> </w:t>
      </w:r>
    </w:p>
    <w:p>
      <w:pPr>
        <w:pStyle w:val="BodyText"/>
      </w:pPr>
      <w:r>
        <w:rPr>
          <w:b/>
        </w:rPr>
        <w:t>Règles de gestion</w:t>
      </w:r>
    </w:p>
    <w:p>
      <w:pPr>
        <w:pStyle w:val="FirstParagraph"/>
      </w:pPr>
      <w:r>
        <w:t>Le modèle découle de huit règles de gestion, tirées du périmètre fonctionnel (§ 2) et des contraintes (§ 5.1)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BodyText"/>
      </w:pPr>
      <w:r>
        <w:rPr>
          <w:b/>
        </w:rPr>
        <w:t>Le modèle conceptuel (entités-associations)</w:t>
      </w:r>
    </w:p>
    <w:p>
      <w:pPr>
        <w:pStyle w:val="FirstParagraph"/>
      </w:pPr>
      <w:r>
        <w:t xml:space="preserve">Sept entités, huit associations, toutes de type</w:t>
      </w:r>
      <w:r>
        <w:t xml:space="preserve"> </w:t>
      </w:r>
      <w:r>
        <w:rPr>
          <w:bCs/>
        </w:rPr>
        <w:t xml:space="preserve">un-à-plusieurs</w:t>
      </w:r>
      <w:r>
        <w:t xml:space="preserve">. Aucune association plusieurs-à-plusieurs n'apparaît : le modèle ne comporte donc aucune table de jonction.</w:t>
      </w:r>
    </w:p>
    <w:p>
      <w:pPr>
        <w:pStyle w:val="Figure"/>
        <w:jc w:val="center"/>
      </w:pPr>
      <w:r>
        <w:drawing>
          <wp:inline xmlns:a="http://schemas.openxmlformats.org/drawingml/2006/main" xmlns:pic="http://schemas.openxmlformats.org/drawingml/2006/picture">
            <wp:extent cx="5688000" cy="2785959"/>
            <wp:docPr id="3" name="Picture 3"/>
            <wp:cNvGraphicFramePr>
              <a:graphicFrameLocks noChangeAspect="1"/>
            </wp:cNvGraphicFramePr>
            <a:graphic>
              <a:graphicData uri="http://schemas.openxmlformats.org/drawingml/2006/picture">
                <pic:pic>
                  <pic:nvPicPr>
                    <pic:cNvPr id="0" name="mcd.png"/>
                    <pic:cNvPicPr/>
                  </pic:nvPicPr>
                  <pic:blipFill>
                    <a:blip r:embed="rId22"/>
                    <a:stretch>
                      <a:fillRect/>
                    </a:stretch>
                  </pic:blipFill>
                  <pic:spPr>
                    <a:xfrm>
                      <a:off x="0" y="0"/>
                      <a:ext cx="5688000" cy="2785959"/>
                    </a:xfrm>
                    <a:prstGeom prst="rect"/>
                  </pic:spPr>
                </pic:pic>
              </a:graphicData>
            </a:graphic>
          </wp:inline>
        </w:drawing>
      </w:r>
    </w:p>
    <w:p>
      <w:pPr>
        <w:pStyle w:val="ImageCaption"/>
      </w:pPr>
      <w:r>
        <w:t>Modèle conceptuel des données (MCD) — sept entités, huit associations, cardinalités Merise.</w:t>
      </w:r>
    </w:p>
    <w:p>
      <w:pPr>
        <w:pStyle w:val="FirstParagraph"/>
      </w:pPr>
      <w:r>
        <w:rPr>
          <w:bCs/>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rPr>
        <w:t xml:space="preserve">Pourquoi l'entité</w:t>
      </w:r>
      <w:r>
        <w:rPr>
          <w:bCs/>
          <w:b/>
        </w:rPr>
        <w:t xml:space="preserve"> </w:t>
      </w:r>
      <w:r>
        <w:rPr>
          <w:rStyle w:val="VerbatimChar"/>
          <w:bCs/>
        </w:rPr>
        <w:t xml:space="preserve">IA</w:t>
      </w:r>
      <w:r>
        <w:rPr>
          <w:bCs/>
          <w:b/>
        </w:rPr>
        <w:t xml:space="preserve"> </w:t>
      </w:r>
      <w:r>
        <w:rPr>
          <w:bCs/>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BodyText"/>
      </w:pPr>
      <w:r>
        <w:rPr>
          <w:b/>
        </w:rPr>
        <w:t>Du modèle conceptuel au modèle physique</w:t>
      </w:r>
    </w:p>
    <w:p>
      <w:pPr>
        <w:pStyle w:val="FirstParagraph"/>
      </w:pPr>
      <w:r>
        <w:t xml:space="preserve">Trois décisions de passage méritent d'être explicitées.</w:t>
      </w:r>
    </w:p>
    <w:p>
      <w:pPr>
        <w:pStyle w:val="BodyText"/>
      </w:pPr>
      <w:r>
        <w:rPr>
          <w:bCs/>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invite à l'énumération, et même si chaque accès vérifie la propriété (§ 5.2),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du script MySQL (§ 5.5) apportent la garantie du SGBD sans la rigidité de l'ENUM.</w:t>
      </w:r>
    </w:p>
    <w:bookmarkEnd w:id="62"/>
    <w:bookmarkStart w:id="63" w:name="X0e2a25c2b046df04cea920b3626ed5cfa2f85ea"/>
    <w:p>
      <w:pPr>
        <w:pStyle w:val="Figure"/>
        <w:jc w:val="center"/>
      </w:pPr>
      <w:r>
        <w:drawing>
          <wp:inline xmlns:a="http://schemas.openxmlformats.org/drawingml/2006/main" xmlns:pic="http://schemas.openxmlformats.org/drawingml/2006/picture">
            <wp:extent cx="5688000" cy="2902041"/>
            <wp:docPr id="6" name="Picture 6"/>
            <wp:cNvGraphicFramePr>
              <a:graphicFrameLocks noChangeAspect="1"/>
            </wp:cNvGraphicFramePr>
            <a:graphic>
              <a:graphicData uri="http://schemas.openxmlformats.org/drawingml/2006/picture">
                <pic:pic>
                  <pic:nvPicPr>
                    <pic:cNvPr id="0" name="mld.png"/>
                    <pic:cNvPicPr/>
                  </pic:nvPicPr>
                  <pic:blipFill>
                    <a:blip r:embed="rId25"/>
                    <a:stretch>
                      <a:fillRect/>
                    </a:stretch>
                  </pic:blipFill>
                  <pic:spPr>
                    <a:xfrm>
                      <a:off x="0" y="0"/>
                      <a:ext cx="5688000" cy="2902041"/>
                    </a:xfrm>
                    <a:prstGeom prst="rect"/>
                  </pic:spPr>
                </pic:pic>
              </a:graphicData>
            </a:graphic>
          </wp:inline>
        </w:drawing>
      </w:r>
    </w:p>
    <w:p>
      <w:pPr>
        <w:pStyle w:val="ImageCaption"/>
      </w:pPr>
      <w:r>
        <w:t>Modèle logique des données (MLD) — les sept relations après application des règles de passage.</w:t>
      </w:r>
    </w:p>
    <w:p>
      <w:pPr>
        <w:pStyle w:val="BodyText"/>
      </w:pPr>
      <w:r>
        <w:rPr>
          <w:b/>
        </w:rPr>
        <w:t>Le modèle physique des données</w:t>
      </w:r>
    </w:p>
    <w:p>
      <w:pPr>
        <w:pStyle w:val="FirstParagraph"/>
      </w:pPr>
      <w:r>
        <w:t xml:space="preserve">Sept tables. Les clés primaires sont notées</w:t>
      </w:r>
      <w:r>
        <w:t xml:space="preserve"> </w:t>
      </w:r>
      <w:r>
        <w:rPr>
          <w:bCs/>
        </w:rPr>
        <w:t xml:space="preserve">PK</w:t>
      </w:r>
      <w:r>
        <w:t xml:space="preserve">, les clés étrangères</w:t>
      </w:r>
      <w:r>
        <w:t xml:space="preserve"> </w:t>
      </w:r>
      <w:r>
        <w:rPr>
          <w:bCs/>
        </w:rPr>
        <w:t xml:space="preserve">FK</w:t>
      </w:r>
      <w:r>
        <w:t xml:space="preserve">, les contraintes d'unicité</w:t>
      </w:r>
      <w:r>
        <w:t xml:space="preserve"> </w:t>
      </w:r>
      <w:r>
        <w:rPr>
          <w:bCs/>
        </w:rPr>
        <w:t xml:space="preserve">U</w:t>
      </w:r>
      <w:r>
        <w:t xml:space="preserve">.</w:t>
      </w:r>
    </w:p>
    <w:p>
      <w:pPr>
        <w:pStyle w:val="Figure"/>
        <w:jc w:val="center"/>
      </w:pPr>
      <w:r>
        <w:drawing>
          <wp:inline xmlns:a="http://schemas.openxmlformats.org/drawingml/2006/main" xmlns:pic="http://schemas.openxmlformats.org/drawingml/2006/picture">
            <wp:extent cx="5688000" cy="2785959"/>
            <wp:docPr id="7" name="Picture 7"/>
            <wp:cNvGraphicFramePr>
              <a:graphicFrameLocks noChangeAspect="1"/>
            </wp:cNvGraphicFramePr>
            <a:graphic>
              <a:graphicData uri="http://schemas.openxmlformats.org/drawingml/2006/picture">
                <pic:pic>
                  <pic:nvPicPr>
                    <pic:cNvPr id="0" name="mpd.png"/>
                    <pic:cNvPicPr/>
                  </pic:nvPicPr>
                  <pic:blipFill>
                    <a:blip r:embed="rId26"/>
                    <a:stretch>
                      <a:fillRect/>
                    </a:stretch>
                  </pic:blipFill>
                  <pic:spPr>
                    <a:xfrm>
                      <a:off x="0" y="0"/>
                      <a:ext cx="5688000" cy="2785959"/>
                    </a:xfrm>
                    <a:prstGeom prst="rect"/>
                  </pic:spPr>
                </pic:pic>
              </a:graphicData>
            </a:graphic>
          </wp:inline>
        </w:drawing>
      </w:r>
    </w:p>
    <w:p>
      <w:pPr>
        <w:pStyle w:val="ImageCaption"/>
      </w:pPr>
      <w:r>
        <w:t>Modèle physique des données (MPD) — types, clés, index et règles de suppression sur MySQL 8.</w:t>
      </w:r>
    </w:p>
    <w:p>
      <w:pPr>
        <w:pStyle w:val="BodyText"/>
      </w:pPr>
      <w:r>
        <w:rPr>
          <w:bCs/>
        </w:rPr>
        <w:t xml:space="preserve">Table</w:t>
      </w:r>
      <w:r>
        <w:rPr>
          <w:bCs/>
          <w:b/>
        </w:rPr>
        <w:t xml:space="preserve"> </w:t>
      </w:r>
      <w:r>
        <w:rPr>
          <w:rStyle w:val="VerbatimChar"/>
          <w:bCs/>
        </w:rPr>
        <w:t xml:space="preserve">user</w:t>
      </w:r>
      <w:r>
        <w:t xml:space="preserve"> </w:t>
      </w:r>
      <w:r>
        <w:t xml:space="preserve">— comptes et paramètres d'usage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rPr>
        <w:t xml:space="preserve">Table</w:t>
      </w:r>
      <w:r>
        <w:rPr>
          <w:bCs/>
          <w:b/>
        </w:rPr>
        <w:t xml:space="preserve"> </w:t>
      </w:r>
      <w:r>
        <w:rPr>
          <w:rStyle w:val="VerbatimChar"/>
          <w:bCs/>
        </w:rPr>
        <w:t xml:space="preserve">dossier</w:t>
      </w:r>
      <w:r>
        <w:t xml:space="preserve"> </w:t>
      </w:r>
      <w:r>
        <w:t xml:space="preserve">— regroupement de 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rPr>
        <w:t xml:space="preserve">Table</w:t>
      </w:r>
      <w:r>
        <w:rPr>
          <w:bCs/>
          <w:b/>
        </w:rPr>
        <w:t xml:space="preserve"> </w:t>
      </w:r>
      <w:r>
        <w:rPr>
          <w:rStyle w:val="VerbatimChar"/>
          <w:bCs/>
        </w:rPr>
        <w:t xml:space="preserve">document</w:t>
      </w:r>
      <w:r>
        <w:t xml:space="preserve"> </w:t>
      </w:r>
      <w:r>
        <w:t xml:space="preserve">— cœur du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rPr>
        <w:t xml:space="preserve">Table</w:t>
      </w:r>
      <w:r>
        <w:rPr>
          <w:bCs/>
          <w:b/>
        </w:rPr>
        <w:t xml:space="preserve"> </w:t>
      </w:r>
      <w:r>
        <w:rPr>
          <w:rStyle w:val="VerbatimChar"/>
          <w:bCs/>
        </w:rPr>
        <w:t xml:space="preserve">ia</w:t>
      </w:r>
      <w:r>
        <w:t xml:space="preserve"> </w:t>
      </w:r>
      <w:r>
        <w:t xml:space="preserve">— journal des interactions avec le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rPr>
        <w:t xml:space="preserve">Table</w:t>
      </w:r>
      <w:r>
        <w:rPr>
          <w:bCs/>
          <w:b/>
        </w:rPr>
        <w:t xml:space="preserve"> </w:t>
      </w:r>
      <w:r>
        <w:rPr>
          <w:rStyle w:val="VerbatimChar"/>
          <w:bCs/>
        </w:rPr>
        <w:t xml:space="preserve">consentement</w:t>
      </w:r>
      <w:r>
        <w:t xml:space="preserve"> </w:t>
      </w:r>
      <w:r>
        <w:t xml:space="preserve">— traçabilité RGPD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rPr>
        <w:t xml:space="preserve">Table</w:t>
      </w:r>
      <w:r>
        <w:rPr>
          <w:bCs/>
          <w:b/>
        </w:rPr>
        <w:t xml:space="preserve"> </w:t>
      </w:r>
      <w:r>
        <w:rPr>
          <w:rStyle w:val="VerbatimChar"/>
          <w:bCs/>
        </w:rPr>
        <w:t xml:space="preserve">user_session</w:t>
      </w:r>
      <w:r>
        <w:t xml:space="preserve"> </w:t>
      </w:r>
      <w:r>
        <w:t xml:space="preserve">— sessions et refresh tokens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rPr>
        <w:t xml:space="preserve">révocation</w:t>
      </w:r>
      <w:r>
        <w:t xml:space="preserve"> </w:t>
      </w:r>
      <w:r>
        <w:t>possible : sans état serveur, un JWT reste valide jusqu'à son expiration, quoi qu'il arrive. La rotation décrite en § 4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rPr>
        <w:t xml:space="preserve">Table</w:t>
      </w:r>
      <w:r>
        <w:rPr>
          <w:bCs/>
          <w:b/>
        </w:rPr>
        <w:t xml:space="preserve"> </w:t>
      </w:r>
      <w:r>
        <w:rPr>
          <w:rStyle w:val="VerbatimChar"/>
          <w:bCs/>
        </w:rPr>
        <w:t xml:space="preserve">password_reset</w:t>
      </w:r>
      <w:r>
        <w:t xml:space="preserve"> </w:t>
      </w:r>
      <w:r>
        <w:t xml:space="preserve">— demandes de réinitialisation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BodyText"/>
      </w:pPr>
      <w:r>
        <w:rPr>
          <w:b/>
        </w:rPr>
        <w:t>Intégrité référentielle et suppressions</w:t>
      </w:r>
    </w:p>
    <w:p>
      <w:pPr>
        <w:pStyle w:val="FirstParagraph"/>
      </w:pPr>
      <w:r>
        <w:t xml:space="preserve">Deux comportements de suppression coexistent, et ils répondent à deux intentions différentes.</w:t>
      </w:r>
    </w:p>
    <w:p>
      <w:pPr>
        <w:pStyle w:val="BodyText"/>
      </w:pPr>
      <w:r>
        <w:rPr>
          <w:bCs/>
        </w:rPr>
        <w:t xml:space="preserve">Suppression en cascade depuis</w:t>
      </w:r>
      <w:r>
        <w:rPr>
          <w:bCs/>
          <w:b/>
        </w:rPr>
        <w:t xml:space="preserve"> </w:t>
      </w:r>
      <w:r>
        <w:rPr>
          <w:rStyle w:val="VerbatimChar"/>
          <w:bCs/>
        </w:rPr>
        <w:t xml:space="preserve">user</w:t>
      </w:r>
      <w:r>
        <w:rPr>
          <w:bCs/>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rPr>
        <w:t xml:space="preserve">Mise à nul depuis</w:t>
      </w:r>
      <w:r>
        <w:rPr>
          <w:bCs/>
          <w:b/>
        </w:rPr>
        <w:t xml:space="preserve"> </w:t>
      </w:r>
      <w:r>
        <w:rPr>
          <w:rStyle w:val="VerbatimChar"/>
          <w:bCs/>
        </w:rPr>
        <w:t xml:space="preserve">dossier</w:t>
      </w:r>
      <w:r>
        <w:rPr>
          <w:bCs/>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Figure"/>
        <w:spacing w:before="80" w:after="40"/>
        <w:jc w:val="left"/>
      </w:pPr>
      <w:r>
        <w:drawing>
          <wp:inline xmlns:a="http://schemas.openxmlformats.org/drawingml/2006/main" xmlns:pic="http://schemas.openxmlformats.org/drawingml/2006/picture">
            <wp:extent cx="3417331" cy="588919"/>
            <wp:docPr id="27" name="Picture 27"/>
            <wp:cNvGraphicFramePr>
              <a:graphicFrameLocks noChangeAspect="1"/>
            </wp:cNvGraphicFramePr>
            <a:graphic>
              <a:graphicData uri="http://schemas.openxmlformats.org/drawingml/2006/picture">
                <pic:pic>
                  <pic:nvPicPr>
                    <pic:cNvPr id="0" name="795b9092560e-0.png"/>
                    <pic:cNvPicPr/>
                  </pic:nvPicPr>
                  <pic:blipFill>
                    <a:blip r:embed="rId43"/>
                    <a:stretch>
                      <a:fillRect/>
                    </a:stretch>
                  </pic:blipFill>
                  <pic:spPr>
                    <a:xfrm>
                      <a:off x="0" y="0"/>
                      <a:ext cx="3417331" cy="588919"/>
                    </a:xfrm>
                    <a:prstGeom prst="rect"/>
                  </pic:spPr>
                </pic:pic>
              </a:graphicData>
            </a:graphic>
          </wp:inline>
        </w:drawing>
      </w:r>
    </w:p>
    <w:p>
      <w:pPr>
        <w:pStyle w:val="FirstParagraph"/>
      </w:pPr>
      <w:r>
        <w:t xml:space="preserve">Ce point illustre une limite qu'il faut connaître :</w:t>
      </w:r>
      <w:r>
        <w:t xml:space="preserve"> </w:t>
      </w:r>
      <w:r>
        <w:rPr>
          <w:bCs/>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BodyText"/>
      </w:pPr>
      <w:r>
        <w:rPr>
          <w:b/>
        </w:rPr>
        <w:t>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BodyText"/>
      </w:pPr>
      <w:r>
        <w:rPr>
          <w:b/>
        </w:rPr>
        <w:t>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ajoutées dans le script MySQL (§ 5.5).</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comme valeur d'exemple, alors que l'inférence est locale et qu'aucune donnée n'est transmise à OpenAI (§ 5.2).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14:paraId="68692D76" w14:textId="71C3B063" w:rsidR="003A2DEC" w:rsidRPr="00B1648B" w:rsidRDefault="00F02D2D" w:rsidP="003A2DEC">
      <w:pPr>
        <w:pStyle w:val="Titre1"/>
        <w:numPr>
          <w:ilvl w:val="1"/>
          <w:numId w:val="5"/>
        </w:numPr>
        <w:rPr>
          <w:sz w:val="36"/>
          <w:szCs w:val="36"/>
        </w:rPr>
      </w:pPr>
      <w:bookmarkStart w:id="9" w:name="_Toc198828314"/>
      <w:r w:rsidRPr="00B1648B">
        <w:rPr>
          <w:sz w:val="36"/>
          <w:szCs w:val="36"/>
        </w:rPr>
        <w:t>Le</w:t>
      </w:r>
      <w:r w:rsidR="003A2DEC" w:rsidRPr="00B1648B">
        <w:rPr>
          <w:sz w:val="36"/>
          <w:szCs w:val="36"/>
        </w:rPr>
        <w:t xml:space="preserve"> script de création ou de modification de la base de données</w:t>
      </w:r>
      <w:bookmarkEnd w:id="9"/>
      <w:r w:rsidR="003A2DEC" w:rsidRPr="00B1648B">
        <w:rPr>
          <w:sz w:val="36"/>
          <w:szCs w:val="36"/>
        </w:rPr>
        <w:t xml:space="preserve"> </w:t>
      </w:r>
    </w:p>
    <w:p>
      <w:pPr>
        <w:pStyle w:val="BodyText"/>
      </w:pPr>
      <w:r>
        <w:rPr>
          <w:b/>
        </w:rPr>
        <w:t>Stratégie</w:t>
      </w:r>
    </w:p>
    <w:p>
      <w:pPr>
        <w:pStyle w:val="FirstParagraph"/>
      </w:pPr>
      <w:r>
        <w:t xml:space="preserve">Deux environnements, deux modes de création.</w:t>
      </w:r>
    </w:p>
    <w:p>
      <w:pPr>
        <w:pStyle w:val="BodyText"/>
      </w:pPr>
      <w:r>
        <w:t xml:space="preserve">En</w:t>
      </w:r>
      <w:r>
        <w:t xml:space="preserve"> </w:t>
      </w:r>
      <w:r>
        <w:rPr>
          <w:bCs/>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Création complète du schéma sur une base vierge (§ 5.5)</w:t>
            </w:r>
          </w:p>
        </w:tc>
      </w:tr>
      <w:tr>
        <w:tc>
          <w:tcPr/>
          <w:p>
            <w:pPr>
              <w:pStyle w:val="Compact"/>
              <w:jc w:val="left"/>
            </w:pPr>
            <w:r>
              <w:rPr>
                <w:rStyle w:val="VerbatimChar"/>
              </w:rPr>
              <w:t xml:space="preserve">migration_durcissement.sql</w:t>
            </w:r>
          </w:p>
        </w:tc>
        <w:tc>
          <w:tcPr/>
          <w:p>
            <w:pPr>
              <w:pStyle w:val="Compact"/>
              <w:jc w:val="left"/>
            </w:pPr>
            <w:r>
              <w:t>Passage d'une base existante au schéma durci (§ 5.5)</w:t>
            </w:r>
          </w:p>
        </w:tc>
      </w:tr>
    </w:tbl>
    <w:bookmarkEnd w:id="68"/>
    <w:bookmarkStart w:id="69" w:name="X3c9aca75c9d17f5626a50e0d181a3e726cb0229"/>
    <w:p>
      <w:pPr>
        <w:pStyle w:val="BodyText"/>
      </w:pPr>
      <w:r>
        <w:rPr>
          <w:b/>
        </w:rPr>
        <w:t>Script de création — MySQL 8</w:t>
      </w:r>
    </w:p>
    <w:p>
      <w:pPr>
        <w:pStyle w:val="FirstParagraph"/>
      </w:pPr>
      <w:r>
        <w:t xml:space="preserve">Le script complet est versionné dans le dépôt (</w:t>
      </w:r>
      <w:r>
        <w:rPr>
          <w:rStyle w:val="VerbatimChar"/>
        </w:rPr>
        <w:t xml:space="preserve">backend/database/schema_mysql.sql</w:t>
      </w:r>
      <w:r>
        <w:t>) ; ses extraits significatifs figurent ci-dessous et en annexe § 12.4. Trois points de conception s'y lisent.</w:t>
      </w:r>
    </w:p>
    <w:p>
      <w:pPr>
        <w:pStyle w:val="BodyText"/>
      </w:pPr>
      <w:r>
        <w:rPr>
          <w:rStyle w:val="VerbatimChar"/>
          <w:bCs/>
        </w:rPr>
        <w:t xml:space="preserve">REVOKE</w:t>
      </w:r>
      <w:r>
        <w:rPr>
          <w:bCs/>
          <w:b/>
        </w:rPr>
        <w:t xml:space="preserve"> </w:t>
      </w:r>
      <w:r>
        <w:rPr>
          <w:bCs/>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rPr>
        <w:t xml:space="preserve">Les valeurs autorisées sont contraintes par des</w:t>
      </w:r>
      <w:r>
        <w:rPr>
          <w:bCs/>
          <w:b/>
        </w:rPr>
        <w:t xml:space="preserve"> </w:t>
      </w:r>
      <w:r>
        <w:rPr>
          <w:rStyle w:val="VerbatimChar"/>
          <w:bCs/>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Figure"/>
        <w:spacing w:before="80" w:after="40"/>
        <w:jc w:val="left"/>
      </w:pPr>
      <w:r>
        <w:drawing>
          <wp:inline xmlns:a="http://schemas.openxmlformats.org/drawingml/2006/main" xmlns:pic="http://schemas.openxmlformats.org/drawingml/2006/picture">
            <wp:extent cx="4333991" cy="1890613"/>
            <wp:docPr id="28" name="Picture 28"/>
            <wp:cNvGraphicFramePr>
              <a:graphicFrameLocks noChangeAspect="1"/>
            </wp:cNvGraphicFramePr>
            <a:graphic>
              <a:graphicData uri="http://schemas.openxmlformats.org/drawingml/2006/picture">
                <pic:pic>
                  <pic:nvPicPr>
                    <pic:cNvPr id="0" name="a3e97ea6c143-0.png"/>
                    <pic:cNvPicPr/>
                  </pic:nvPicPr>
                  <pic:blipFill>
                    <a:blip r:embed="rId44"/>
                    <a:stretch>
                      <a:fillRect/>
                    </a:stretch>
                  </pic:blipFill>
                  <pic:spPr>
                    <a:xfrm>
                      <a:off x="0" y="0"/>
                      <a:ext cx="4333991" cy="1890613"/>
                    </a:xfrm>
                    <a:prstGeom prst="rect"/>
                  </pic:spPr>
                </pic:pic>
              </a:graphicData>
            </a:graphic>
          </wp:inline>
        </w:drawing>
      </w:r>
    </w:p>
    <w:bookmarkEnd w:id="69"/>
    <w:bookmarkStart w:id="70" w:name="X0e99825cc02860403e0e7b75d1b6a5aa94b9bc4"/>
    <w:p>
      <w:pPr>
        <w:pStyle w:val="BodyText"/>
      </w:pPr>
      <w:r>
        <w:rPr>
          <w:b/>
        </w:rPr>
        <w:t>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Figure"/>
        <w:spacing w:before="80" w:after="40"/>
        <w:jc w:val="left"/>
      </w:pPr>
      <w:r>
        <w:drawing>
          <wp:inline xmlns:a="http://schemas.openxmlformats.org/drawingml/2006/main" xmlns:pic="http://schemas.openxmlformats.org/drawingml/2006/picture">
            <wp:extent cx="4575286" cy="2892606"/>
            <wp:docPr id="29" name="Picture 29"/>
            <wp:cNvGraphicFramePr>
              <a:graphicFrameLocks noChangeAspect="1"/>
            </wp:cNvGraphicFramePr>
            <a:graphic>
              <a:graphicData uri="http://schemas.openxmlformats.org/drawingml/2006/picture">
                <pic:pic>
                  <pic:nvPicPr>
                    <pic:cNvPr id="0" name="21823d11e4a4-0.png"/>
                    <pic:cNvPicPr/>
                  </pic:nvPicPr>
                  <pic:blipFill>
                    <a:blip r:embed="rId45"/>
                    <a:stretch>
                      <a:fillRect/>
                    </a:stretch>
                  </pic:blipFill>
                  <pic:spPr>
                    <a:xfrm>
                      <a:off x="0" y="0"/>
                      <a:ext cx="4575286" cy="2892606"/>
                    </a:xfrm>
                    <a:prstGeom prst="rect"/>
                  </pic:spPr>
                </pic:pic>
              </a:graphicData>
            </a:graphic>
          </wp:inline>
        </w:drawing>
      </w:r>
    </w:p>
    <w:p>
      <w:pPr>
        <w:pStyle w:val="FirstParagraph"/>
      </w:pPr>
      <w:r>
        <w:rPr>
          <w:bCs/>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BodyText"/>
      </w:pPr>
      <w:r>
        <w:rPr>
          <w:b/>
        </w:rPr>
        <w:t>Vérification du schéma</w:t>
      </w:r>
    </w:p>
    <w:p>
      <w:pPr>
        <w:pStyle w:val="FirstParagraph"/>
      </w:pPr>
      <w:r>
        <w:t xml:space="preserve">Trois contrôles valident l'installation après exécution. Le plus utile porte sur les règles de suppression :</w:t>
      </w:r>
    </w:p>
    <w:p>
      <w:pPr>
        <w:pStyle w:val="Figure"/>
        <w:spacing w:before="80" w:after="40"/>
        <w:jc w:val="left"/>
      </w:pPr>
      <w:r>
        <w:drawing>
          <wp:inline xmlns:a="http://schemas.openxmlformats.org/drawingml/2006/main" xmlns:pic="http://schemas.openxmlformats.org/drawingml/2006/picture">
            <wp:extent cx="3465540" cy="388621"/>
            <wp:docPr id="30" name="Picture 30"/>
            <wp:cNvGraphicFramePr>
              <a:graphicFrameLocks noChangeAspect="1"/>
            </wp:cNvGraphicFramePr>
            <a:graphic>
              <a:graphicData uri="http://schemas.openxmlformats.org/drawingml/2006/picture">
                <pic:pic>
                  <pic:nvPicPr>
                    <pic:cNvPr id="0" name="c707c00dd813-0.png"/>
                    <pic:cNvPicPr/>
                  </pic:nvPicPr>
                  <pic:blipFill>
                    <a:blip r:embed="rId46"/>
                    <a:stretch>
                      <a:fillRect/>
                    </a:stretch>
                  </pic:blipFill>
                  <pic:spPr>
                    <a:xfrm>
                      <a:off x="0" y="0"/>
                      <a:ext cx="3465540" cy="388621"/>
                    </a:xfrm>
                    <a:prstGeom prst="rect"/>
                  </pic:spPr>
                </pic:pic>
              </a:graphicData>
            </a:graphic>
          </wp:inline>
        </w:drawing>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selon l'intention décrite en § 5.4,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14:paraId="2601FA6F" w14:textId="56A00508" w:rsidR="003A2DEC" w:rsidRPr="00B1648B" w:rsidRDefault="00F02D2D" w:rsidP="003A2DEC">
      <w:pPr>
        <w:pStyle w:val="Titre1"/>
        <w:numPr>
          <w:ilvl w:val="1"/>
          <w:numId w:val="5"/>
        </w:numPr>
        <w:rPr>
          <w:sz w:val="36"/>
          <w:szCs w:val="36"/>
        </w:rPr>
      </w:pPr>
      <w:bookmarkStart w:id="10" w:name="_Toc198828315"/>
      <w:r w:rsidRPr="00B1648B">
        <w:rPr>
          <w:sz w:val="36"/>
          <w:szCs w:val="36"/>
        </w:rPr>
        <w:lastRenderedPageBreak/>
        <w:t>Le</w:t>
      </w:r>
      <w:r w:rsidR="003A2DEC" w:rsidRPr="00B1648B">
        <w:rPr>
          <w:sz w:val="36"/>
          <w:szCs w:val="36"/>
        </w:rPr>
        <w:t xml:space="preserve"> diagramme du comportement des fonctionnalités de type cas d’utilisations</w:t>
      </w:r>
      <w:bookmarkEnd w:id="10"/>
    </w:p>
    <w:p>
      <w:pPr>
        <w:pStyle w:val="BodyText"/>
      </w:pPr>
      <w:r>
        <w:rPr>
          <w:b/>
        </w:rPr>
        <w:t>Acteurs</w:t>
      </w:r>
    </w:p>
    <w:p>
      <w:pPr>
        <w:pStyle w:val="FirstParagraph"/>
      </w:pPr>
      <w:r>
        <w:t xml:space="preserve">Trois acteurs humains, liés par une relation de généralisation, et deux systèmes externes.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rPr>
        <w:t xml:space="preserve">et</w:t>
      </w:r>
      <w:r>
        <w:t xml:space="preserve"> </w:t>
      </w:r>
      <w:r>
        <w:rPr>
          <w:rStyle w:val="VerbatimChar"/>
        </w:rPr>
        <w:t xml:space="preserve">requiresAdmin</w:t>
      </w:r>
      <w:r>
        <w:t xml:space="preserve">.</w:t>
      </w:r>
    </w:p>
    <w:bookmarkEnd w:id="73"/>
    <w:bookmarkStart w:id="74" w:name="Xd5997c4680cfde84c35179c2359e3d31ed30e45"/>
    <w:p>
      <w:pPr>
        <w:pStyle w:val="BodyText"/>
      </w:pPr>
      <w:r>
        <w:rPr>
          <w:b/>
        </w:rPr>
        <w:t>Diagramme de cas d'utilisation</w:t>
      </w:r>
    </w:p>
    <w:p>
      <w:pPr>
        <w:pStyle w:val="Figure"/>
        <w:jc w:val="center"/>
      </w:pPr>
      <w:r>
        <w:drawing>
          <wp:inline xmlns:a="http://schemas.openxmlformats.org/drawingml/2006/main" xmlns:pic="http://schemas.openxmlformats.org/drawingml/2006/picture">
            <wp:extent cx="5688000" cy="4156616"/>
            <wp:docPr id="4" name="Picture 4"/>
            <wp:cNvGraphicFramePr>
              <a:graphicFrameLocks noChangeAspect="1"/>
            </wp:cNvGraphicFramePr>
            <a:graphic>
              <a:graphicData uri="http://schemas.openxmlformats.org/drawingml/2006/picture">
                <pic:pic>
                  <pic:nvPicPr>
                    <pic:cNvPr id="0" name="usecase.png"/>
                    <pic:cNvPicPr/>
                  </pic:nvPicPr>
                  <pic:blipFill>
                    <a:blip r:embed="rId23"/>
                    <a:stretch>
                      <a:fillRect/>
                    </a:stretch>
                  </pic:blipFill>
                  <pic:spPr>
                    <a:xfrm>
                      <a:off x="0" y="0"/>
                      <a:ext cx="5688000" cy="4156616"/>
                    </a:xfrm>
                    <a:prstGeom prst="rect"/>
                  </pic:spPr>
                </pic:pic>
              </a:graphicData>
            </a:graphic>
          </wp:inline>
        </w:drawing>
      </w:r>
    </w:p>
    <w:p>
      <w:pPr>
        <w:pStyle w:val="ImageCaption"/>
      </w:pPr>
      <w:r>
        <w:t>Diagramme de cas d'utilisation.</w:t>
      </w:r>
    </w:p>
    <w:bookmarkEnd w:id="74"/>
    <w:bookmarkStart w:id="75" w:name="Xd9ae0beabe9697203bd5b535650fd83f9e2c39f"/>
    <w:p>
      <w:pPr>
        <w:pStyle w:val="BodyText"/>
      </w:pPr>
      <w:r>
        <w:rPr>
          <w:b/>
        </w:rPr>
        <w:t>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rPr>
        <w:t xml:space="preserve">Générer une assistance IA</w:t>
      </w:r>
      <w:r>
        <w:rPr>
          <w:bCs/>
          <w:b/>
        </w:rPr>
        <w:t xml:space="preserve"> </w:t>
      </w:r>
      <w:r>
        <w:rPr>
          <w:bCs/>
        </w:rPr>
        <w:t xml:space="preserve">«include»</w:t>
      </w:r>
      <w:r>
        <w:rPr>
          <w:bCs/>
          <w:b/>
        </w:rPr>
        <w:t xml:space="preserve"> </w:t>
      </w:r>
      <w:r>
        <w:rPr>
          <w:rStyle w:val="VerbatimChar"/>
          <w:bCs/>
        </w:rPr>
        <w:t xml:space="preserve">Vérifier le quota</w:t>
      </w:r>
      <w:r>
        <w:rPr>
          <w:bCs/>
        </w:rPr>
        <w:t xml:space="preserve">.</w:t>
      </w:r>
      <w:r>
        <w:t xml:space="preserve"> </w:t>
      </w:r>
      <w:r>
        <w:t xml:space="preserve">L'inclusion signifie que la vérification est</w:t>
      </w:r>
      <w:r>
        <w:t xml:space="preserve"> </w:t>
      </w:r>
      <w:r>
        <w:rPr>
          <w:bCs/>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rPr>
        <w:t xml:space="preserve">Générer une assistance IA</w:t>
      </w:r>
      <w:r>
        <w:rPr>
          <w:bCs/>
          <w:b/>
        </w:rPr>
        <w:t xml:space="preserve"> </w:t>
      </w:r>
      <w:r>
        <w:rPr>
          <w:bCs/>
        </w:rPr>
        <w:t xml:space="preserve">«include»</w:t>
      </w:r>
      <w:r>
        <w:rPr>
          <w:bCs/>
          <w:b/>
        </w:rPr>
        <w:t xml:space="preserve"> </w:t>
      </w:r>
      <w:r>
        <w:rPr>
          <w:rStyle w:val="VerbatimChar"/>
          <w:bCs/>
        </w:rPr>
        <w:t xml:space="preserve">Journaliser l'interaction</w:t>
      </w:r>
      <w:r>
        <w:rPr>
          <w:bCs/>
        </w:rPr>
        <w:t xml:space="preserve">.</w:t>
      </w:r>
      <w:r>
        <w:t xml:space="preserve"> </w:t>
      </w:r>
      <w:r>
        <w:t xml:space="preserve">Toute génération produit une ligne dans</w:t>
      </w:r>
      <w:r>
        <w:t xml:space="preserve"> </w:t>
      </w:r>
      <w:r>
        <w:rPr>
          <w:rStyle w:val="VerbatimChar"/>
        </w:rPr>
        <w:t xml:space="preserve">ia</w:t>
      </w:r>
      <w:r>
        <w:t>. C'est à la fois l'exigence de traçabilité du cahier des charges et le mécanisme même du quota : le comptage lit ce journal (§ 5.4). Journalisation et quota ne sont donc pas deux fonctionnalités séparées mais deux usages du même enregistrement.</w:t>
      </w:r>
    </w:p>
    <w:p>
      <w:pPr>
        <w:pStyle w:val="BodyText"/>
      </w:pPr>
      <w:r>
        <w:rPr>
          <w:rStyle w:val="VerbatimChar"/>
          <w:bCs/>
        </w:rPr>
        <w:t xml:space="preserve">S'inscrire</w:t>
      </w:r>
      <w:r>
        <w:rPr>
          <w:bCs/>
          <w:b/>
        </w:rPr>
        <w:t xml:space="preserve"> </w:t>
      </w:r>
      <w:r>
        <w:rPr>
          <w:bCs/>
        </w:rPr>
        <w:t xml:space="preserve">«include»</w:t>
      </w:r>
      <w:r>
        <w:rPr>
          <w:bCs/>
          <w:b/>
        </w:rPr>
        <w:t xml:space="preserve"> </w:t>
      </w:r>
      <w:r>
        <w:rPr>
          <w:rStyle w:val="VerbatimChar"/>
          <w:bCs/>
        </w:rPr>
        <w:t xml:space="preserve">Recueillir le consentement RGPD</w:t>
      </w:r>
      <w:r>
        <w:rPr>
          <w:bCs/>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rPr>
        <w:t xml:space="preserve">Rédiger et enregistrer un document</w:t>
      </w:r>
      <w:r>
        <w:rPr>
          <w:bCs/>
          <w:b/>
        </w:rPr>
        <w:t xml:space="preserve"> </w:t>
      </w:r>
      <w:r>
        <w:rPr>
          <w:bCs/>
        </w:rPr>
        <w:t xml:space="preserve">«extend» par</w:t>
      </w:r>
      <w:r>
        <w:rPr>
          <w:bCs/>
          <w:b/>
        </w:rPr>
        <w:t xml:space="preserve"> </w:t>
      </w:r>
      <w:r>
        <w:rPr>
          <w:rStyle w:val="VerbatimChar"/>
          <w:bCs/>
        </w:rPr>
        <w:t xml:space="preserve">Enregistrer automatiquement</w:t>
      </w:r>
      <w:r>
        <w:rPr>
          <w:bCs/>
        </w:rPr>
        <w:t xml:space="preserve">.</w:t>
      </w:r>
      <w:r>
        <w:t xml:space="preserve"> </w:t>
      </w:r>
      <w:r>
        <w:t>L'extension, elle, est conditionnelle : l'enregistrement automatique se déclenche sous condition — un titre valide et un délai d'inactivité écoulé (§ 7.1). L'enregistrement manuel reste le cas nominal, l'automatique l'étend.</w:t>
      </w:r>
    </w:p>
    <w:p>
      <w:pPr>
        <w:pStyle w:val="BodyText"/>
      </w:pPr>
      <w:r>
        <w:rPr>
          <w:rStyle w:val="VerbatimChar"/>
          <w:bCs/>
        </w:rPr>
        <w:t xml:space="preserve">Insérer ou remplacer la proposition</w:t>
      </w:r>
      <w:r>
        <w:rPr>
          <w:bCs/>
          <w:b/>
        </w:rPr>
        <w:t xml:space="preserve"> </w:t>
      </w:r>
      <w:r>
        <w:rPr>
          <w:bCs/>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BodyText"/>
      </w:pPr>
      <w:r>
        <w:rPr>
          <w:b/>
        </w:rPr>
        <w:t>Couverture du cahier des charges</w:t>
      </w:r>
    </w:p>
    <w:p>
      <w:pPr>
        <w:pStyle w:val="FirstParagraph"/>
      </w:pPr>
      <w:r>
        <w:t>Chaque fonctionnalité listée au cahier des charges (§ 2) est couverte par au moins un cas d'utilisation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14:paraId="34F143C0" w14:textId="229D3986" w:rsidR="003A2DEC" w:rsidRPr="00B1648B" w:rsidRDefault="00F02D2D" w:rsidP="003A2DEC">
      <w:pPr>
        <w:pStyle w:val="Titre1"/>
        <w:numPr>
          <w:ilvl w:val="1"/>
          <w:numId w:val="5"/>
        </w:numPr>
        <w:rPr>
          <w:sz w:val="36"/>
          <w:szCs w:val="36"/>
        </w:rPr>
      </w:pPr>
      <w:bookmarkStart w:id="11" w:name="_Toc198828316"/>
      <w:r w:rsidRPr="00B1648B">
        <w:rPr>
          <w:sz w:val="36"/>
          <w:szCs w:val="36"/>
        </w:rPr>
        <w:t>Le</w:t>
      </w:r>
      <w:r w:rsidR="003A2DEC" w:rsidRPr="00B1648B">
        <w:rPr>
          <w:sz w:val="36"/>
          <w:szCs w:val="36"/>
        </w:rPr>
        <w:t xml:space="preserve"> diagramme du détail des cas d’utilisations les plus significatifs de type diagramme de séquence.</w:t>
      </w:r>
      <w:bookmarkEnd w:id="11"/>
    </w:p>
    <w:p>
      <w:pPr>
        <w:pStyle w:val="FirstParagraph"/>
      </w:pPr>
      <w:r>
        <w:t xml:space="preserve">Le cas retenu est</w:t>
      </w:r>
      <w:r>
        <w:t xml:space="preserve"> </w:t>
      </w:r>
      <w:r>
        <w:rPr>
          <w:bCs/>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BodyText"/>
      </w:pPr>
      <w:r>
        <w:rPr>
          <w:b/>
        </w:rPr>
        <w:t>Scénario nominal</w:t>
      </w:r>
    </w:p>
    <w:p>
      <w:pPr>
        <w:pStyle w:val="Figure"/>
        <w:jc w:val="center"/>
      </w:pPr>
      <w:r>
        <w:drawing>
          <wp:inline xmlns:a="http://schemas.openxmlformats.org/drawingml/2006/main" xmlns:pic="http://schemas.openxmlformats.org/drawingml/2006/picture">
            <wp:extent cx="5688000" cy="3566394"/>
            <wp:docPr id="5" name="Picture 5"/>
            <wp:cNvGraphicFramePr>
              <a:graphicFrameLocks noChangeAspect="1"/>
            </wp:cNvGraphicFramePr>
            <a:graphic>
              <a:graphicData uri="http://schemas.openxmlformats.org/drawingml/2006/picture">
                <pic:pic>
                  <pic:nvPicPr>
                    <pic:cNvPr id="0" name="seq-uc10.png"/>
                    <pic:cNvPicPr/>
                  </pic:nvPicPr>
                  <pic:blipFill>
                    <a:blip r:embed="rId24"/>
                    <a:stretch>
                      <a:fillRect/>
                    </a:stretch>
                  </pic:blipFill>
                  <pic:spPr>
                    <a:xfrm>
                      <a:off x="0" y="0"/>
                      <a:ext cx="5688000" cy="3566394"/>
                    </a:xfrm>
                    <a:prstGeom prst="rect"/>
                  </pic:spPr>
                </pic:pic>
              </a:graphicData>
            </a:graphic>
          </wp:inline>
        </w:drawing>
      </w:r>
    </w:p>
    <w:p>
      <w:pPr>
        <w:pStyle w:val="ImageCaption"/>
      </w:pPr>
      <w:r>
        <w:t>Diagramme de séquence — générer une assistance IA, scénario nominal.</w:t>
      </w:r>
    </w:p>
    <w:bookmarkEnd w:id="78"/>
    <w:bookmarkStart w:id="79" w:name="Xde73705c2faa717c67cac7daa9ae91f0017a54b"/>
    <w:p>
      <w:pPr>
        <w:pStyle w:val="BodyText"/>
      </w:pPr>
      <w:r>
        <w:rPr>
          <w:b/>
        </w:rPr>
        <w:t>L'ordre des contrôles, et pourquoi il est celui-là</w:t>
      </w:r>
    </w:p>
    <w:p>
      <w:pPr>
        <w:pStyle w:val="FirstParagraph"/>
      </w:pPr>
      <w:r>
        <w:t xml:space="preserve">La séquence exécute cinq contrôles avant d'appeler le modèle. Leur ordre n'est pas indifférent : il va</w:t>
      </w:r>
      <w:r>
        <w:t xml:space="preserve"> </w:t>
      </w:r>
      <w:r>
        <w:rPr>
          <w:bCs/>
        </w:rPr>
        <w:t xml:space="preserve">du moins coûteux au plus coûteux</w:t>
      </w:r>
      <w:r>
        <w:t xml:space="preserve">, et du plus général au plus spécifique.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rPr>
        <w:t xml:space="preserve">avant</w:t>
      </w:r>
      <w:r>
        <w:t xml:space="preserve"> </w:t>
      </w:r>
      <w:r>
        <w:t xml:space="preserve">de toucher la base évite une requête pour une demande de toute façon malformée. Vérifier la propriété du document</w:t>
      </w:r>
      <w:r>
        <w:t xml:space="preserve"> </w:t>
      </w:r>
      <w:r>
        <w:rPr>
          <w:bCs/>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Figure"/>
        <w:spacing w:before="80" w:after="40"/>
        <w:jc w:val="left"/>
      </w:pPr>
      <w:r>
        <w:drawing>
          <wp:inline xmlns:a="http://schemas.openxmlformats.org/drawingml/2006/main" xmlns:pic="http://schemas.openxmlformats.org/drawingml/2006/picture">
            <wp:extent cx="2790050" cy="688506"/>
            <wp:docPr id="31" name="Picture 31"/>
            <wp:cNvGraphicFramePr>
              <a:graphicFrameLocks noChangeAspect="1"/>
            </wp:cNvGraphicFramePr>
            <a:graphic>
              <a:graphicData uri="http://schemas.openxmlformats.org/drawingml/2006/picture">
                <pic:pic>
                  <pic:nvPicPr>
                    <pic:cNvPr id="0" name="03bb8ca1d49c-0.png"/>
                    <pic:cNvPicPr/>
                  </pic:nvPicPr>
                  <pic:blipFill>
                    <a:blip r:embed="rId47"/>
                    <a:stretch>
                      <a:fillRect/>
                    </a:stretch>
                  </pic:blipFill>
                  <pic:spPr>
                    <a:xfrm>
                      <a:off x="0" y="0"/>
                      <a:ext cx="2790050" cy="688506"/>
                    </a:xfrm>
                    <a:prstGeom prst="rect"/>
                  </pic:spPr>
                </pic:pic>
              </a:graphicData>
            </a:graphic>
          </wp:inline>
        </w:drawing>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rPr>
        <w:t xml:space="preserve">Le quota est compté, pas stocké.</w:t>
      </w:r>
      <w:r>
        <w:t xml:space="preserve"> </w:t>
      </w:r>
      <w:r>
        <w:t xml:space="preserve">L'agrégation porte sur une fenêtre glissante de 24 heures :</w:t>
      </w:r>
    </w:p>
    <w:p>
      <w:pPr>
        <w:pStyle w:val="Figure"/>
        <w:spacing w:before="80" w:after="40"/>
        <w:jc w:val="left"/>
      </w:pPr>
      <w:r>
        <w:drawing>
          <wp:inline xmlns:a="http://schemas.openxmlformats.org/drawingml/2006/main" xmlns:pic="http://schemas.openxmlformats.org/drawingml/2006/picture">
            <wp:extent cx="5684970" cy="1089719"/>
            <wp:docPr id="32" name="Picture 32"/>
            <wp:cNvGraphicFramePr>
              <a:graphicFrameLocks noChangeAspect="1"/>
            </wp:cNvGraphicFramePr>
            <a:graphic>
              <a:graphicData uri="http://schemas.openxmlformats.org/drawingml/2006/picture">
                <pic:pic>
                  <pic:nvPicPr>
                    <pic:cNvPr id="0" name="5a9aa13e2aca-0.png"/>
                    <pic:cNvPicPr/>
                  </pic:nvPicPr>
                  <pic:blipFill>
                    <a:blip r:embed="rId48"/>
                    <a:stretch>
                      <a:fillRect/>
                    </a:stretch>
                  </pic:blipFill>
                  <pic:spPr>
                    <a:xfrm>
                      <a:off x="0" y="0"/>
                      <a:ext cx="5684970" cy="1089719"/>
                    </a:xfrm>
                    <a:prstGeom prst="rect"/>
                  </pic:spPr>
                </pic:pic>
              </a:graphicData>
            </a:graphic>
          </wp:inline>
        </w:drawing>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BodyText"/>
      </w:pPr>
      <w:r>
        <w:rPr>
          <w:b/>
        </w:rPr>
        <w:t>Scénarios alternatifs</w:t>
      </w:r>
    </w:p>
    <w:p>
      <w:pPr>
        <w:pStyle w:val="Figure"/>
        <w:spacing w:before="80" w:after="40"/>
        <w:jc w:val="left"/>
      </w:pPr>
      <w:r>
        <w:drawing>
          <wp:inline xmlns:a="http://schemas.openxmlformats.org/drawingml/2006/main" xmlns:pic="http://schemas.openxmlformats.org/drawingml/2006/picture">
            <wp:extent cx="4155868" cy="1689573"/>
            <wp:docPr id="33" name="Picture 33"/>
            <wp:cNvGraphicFramePr>
              <a:graphicFrameLocks noChangeAspect="1"/>
            </wp:cNvGraphicFramePr>
            <a:graphic>
              <a:graphicData uri="http://schemas.openxmlformats.org/drawingml/2006/picture">
                <pic:pic>
                  <pic:nvPicPr>
                    <pic:cNvPr id="0" name="e6364fc61b5f-0.png"/>
                    <pic:cNvPicPr/>
                  </pic:nvPicPr>
                  <pic:blipFill>
                    <a:blip r:embed="rId49"/>
                    <a:stretch>
                      <a:fillRect/>
                    </a:stretch>
                  </pic:blipFill>
                  <pic:spPr>
                    <a:xfrm>
                      <a:off x="0" y="0"/>
                      <a:ext cx="4155868" cy="1689573"/>
                    </a:xfrm>
                    <a:prstGeom prst="rect"/>
                  </pic:spPr>
                </pic:pic>
              </a:graphicData>
            </a:graphic>
          </wp:inline>
        </w:drawing>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Figure"/>
        <w:spacing w:before="80" w:after="40"/>
        <w:jc w:val="left"/>
      </w:pPr>
      <w:r>
        <w:drawing>
          <wp:inline xmlns:a="http://schemas.openxmlformats.org/drawingml/2006/main" xmlns:pic="http://schemas.openxmlformats.org/drawingml/2006/picture">
            <wp:extent cx="5636699" cy="689063"/>
            <wp:docPr id="34" name="Picture 34"/>
            <wp:cNvGraphicFramePr>
              <a:graphicFrameLocks noChangeAspect="1"/>
            </wp:cNvGraphicFramePr>
            <a:graphic>
              <a:graphicData uri="http://schemas.openxmlformats.org/drawingml/2006/picture">
                <pic:pic>
                  <pic:nvPicPr>
                    <pic:cNvPr id="0" name="4ed387ad3dab-0.png"/>
                    <pic:cNvPicPr/>
                  </pic:nvPicPr>
                  <pic:blipFill>
                    <a:blip r:embed="rId50"/>
                    <a:stretch>
                      <a:fillRect/>
                    </a:stretch>
                  </pic:blipFill>
                  <pic:spPr>
                    <a:xfrm>
                      <a:off x="0" y="0"/>
                      <a:ext cx="5636699" cy="689063"/>
                    </a:xfrm>
                    <a:prstGeom prst="rect"/>
                  </pic:spPr>
                </pic:pic>
              </a:graphicData>
            </a:graphic>
          </wp:inline>
        </w:drawing>
      </w:r>
    </w:p>
    <w:p>
      <w:pPr>
        <w:pStyle w:val="FirstParagraph"/>
      </w:pPr>
      <w:r>
        <w:t>C'est l'application concrète de la règle de séparation des couches (§ 5.2)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 verrouille cette propriété.</w:t>
      </w:r>
    </w:p>
    <w:p w14:paraId="26C0E4E8" w14:textId="5E0E5454" w:rsidR="003A2DEC" w:rsidRPr="00B1648B" w:rsidRDefault="00F02D2D" w:rsidP="003A2DEC">
      <w:pPr>
        <w:pStyle w:val="Titre1"/>
        <w:numPr>
          <w:ilvl w:val="0"/>
          <w:numId w:val="5"/>
        </w:numPr>
        <w:rPr>
          <w:sz w:val="36"/>
          <w:szCs w:val="36"/>
        </w:rPr>
      </w:pPr>
      <w:r w:rsidRPr="00B1648B">
        <w:rPr>
          <w:sz w:val="36"/>
          <w:szCs w:val="36"/>
        </w:rPr>
        <w:t>Les</w:t>
      </w:r>
      <w:r w:rsidR="003A2DEC" w:rsidRPr="00B1648B">
        <w:rPr>
          <w:sz w:val="36"/>
          <w:szCs w:val="36"/>
        </w:rPr>
        <w:t xml:space="preserve"> spécifications techniques du projet</w:t>
      </w:r>
    </w:p>
    <w:p>
      <w:pPr>
        <w:pStyle w:val="BodyText"/>
      </w:pPr>
      <w:r>
        <w:rPr>
          <w:b/>
        </w:rPr>
        <w:t>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installée indiquée ci-dessus, 0.35.1, découle directement de la veille (§ 11).</w:t>
      </w:r>
    </w:p>
    <w:bookmarkEnd w:id="82"/>
    <w:bookmarkStart w:id="85" w:name="X4c9993feee0460b61edab6d627145bfb7242c12"/>
    <w:p>
      <w:pPr>
        <w:pStyle w:val="BodyText"/>
      </w:pPr>
      <w:r>
        <w:rPr>
          <w:b/>
        </w:rPr>
        <w:t>Pile applicative et dépendances</w:t>
      </w:r>
    </w:p>
    <w:bookmarkStart w:id="83" w:name="Xf3d9023f726e803abe5eab79db2bc0940dd961e"/>
    <w:p>
      <w:pPr>
        <w:pStyle w:val="BodyText"/>
      </w:pPr>
      <w:r>
        <w:rPr>
          <w:b/>
        </w:rPr>
        <w:t>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11), à l'installation involontaire d'une version compromise.</w:t>
      </w:r>
    </w:p>
    <w:bookmarkEnd w:id="83"/>
    <w:bookmarkStart w:id="84" w:name="Xaa5f8574cc346eda3fd354261493ca2989a397d"/>
    <w:p>
      <w:pPr>
        <w:pStyle w:val="BodyText"/>
      </w:pPr>
      <w:r>
        <w:rPr>
          <w:b/>
        </w:rPr>
        <w:t>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avant injection (§ 7.1)</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BodyText"/>
      </w:pPr>
      <w:r>
        <w:rPr>
          <w:b/>
        </w:rPr>
        <w:t>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rPr>
        <w:t xml:space="preserve">JWT_SECRET_KEY</w:t>
      </w:r>
      <w:r>
        <w:rPr>
          <w:bCs/>
          <w:b/>
        </w:rPr>
        <w:t xml:space="preserve"> </w:t>
      </w:r>
      <w:r>
        <w:rPr>
          <w:bCs/>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Figure"/>
        <w:spacing w:before="80" w:after="40"/>
        <w:jc w:val="left"/>
      </w:pPr>
      <w:r>
        <w:drawing>
          <wp:inline xmlns:a="http://schemas.openxmlformats.org/drawingml/2006/main" xmlns:pic="http://schemas.openxmlformats.org/drawingml/2006/picture">
            <wp:extent cx="3465540" cy="789262"/>
            <wp:docPr id="35" name="Picture 35"/>
            <wp:cNvGraphicFramePr>
              <a:graphicFrameLocks noChangeAspect="1"/>
            </wp:cNvGraphicFramePr>
            <a:graphic>
              <a:graphicData uri="http://schemas.openxmlformats.org/drawingml/2006/picture">
                <pic:pic>
                  <pic:nvPicPr>
                    <pic:cNvPr id="0" name="34409ea4ec49-0.png"/>
                    <pic:cNvPicPr/>
                  </pic:nvPicPr>
                  <pic:blipFill>
                    <a:blip r:embed="rId51"/>
                    <a:stretch>
                      <a:fillRect/>
                    </a:stretch>
                  </pic:blipFill>
                  <pic:spPr>
                    <a:xfrm>
                      <a:off x="0" y="0"/>
                      <a:ext cx="3465540" cy="789262"/>
                    </a:xfrm>
                    <a:prstGeom prst="rect"/>
                  </pic:spPr>
                </pic:pic>
              </a:graphicData>
            </a:graphic>
          </wp:inline>
        </w:drawing>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rPr>
        <w:t xml:space="preserve">APP_ENV</w:t>
      </w:r>
      <w:r>
        <w:rPr>
          <w:bCs/>
          <w:b/>
        </w:rPr>
        <w:t xml:space="preserve"> </w:t>
      </w:r>
      <w:r>
        <w:rPr>
          <w:bCs/>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Figure"/>
        <w:spacing w:before="80" w:after="40"/>
        <w:jc w:val="left"/>
      </w:pPr>
      <w:r>
        <w:drawing>
          <wp:inline xmlns:a="http://schemas.openxmlformats.org/drawingml/2006/main" xmlns:pic="http://schemas.openxmlformats.org/drawingml/2006/picture">
            <wp:extent cx="2259375" cy="287920"/>
            <wp:docPr id="36" name="Picture 36"/>
            <wp:cNvGraphicFramePr>
              <a:graphicFrameLocks noChangeAspect="1"/>
            </wp:cNvGraphicFramePr>
            <a:graphic>
              <a:graphicData uri="http://schemas.openxmlformats.org/drawingml/2006/picture">
                <pic:pic>
                  <pic:nvPicPr>
                    <pic:cNvPr id="0" name="5b0b16e2dc6a-0.png"/>
                    <pic:cNvPicPr/>
                  </pic:nvPicPr>
                  <pic:blipFill>
                    <a:blip r:embed="rId52"/>
                    <a:stretch>
                      <a:fillRect/>
                    </a:stretch>
                  </pic:blipFill>
                  <pic:spPr>
                    <a:xfrm>
                      <a:off x="0" y="0"/>
                      <a:ext cx="2259375" cy="287920"/>
                    </a:xfrm>
                    <a:prstGeom prst="rect"/>
                  </pic:spPr>
                </pic:pic>
              </a:graphicData>
            </a:graphic>
          </wp:inline>
        </w:drawing>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rPr>
        <w:t xml:space="preserve">positionner explicitement</w:t>
      </w:r>
      <w:r>
        <w:t xml:space="preserve"> </w:t>
      </w:r>
      <w:r>
        <w:rPr>
          <w:rStyle w:val="VerbatimChar"/>
        </w:rPr>
        <w:t xml:space="preserve">APP_ENV</w:t>
      </w:r>
      <w:r>
        <w:t xml:space="preserve"> </w:t>
      </w:r>
      <w:r>
        <w:t>à la mise en production. Cette étape figure dans la liste de contrôle de déploiement.</w:t>
      </w:r>
    </w:p>
    <w:bookmarkEnd w:id="86"/>
    <w:bookmarkStart w:id="87" w:name="Xb703d407babec277ce052cef14d98faeb56bd4c"/>
    <w:p>
      <w:pPr>
        <w:pStyle w:val="BodyText"/>
      </w:pPr>
      <w:r>
        <w:rPr>
          <w:b/>
        </w:rPr>
        <w:t>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global. Ce motif permet d'instancier une application de test avec une configuration distincte, sans toucher au code de production — prérequis du plan de tests (§ 9).</w:t>
      </w:r>
    </w:p>
    <w:p>
      <w:pPr>
        <w:pStyle w:val="Figure"/>
        <w:spacing w:before="80" w:after="40"/>
        <w:jc w:val="left"/>
      </w:pPr>
      <w:r>
        <w:drawing>
          <wp:inline xmlns:a="http://schemas.openxmlformats.org/drawingml/2006/main" xmlns:pic="http://schemas.openxmlformats.org/drawingml/2006/picture">
            <wp:extent cx="3996277" cy="1789916"/>
            <wp:docPr id="37" name="Picture 37"/>
            <wp:cNvGraphicFramePr>
              <a:graphicFrameLocks noChangeAspect="1"/>
            </wp:cNvGraphicFramePr>
            <a:graphic>
              <a:graphicData uri="http://schemas.openxmlformats.org/drawingml/2006/picture">
                <pic:pic>
                  <pic:nvPicPr>
                    <pic:cNvPr id="0" name="a18fb70be70f-0.png"/>
                    <pic:cNvPicPr/>
                  </pic:nvPicPr>
                  <pic:blipFill>
                    <a:blip r:embed="rId53"/>
                    <a:stretch>
                      <a:fillRect/>
                    </a:stretch>
                  </pic:blipFill>
                  <pic:spPr>
                    <a:xfrm>
                      <a:off x="0" y="0"/>
                      <a:ext cx="3996277" cy="1789916"/>
                    </a:xfrm>
                    <a:prstGeom prst="rect"/>
                  </pic:spPr>
                </pic:pic>
              </a:graphicData>
            </a:graphic>
          </wp:inline>
        </w:drawing>
      </w:r>
    </w:p>
    <w:p>
      <w:pPr>
        <w:pStyle w:val="FirstParagraph"/>
      </w:pPr>
      <w:r>
        <w:t xml:space="preserve">Deux détails comptent.</w:t>
      </w:r>
    </w:p>
    <w:p>
      <w:pPr>
        <w:pStyle w:val="BodyText"/>
      </w:pPr>
      <w:r>
        <w:rPr>
          <w:rStyle w:val="VerbatimChar"/>
          <w:bCs/>
        </w:rPr>
        <w:t xml:space="preserve">origins</w:t>
      </w:r>
      <w:r>
        <w:rPr>
          <w:bCs/>
          <w:b/>
        </w:rPr>
        <w:t xml:space="preserve"> </w:t>
      </w:r>
      <w:r>
        <w:rPr>
          <w:bCs/>
        </w:rPr>
        <w:t xml:space="preserve">est une liste explicite, jamais</w:t>
      </w:r>
      <w:r>
        <w:rPr>
          <w:bCs/>
          <w:b/>
        </w:rPr>
        <w:t xml:space="preserve"> </w:t>
      </w:r>
      <w:r>
        <w:rPr>
          <w:rStyle w:val="VerbatimChar"/>
          <w:bCs/>
        </w:rPr>
        <w:t xml:space="preserve">*</w:t>
      </w:r>
      <w:r>
        <w:rPr>
          <w:bCs/>
        </w:rPr>
        <w:t xml:space="preserve">.</w:t>
      </w:r>
      <w:r>
        <w:t xml:space="preserve"> </w:t>
      </w:r>
      <w:r>
        <w:t xml:space="preserve">Avec</w:t>
      </w:r>
      <w:r>
        <w:t xml:space="preserve"> </w:t>
      </w:r>
      <w:r>
        <w:rPr>
          <w:rStyle w:val="VerbatimChar"/>
        </w:rPr>
        <w:t xml:space="preserve">supports_credentials=True</w:t>
      </w:r>
      <w:r>
        <w:t>, un joker serait d'ailleurs refusé par les navigateurs — mais l'intention est d'abord de restreindre : seule l'origine du front peut envoyer des requêtes authentifiées. L'origine est lue dans CORS_ORIGINS, dont la valeur par défaut est celle du développement ; elle doit être renseignée avec le domaine réel au déploiement.</w:t>
      </w:r>
    </w:p>
    <w:p>
      <w:pPr>
        <w:pStyle w:val="BodyText"/>
      </w:pPr>
      <w:r>
        <w:rPr>
          <w:bCs/>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bookmarkEnd w:id="88"/>
    <w:bookmarkStart w:id="89" w:name="Xd1095e60733dbbf5c9c8b2c195c2b19f7df47a2"/>
    <w:p>
      <w:pPr>
        <w:pStyle w:val="BodyText"/>
      </w:pPr>
      <w:r>
        <w:rPr>
          <w:b/>
        </w:rPr>
        <w:t>Déploiement et industrialisation</w:t>
      </w:r>
    </w:p>
    <w:p>
      <w:pPr>
        <w:pStyle w:val="FirstParagraph"/>
      </w:pPr>
      <w:r>
        <w:t>La conteneurisation et l'intégration continue sont en place depuis le 4 octobre ; seul le déploiement proprement dit reste à faire (§ 4).</w:t>
      </w:r>
    </w:p>
    <w:p>
      <w:pPr>
        <w:pStyle w:val="BodyText"/>
      </w:pPr>
      <w:r>
        <w:rPr>
          <w:bCs/>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Les secrets sont déclarés sous la forme ${VAR:?message} — la composition échoue immédiatement si la variable manque, au lieu de démarrer avec une valeur inventée.</w:t>
      </w:r>
    </w:p>
    <w:p>
      <w:pPr>
        <w:pStyle w:val="BodyText"/>
      </w:pPr>
      <w:r>
        <w:rPr>
          <w:bCs/>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BodyText"/>
      </w:pPr>
      <w:r>
        <w:rPr>
          <w:b/>
        </w:rPr>
        <w:t>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14:paraId="511A6F0C" w14:textId="027F9FB2" w:rsidR="003A2DEC" w:rsidRPr="00B1648B" w:rsidRDefault="00F02D2D" w:rsidP="003A2DEC">
      <w:pPr>
        <w:pStyle w:val="Titre1"/>
        <w:numPr>
          <w:ilvl w:val="0"/>
          <w:numId w:val="5"/>
        </w:numPr>
        <w:rPr>
          <w:sz w:val="36"/>
          <w:szCs w:val="36"/>
        </w:rPr>
      </w:pPr>
      <w:r w:rsidRPr="00B1648B">
        <w:rPr>
          <w:sz w:val="36"/>
          <w:szCs w:val="36"/>
        </w:rPr>
        <w:t>L</w:t>
      </w:r>
      <w:r w:rsidR="003A2DEC" w:rsidRPr="00B1648B">
        <w:rPr>
          <w:sz w:val="36"/>
          <w:szCs w:val="36"/>
        </w:rPr>
        <w:t>es réalisations du candidat comportant les extraits de code les plus significatifs, les arguments qui ont conduit à ses choix, y compris pour la sécurité</w:t>
      </w:r>
    </w:p>
    <w:p w14:paraId="20B314B3" w14:textId="0BCD997D" w:rsidR="003A2DEC" w:rsidRPr="00B1648B" w:rsidRDefault="00690DDD" w:rsidP="003A2DEC">
      <w:pPr>
        <w:pStyle w:val="Titre1"/>
        <w:numPr>
          <w:ilvl w:val="1"/>
          <w:numId w:val="5"/>
        </w:numPr>
        <w:rPr>
          <w:sz w:val="36"/>
          <w:szCs w:val="36"/>
        </w:rPr>
      </w:pPr>
      <w:bookmarkStart w:id="12" w:name="_Toc198828317"/>
      <w:r w:rsidRPr="00B1648B">
        <w:rPr>
          <w:sz w:val="36"/>
          <w:szCs w:val="36"/>
        </w:rPr>
        <w:t>L</w:t>
      </w:r>
      <w:r w:rsidR="003A2DEC" w:rsidRPr="00B1648B">
        <w:rPr>
          <w:sz w:val="36"/>
          <w:szCs w:val="36"/>
        </w:rPr>
        <w:t>es captures d’écran d’interfaces utilisateur et le code correspondant</w:t>
      </w:r>
      <w:bookmarkEnd w:id="12"/>
    </w:p>
    <w:p>
      <w:pPr>
        <w:pStyle w:val="FirstParagraph"/>
      </w:pPr>
      <w:r>
        <w:t>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BodyText"/>
      </w:pPr>
      <w:r>
        <w:rPr>
          <w:b/>
        </w:rPr>
        <w:t>Le tableau de bord (capture C-05)</w:t>
      </w:r>
    </w:p>
    <w:p>
      <w:pPr>
        <w:pStyle w:val="Figure"/>
        <w:jc w:val="center"/>
      </w:pPr>
      <w:r>
        <w:drawing>
          <wp:inline xmlns:a="http://schemas.openxmlformats.org/drawingml/2006/main" xmlns:pic="http://schemas.openxmlformats.org/drawingml/2006/picture">
            <wp:extent cx="3780000" cy="3958259"/>
            <wp:docPr id="8" name="Picture 8"/>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780000" cy="3958259"/>
                    </a:xfrm>
                    <a:prstGeom prst="rect"/>
                  </pic:spPr>
                </pic:pic>
              </a:graphicData>
            </a:graphic>
          </wp:inline>
        </w:drawing>
      </w:r>
    </w:p>
    <w:p>
      <w:pPr>
        <w:pStyle w:val="ImageCaption"/>
      </w:pPr>
      <w:r>
        <w:t>Capture C-05 — tableau de bord.</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Figure"/>
        <w:spacing w:before="80" w:after="40"/>
        <w:jc w:val="left"/>
      </w:pPr>
      <w:r>
        <w:drawing>
          <wp:inline xmlns:a="http://schemas.openxmlformats.org/drawingml/2006/main" xmlns:pic="http://schemas.openxmlformats.org/drawingml/2006/picture">
            <wp:extent cx="4092758" cy="1089266"/>
            <wp:docPr id="38" name="Picture 38"/>
            <wp:cNvGraphicFramePr>
              <a:graphicFrameLocks noChangeAspect="1"/>
            </wp:cNvGraphicFramePr>
            <a:graphic>
              <a:graphicData uri="http://schemas.openxmlformats.org/drawingml/2006/picture">
                <pic:pic>
                  <pic:nvPicPr>
                    <pic:cNvPr id="0" name="23eefc080f02-0.png"/>
                    <pic:cNvPicPr/>
                  </pic:nvPicPr>
                  <pic:blipFill>
                    <a:blip r:embed="rId54"/>
                    <a:stretch>
                      <a:fillRect/>
                    </a:stretch>
                  </pic:blipFill>
                  <pic:spPr>
                    <a:xfrm>
                      <a:off x="0" y="0"/>
                      <a:ext cx="4092758" cy="1089266"/>
                    </a:xfrm>
                    <a:prstGeom prst="rect"/>
                  </pic:spPr>
                </pic:pic>
              </a:graphicData>
            </a:graphic>
          </wp:inline>
        </w:drawing>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BodyText"/>
      </w:pPr>
      <w:r>
        <w:rPr>
          <w:b/>
        </w:rPr>
        <w:t>L'éditeur de document (capture C-07)</w:t>
      </w:r>
    </w:p>
    <w:p>
      <w:pPr>
        <w:pStyle w:val="Figure"/>
        <w:jc w:val="center"/>
      </w:pPr>
      <w:r>
        <w:drawing>
          <wp:inline xmlns:a="http://schemas.openxmlformats.org/drawingml/2006/main" xmlns:pic="http://schemas.openxmlformats.org/drawingml/2006/picture">
            <wp:extent cx="4320000" cy="3322273"/>
            <wp:docPr id="9" name="Picture 9"/>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320000" cy="3322273"/>
                    </a:xfrm>
                    <a:prstGeom prst="rect"/>
                  </pic:spPr>
                </pic:pic>
              </a:graphicData>
            </a:graphic>
          </wp:inline>
        </w:drawing>
      </w:r>
    </w:p>
    <w:p>
      <w:pPr>
        <w:pStyle w:val="ImageCaption"/>
      </w:pPr>
      <w:r>
        <w:t>Capture C-07 — éditeur de document, création.</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rPr>
        <w:t xml:space="preserve">L'enregistrement automatique.</w:t>
      </w:r>
      <w:r>
        <w:t xml:space="preserve"> </w:t>
      </w:r>
      <w:r>
        <w:t>L'exigence du cahier des charges (§ 2 c) est satisfaite par un enregistrement différé : la sauvegarde n'est pas déclenchée à chaque frappe, mais 2,5 secondes après la dernière.</w:t>
      </w:r>
    </w:p>
    <w:p>
      <w:pPr>
        <w:pStyle w:val="Figure"/>
        <w:spacing w:before="80" w:after="40"/>
        <w:jc w:val="left"/>
      </w:pPr>
      <w:r>
        <w:drawing>
          <wp:inline xmlns:a="http://schemas.openxmlformats.org/drawingml/2006/main" xmlns:pic="http://schemas.openxmlformats.org/drawingml/2006/picture">
            <wp:extent cx="3320787" cy="2491592"/>
            <wp:docPr id="39" name="Picture 39"/>
            <wp:cNvGraphicFramePr>
              <a:graphicFrameLocks noChangeAspect="1"/>
            </wp:cNvGraphicFramePr>
            <a:graphic>
              <a:graphicData uri="http://schemas.openxmlformats.org/drawingml/2006/picture">
                <pic:pic>
                  <pic:nvPicPr>
                    <pic:cNvPr id="0" name="670f40008252-0.png"/>
                    <pic:cNvPicPr/>
                  </pic:nvPicPr>
                  <pic:blipFill>
                    <a:blip r:embed="rId55"/>
                    <a:stretch>
                      <a:fillRect/>
                    </a:stretch>
                  </pic:blipFill>
                  <pic:spPr>
                    <a:xfrm>
                      <a:off x="0" y="0"/>
                      <a:ext cx="3320787" cy="2491592"/>
                    </a:xfrm>
                    <a:prstGeom prst="rect"/>
                  </pic:spPr>
                </pic:pic>
              </a:graphicData>
            </a:graphic>
          </wp:inline>
        </w:drawing>
      </w:r>
    </w:p>
    <w:p>
      <w:pPr>
        <w:pStyle w:val="FirstParagraph"/>
      </w:pPr>
      <w:r>
        <w:t xml:space="preserve">Quatre décisions se lisent dans ces quelques lignes.</w:t>
      </w:r>
    </w:p>
    <w:p>
      <w:pPr>
        <w:pStyle w:val="BodyText"/>
      </w:pPr>
      <w:r>
        <w:t xml:space="preserve">Le</w:t>
      </w:r>
      <w:r>
        <w:t xml:space="preserve"> </w:t>
      </w:r>
      <w:r>
        <w:rPr>
          <w:bCs/>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rPr>
        <w:t xml:space="preserve">garde sur</w:t>
      </w:r>
      <w:r>
        <w:rPr>
          <w:bCs/>
          <w:b/>
        </w:rPr>
        <w:t xml:space="preserve"> </w:t>
      </w:r>
      <w:r>
        <w:rPr>
          <w:rStyle w:val="VerbatimChar"/>
          <w:bCs/>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Figure"/>
        <w:spacing w:before="80" w:after="40"/>
        <w:jc w:val="left"/>
      </w:pPr>
      <w:r>
        <w:drawing>
          <wp:inline xmlns:a="http://schemas.openxmlformats.org/drawingml/2006/main" xmlns:pic="http://schemas.openxmlformats.org/drawingml/2006/picture">
            <wp:extent cx="2934802" cy="487801"/>
            <wp:docPr id="40" name="Picture 40"/>
            <wp:cNvGraphicFramePr>
              <a:graphicFrameLocks noChangeAspect="1"/>
            </wp:cNvGraphicFramePr>
            <a:graphic>
              <a:graphicData uri="http://schemas.openxmlformats.org/drawingml/2006/picture">
                <pic:pic>
                  <pic:nvPicPr>
                    <pic:cNvPr id="0" name="49239bf591de-0.png"/>
                    <pic:cNvPicPr/>
                  </pic:nvPicPr>
                  <pic:blipFill>
                    <a:blip r:embed="rId56"/>
                    <a:stretch>
                      <a:fillRect/>
                    </a:stretch>
                  </pic:blipFill>
                  <pic:spPr>
                    <a:xfrm>
                      <a:off x="0" y="0"/>
                      <a:ext cx="2934802" cy="487801"/>
                    </a:xfrm>
                    <a:prstGeom prst="rect"/>
                  </pic:spPr>
                </pic:pic>
              </a:graphicData>
            </a:graphic>
          </wp:inline>
        </w:drawing>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afin que son apparition ne décale pas le contenu. Le comportement est vérifié par le cas fonctionnel TF-06 (§ 9).</w:t>
      </w:r>
    </w:p>
    <w:p>
      <w:pPr>
        <w:pStyle w:val="BodyText"/>
      </w:pPr>
      <w:r>
        <w:rPr>
          <w:bCs/>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Figure"/>
        <w:spacing w:before="80" w:after="40"/>
        <w:jc w:val="left"/>
      </w:pPr>
      <w:r>
        <w:drawing>
          <wp:inline xmlns:a="http://schemas.openxmlformats.org/drawingml/2006/main" xmlns:pic="http://schemas.openxmlformats.org/drawingml/2006/picture">
            <wp:extent cx="3079554" cy="3692261"/>
            <wp:docPr id="41" name="Picture 41"/>
            <wp:cNvGraphicFramePr>
              <a:graphicFrameLocks noChangeAspect="1"/>
            </wp:cNvGraphicFramePr>
            <a:graphic>
              <a:graphicData uri="http://schemas.openxmlformats.org/drawingml/2006/picture">
                <pic:pic>
                  <pic:nvPicPr>
                    <pic:cNvPr id="0" name="45c84bdad847-0.png"/>
                    <pic:cNvPicPr/>
                  </pic:nvPicPr>
                  <pic:blipFill>
                    <a:blip r:embed="rId57"/>
                    <a:stretch>
                      <a:fillRect/>
                    </a:stretch>
                  </pic:blipFill>
                  <pic:spPr>
                    <a:xfrm>
                      <a:off x="0" y="0"/>
                      <a:ext cx="3079554" cy="3692261"/>
                    </a:xfrm>
                    <a:prstGeom prst="rect"/>
                  </pic:spPr>
                </pic:pic>
              </a:graphicData>
            </a:graphic>
          </wp:inline>
        </w:drawing>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4237510" cy="889156"/>
            <wp:docPr id="42" name="Picture 42"/>
            <wp:cNvGraphicFramePr>
              <a:graphicFrameLocks noChangeAspect="1"/>
            </wp:cNvGraphicFramePr>
            <a:graphic>
              <a:graphicData uri="http://schemas.openxmlformats.org/drawingml/2006/picture">
                <pic:pic>
                  <pic:nvPicPr>
                    <pic:cNvPr id="0" name="380d59bf676c-0.png"/>
                    <pic:cNvPicPr/>
                  </pic:nvPicPr>
                  <pic:blipFill>
                    <a:blip r:embed="rId58"/>
                    <a:stretch>
                      <a:fillRect/>
                    </a:stretch>
                  </pic:blipFill>
                  <pic:spPr>
                    <a:xfrm>
                      <a:off x="0" y="0"/>
                      <a:ext cx="4237510" cy="889156"/>
                    </a:xfrm>
                    <a:prstGeom prst="rect"/>
                  </pic:spPr>
                </pic:pic>
              </a:graphicData>
            </a:graphic>
          </wp:inline>
        </w:drawing>
      </w:r>
    </w:p>
    <w:p>
      <w:pPr>
        <w:pStyle w:val="FirstParagraph"/>
      </w:pPr>
      <w:r>
        <w:rPr>
          <w:bCs/>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Figure"/>
        <w:spacing w:before="80" w:after="40"/>
        <w:jc w:val="left"/>
      </w:pPr>
      <w:r>
        <w:drawing>
          <wp:inline xmlns:a="http://schemas.openxmlformats.org/drawingml/2006/main" xmlns:pic="http://schemas.openxmlformats.org/drawingml/2006/picture">
            <wp:extent cx="3706773" cy="1088815"/>
            <wp:docPr id="43" name="Picture 43"/>
            <wp:cNvGraphicFramePr>
              <a:graphicFrameLocks noChangeAspect="1"/>
            </wp:cNvGraphicFramePr>
            <a:graphic>
              <a:graphicData uri="http://schemas.openxmlformats.org/drawingml/2006/picture">
                <pic:pic>
                  <pic:nvPicPr>
                    <pic:cNvPr id="0" name="fa57e4097384-0.png"/>
                    <pic:cNvPicPr/>
                  </pic:nvPicPr>
                  <pic:blipFill>
                    <a:blip r:embed="rId59"/>
                    <a:stretch>
                      <a:fillRect/>
                    </a:stretch>
                  </pic:blipFill>
                  <pic:spPr>
                    <a:xfrm>
                      <a:off x="0" y="0"/>
                      <a:ext cx="3706773" cy="1088815"/>
                    </a:xfrm>
                    <a:prstGeom prst="rect"/>
                  </pic:spPr>
                </pic:pic>
              </a:graphicData>
            </a:graphic>
          </wp:inline>
        </w:drawing>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rPr>
        <w:t xml:space="preserve">la sortie</w:t>
      </w:r>
      <w:r>
        <w:t xml:space="preserve"> </w:t>
      </w:r>
      <w:r>
        <w:t xml:space="preserve">plutôt que</w:t>
      </w:r>
      <w:r>
        <w:t xml:space="preserve"> </w:t>
      </w:r>
      <w:r>
        <w:rPr>
          <w:bCs/>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Une réserve, issue de la veille (§ 11) : DOMPurify est elle-même un composant à maintenir, et la version employée doit être tenue à jour. C'est l'argument qui justifie de conserver le stockage en Markdown brut comme</w:t>
      </w:r>
      <w:r>
        <w:t xml:space="preserve"> </w:t>
      </w:r>
      <w:r>
        <w:rPr>
          <w:bCs/>
        </w:rPr>
        <w:t xml:space="preserve">seconde ligne de défense</w:t>
      </w:r>
      <w:r>
        <w:t>, indépendante de cette bibliothèque. Les cas TU-19 (§ 9) et TS-01 (§ 9) vérifient l'assainissement à deux niveaux : unitaire sur le calcul de l'aperçu, et fonctionnel sur un document réellement enregistré puis rechargé.</w:t>
      </w:r>
    </w:p>
    <w:p w14:paraId="112DD5E5" w14:textId="3BAA355A" w:rsidR="003A2DEC" w:rsidRPr="00B1648B" w:rsidRDefault="00690DDD" w:rsidP="003A2DEC">
      <w:pPr>
        <w:pStyle w:val="Titre1"/>
        <w:numPr>
          <w:ilvl w:val="1"/>
          <w:numId w:val="5"/>
        </w:numPr>
        <w:rPr>
          <w:sz w:val="36"/>
          <w:szCs w:val="36"/>
        </w:rPr>
      </w:pPr>
      <w:bookmarkStart w:id="13" w:name="_Toc198828318"/>
      <w:r w:rsidRPr="00B1648B">
        <w:rPr>
          <w:sz w:val="36"/>
          <w:szCs w:val="36"/>
        </w:rPr>
        <w:t>Des</w:t>
      </w:r>
      <w:r w:rsidR="003A2DEC" w:rsidRPr="00B1648B">
        <w:rPr>
          <w:sz w:val="36"/>
          <w:szCs w:val="36"/>
        </w:rPr>
        <w:t xml:space="preserve"> extraits de code de composants métier</w:t>
      </w:r>
      <w:bookmarkEnd w:id="13"/>
      <w:r w:rsidR="003A2DEC" w:rsidRPr="00B1648B">
        <w:rPr>
          <w:sz w:val="36"/>
          <w:szCs w:val="36"/>
        </w:rPr>
        <w:t xml:space="preserve"> </w:t>
      </w:r>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BodyText"/>
      </w:pPr>
      <w:r>
        <w:rPr>
          <w:b/>
        </w:rPr>
        <w:t>Politique de mot de passe et hachage</w:t>
      </w:r>
    </w:p>
    <w:p>
      <w:pPr>
        <w:pStyle w:val="FirstParagraph"/>
      </w:pPr>
      <w:r>
        <w:t xml:space="preserve">Trois points de conception.</w:t>
      </w:r>
    </w:p>
    <w:p>
      <w:pPr>
        <w:pStyle w:val="BodyText"/>
      </w:pPr>
      <w:r>
        <w:rPr>
          <w:bCs/>
        </w:rPr>
        <w:t xml:space="preserve">bcrypt plutôt que SHA-256.</w:t>
      </w:r>
      <w:r>
        <w:t xml:space="preserve"> </w:t>
      </w:r>
      <w:r>
        <w:t xml:space="preserve">Une fonction de hachage généraliste est conçue pour être</w:t>
      </w:r>
      <w:r>
        <w:t xml:space="preserve"> </w:t>
      </w:r>
      <w:r>
        <w:rPr>
          <w:iCs/>
          <w:i/>
        </w:rPr>
        <w:t xml:space="preserve">rapide</w:t>
      </w:r>
      <w:r>
        <w:t>, ce qui est exactement le défaut recherché par une attaque par force brute. bcrypt est délibérément lente et son coût est paramétrable, ce qui la rend adaptée aux mots de passe. C'est l'inverse du raisonnement appliqué aux jetons, où SHA-256 est le bon choix.</w:t>
      </w:r>
    </w:p>
    <w:p>
      <w:pPr>
        <w:pStyle w:val="BodyText"/>
      </w:pPr>
      <w:r>
        <w:rPr>
          <w:rStyle w:val="VerbatimChar"/>
          <w:bCs/>
        </w:rPr>
        <w:t xml:space="preserve">checkpw</w:t>
      </w:r>
      <w:r>
        <w:rPr>
          <w:bCs/>
          <w:b/>
        </w:rPr>
        <w:t xml:space="preserve"> </w:t>
      </w:r>
      <w:r>
        <w:rPr>
          <w:bCs/>
        </w:rPr>
        <w:t xml:space="preserve">plutôt qu'une comparaison</w:t>
      </w:r>
      <w:r>
        <w:rPr>
          <w:bCs/>
          <w:b/>
        </w:rPr>
        <w:t xml:space="preserve"> </w:t>
      </w:r>
      <w:r>
        <w:rPr>
          <w:rStyle w:val="VerbatimChar"/>
          <w:bCs/>
        </w:rPr>
        <w:t xml:space="preserve">==</w:t>
      </w:r>
      <w:r>
        <w:rPr>
          <w:bCs/>
        </w:rPr>
        <w:t xml:space="preserve">.</w:t>
      </w:r>
      <w:r>
        <w:t xml:space="preserve"> </w:t>
      </w:r>
      <w:r>
        <w:t xml:space="preserve">La bibliothèque effectue une comparaison à temps constant ; une comparaison naïve fuirait de l'information par le temps de réponse.</w:t>
      </w:r>
    </w:p>
    <w:p>
      <w:pPr>
        <w:pStyle w:val="BodyText"/>
      </w:pPr>
      <w:r>
        <w:rPr>
          <w:bCs/>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BodyText"/>
      </w:pPr>
      <w:r>
        <w:rPr>
          <w:b/>
        </w:rPr>
        <w:t>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FirstParagraph"/>
      </w:pPr>
      <w:r>
        <w:rPr>
          <w:bCs/>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rPr>
        <w:t xml:space="preserve">La bonne fonction de hachage dépend de la nature du secret, pas d'une préférence générale.</w:t>
      </w:r>
    </w:p>
    <w:p>
      <w:pPr>
        <w:pStyle w:val="BodyText"/>
      </w:pPr>
      <w:r>
        <w:rPr>
          <w:bCs/>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rPr>
        <w:t xml:space="preserve">Pourquoi la réutilisation révoque</w:t>
      </w:r>
      <w:r>
        <w:rPr>
          <w:bCs/>
          <w:b/>
        </w:rPr>
        <w:t xml:space="preserve"> </w:t>
      </w:r>
      <w:r>
        <w:rPr>
          <w:iCs/>
          <w:i/>
          <w:bCs/>
        </w:rPr>
        <w:t xml:space="preserve">tout</w:t>
      </w:r>
      <w:r>
        <w:rPr>
          <w:bCs/>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rPr>
        <w:t xml:space="preserve">Une limite connue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sans purge automatique. Elle croît donc d'une ligne par rafraîchissement, soit potentiellement plusieurs centaines par utilisateur et par semaine. Une tâche de purge des lignes révoquées et expirées reste à écrire ; elle figure dans les compléments identifiés en § 8.</w:t>
      </w:r>
    </w:p>
    <w:bookmarkEnd w:id="95"/>
    <w:bookmarkStart w:id="96" w:name="Xf51a3d54257a64be7b49ee3b176b6ccd9b4c4ad"/>
    <w:p>
      <w:pPr>
        <w:pStyle w:val="BodyText"/>
      </w:pPr>
      <w:r>
        <w:rPr>
          <w:b/>
        </w:rPr>
        <w:t>ia_service : prompts et appel au modèle</w:t>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rPr>
        <w:t xml:space="preserve">La consigne libre de l'utilisateur est ajoutée en fin de prompt</w:t>
      </w:r>
      <w:r>
        <w:t>,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 et la longueur de la consigne est bornée à 500 caractères (§ 5.7).</w:t>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BodyText"/>
      </w:pPr>
      <w:r>
        <w:rPr>
          <w:b/>
        </w:rPr>
        <w:t>Une précision sur la règle de découpage en couches</w:t>
      </w:r>
    </w:p>
    <w:p>
      <w:pPr>
        <w:pStyle w:val="FirstParagraph"/>
      </w:pPr>
      <w:r>
        <w:t>La règle annoncée en § 5.2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du § 9. La correction propre consisterait à passer ces valeurs en paramètres ou par un objet de configuration injecté ; elle est notée en § 8 mais n'a pas été appliquée, pour ne pas toucher à la chaîne d'authentification en fin de projet.</w:t>
      </w:r>
      <w:r>
        <w:t xml:space="preserve"> </w:t>
      </w:r>
      <w:r>
        <w:rPr>
          <w:bCs/>
        </w:rPr>
        <w:t xml:space="preserve">Je préfère documenter l'écart que le présenter comme inexistant.</w:t>
      </w:r>
    </w:p>
    <w:p w14:paraId="267374E1" w14:textId="00D9B966" w:rsidR="003A2DEC" w:rsidRPr="00B1648B" w:rsidRDefault="00690DDD" w:rsidP="003A2DEC">
      <w:pPr>
        <w:pStyle w:val="Titre1"/>
        <w:numPr>
          <w:ilvl w:val="1"/>
          <w:numId w:val="5"/>
        </w:numPr>
        <w:rPr>
          <w:sz w:val="36"/>
          <w:szCs w:val="36"/>
        </w:rPr>
      </w:pPr>
      <w:bookmarkStart w:id="14" w:name="_Toc198828319"/>
      <w:r w:rsidRPr="00B1648B">
        <w:rPr>
          <w:sz w:val="36"/>
          <w:szCs w:val="36"/>
        </w:rPr>
        <w:t>Des</w:t>
      </w:r>
      <w:r w:rsidR="003A2DEC" w:rsidRPr="00B1648B">
        <w:rPr>
          <w:sz w:val="36"/>
          <w:szCs w:val="36"/>
        </w:rPr>
        <w:t xml:space="preserve"> extraits de code de composants d’accès aux données</w:t>
      </w:r>
      <w:bookmarkEnd w:id="14"/>
      <w:r w:rsidR="003A2DEC" w:rsidRPr="00B1648B">
        <w:rPr>
          <w:sz w:val="36"/>
          <w:szCs w:val="36"/>
        </w:rPr>
        <w:t xml:space="preserve"> </w:t>
      </w:r>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BodyText"/>
      </w:pPr>
      <w:r>
        <w:rPr>
          <w:b/>
        </w:rPr>
        <w:t>Déclaration d'un modèle avec SQLAlchemy 2</w:t>
      </w:r>
    </w:p>
    <w:p>
      <w:pPr>
        <w:pStyle w:val="FirstParagraph"/>
      </w:pPr>
      <w:r>
        <w:t xml:space="preserve">Quatre choix d'écriture.</w:t>
      </w:r>
    </w:p>
    <w:p>
      <w:pPr>
        <w:pStyle w:val="BodyText"/>
      </w:pPr>
      <w:r>
        <w:rPr>
          <w:bCs/>
        </w:rPr>
        <w:t xml:space="preserve">L'API 2.0 (</w:t>
      </w:r>
      <w:r>
        <w:rPr>
          <w:rStyle w:val="VerbatimChar"/>
          <w:bCs/>
        </w:rPr>
        <w:t xml:space="preserve">Mapped</w:t>
      </w:r>
      <w:r>
        <w:rPr>
          <w:bCs/>
        </w:rPr>
        <w:t xml:space="preserve">,</w:t>
      </w:r>
      <w:r>
        <w:rPr>
          <w:bCs/>
          <w:b/>
        </w:rPr>
        <w:t xml:space="preserve"> </w:t>
      </w:r>
      <w:r>
        <w:rPr>
          <w:rStyle w:val="VerbatimChar"/>
          <w:bCs/>
        </w:rPr>
        <w:t xml:space="preserve">mapped_column</w:t>
      </w:r>
      <w:r>
        <w:rPr>
          <w:bCs/>
        </w:rPr>
        <w:t xml:space="preserve">) plutôt que l'ancienne (</w:t>
      </w:r>
      <w:r>
        <w:rPr>
          <w:rStyle w:val="VerbatimChar"/>
          <w:bCs/>
        </w:rPr>
        <w:t xml:space="preserve">Column</w:t>
      </w:r>
      <w:r>
        <w:rPr>
          <w:bCs/>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rPr>
        <w:t xml:space="preserve">default=gen_uuid</w:t>
      </w:r>
      <w:r>
        <w:rPr>
          <w:bCs/>
          <w:b/>
        </w:rPr>
        <w:t xml:space="preserve"> </w:t>
      </w:r>
      <w:r>
        <w:rPr>
          <w:bCs/>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rPr>
        <w:t xml:space="preserve">onupdate=utc_now_naive</w:t>
      </w:r>
      <w:r>
        <w:rPr>
          <w:bCs/>
          <w:b/>
        </w:rPr>
        <w:t xml:space="preserve"> </w:t>
      </w:r>
      <w:r>
        <w:rPr>
          <w:bCs/>
        </w:rPr>
        <w:t xml:space="preserve">sur</w:t>
      </w:r>
      <w:r>
        <w:rPr>
          <w:bCs/>
          <w:b/>
        </w:rPr>
        <w:t xml:space="preserve"> </w:t>
      </w:r>
      <w:r>
        <w:rPr>
          <w:rStyle w:val="VerbatimChar"/>
          <w:bCs/>
        </w:rPr>
        <w:t xml:space="preserve">updated_at</w:t>
      </w:r>
      <w:r>
        <w:rPr>
          <w:bCs/>
        </w:rPr>
        <w:t xml:space="preserve">.</w:t>
      </w:r>
      <w:r>
        <w:t xml:space="preserve"> </w:t>
      </w:r>
      <w:r>
        <w:t>La colonne est alimentée par l'ORM à chaque modification, sans que la route ait à y penser. C'est ce qui rend le tri de la liste des documents fiable, alors que l'enregistrement automatique produit des écritures très fréquentes (§ 7.1).</w:t>
      </w:r>
    </w:p>
    <w:p>
      <w:pPr>
        <w:pStyle w:val="BodyText"/>
      </w:pPr>
      <w:r>
        <w:rPr>
          <w:rStyle w:val="VerbatimChar"/>
          <w:bCs/>
        </w:rPr>
        <w:t xml:space="preserve">cascade="all, delete-orphan"</w:t>
      </w:r>
      <w:r>
        <w:rPr>
          <w:bCs/>
          <w:b/>
        </w:rPr>
        <w:t xml:space="preserve"> </w:t>
      </w:r>
      <w:r>
        <w:rPr>
          <w:bCs/>
        </w:rPr>
        <w:t xml:space="preserve">doublé de</w:t>
      </w:r>
      <w:r>
        <w:rPr>
          <w:bCs/>
          <w:b/>
        </w:rPr>
        <w:t xml:space="preserve"> </w:t>
      </w:r>
      <w:r>
        <w:rPr>
          <w:rStyle w:val="VerbatimChar"/>
          <w:bCs/>
        </w:rPr>
        <w:t xml:space="preserve">ondelete="CASCADE"</w:t>
      </w:r>
      <w:r>
        <w:rPr>
          <w:bCs/>
        </w:rPr>
        <w:t xml:space="preserve">.</w:t>
      </w:r>
      <w:r>
        <w:t xml:space="preserve"> </w:t>
      </w:r>
      <w:r>
        <w:t>La première déclaration agit quand l'application supprime un objet, la seconde quand le SGBD supprime une ligne. Les deux sont nécessaires : le raisonnement RGPD complet figure en § 5.4.</w:t>
      </w:r>
    </w:p>
    <w:bookmarkEnd w:id="99"/>
    <w:bookmarkStart w:id="100" w:name="X68ad40c1678b23499c92c06cfb21a9d8e0eeea0"/>
    <w:p>
      <w:pPr>
        <w:pStyle w:val="BodyText"/>
      </w:pPr>
      <w:r>
        <w:rPr>
          <w:b/>
        </w:rPr>
        <w:t>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est traitée comme un libellé, pas comme du SQL (cas TS-02, § 9).</w:t>
      </w:r>
    </w:p>
    <w:p>
      <w:pPr>
        <w:pStyle w:val="BodyText"/>
      </w:pPr>
      <w:r>
        <w:t xml:space="preserve">Le filtrage par propriétaire suit un motif constant, appliqué à chaque route de document et de dossier :</w:t>
      </w:r>
    </w:p>
    <w:p>
      <w:pPr>
        <w:pStyle w:val="Figure"/>
        <w:spacing w:before="80" w:after="40"/>
        <w:jc w:val="left"/>
      </w:pPr>
      <w:r>
        <w:drawing>
          <wp:inline xmlns:a="http://schemas.openxmlformats.org/drawingml/2006/main" xmlns:pic="http://schemas.openxmlformats.org/drawingml/2006/picture">
            <wp:extent cx="3272578" cy="1189664"/>
            <wp:docPr id="44" name="Picture 44"/>
            <wp:cNvGraphicFramePr>
              <a:graphicFrameLocks noChangeAspect="1"/>
            </wp:cNvGraphicFramePr>
            <a:graphic>
              <a:graphicData uri="http://schemas.openxmlformats.org/drawingml/2006/picture">
                <pic:pic>
                  <pic:nvPicPr>
                    <pic:cNvPr id="0" name="4c6b1b805460-0.png"/>
                    <pic:cNvPicPr/>
                  </pic:nvPicPr>
                  <pic:blipFill>
                    <a:blip r:embed="rId60"/>
                    <a:stretch>
                      <a:fillRect/>
                    </a:stretch>
                  </pic:blipFill>
                  <pic:spPr>
                    <a:xfrm>
                      <a:off x="0" y="0"/>
                      <a:ext cx="3272578" cy="1189664"/>
                    </a:xfrm>
                    <a:prstGeom prst="rect"/>
                  </pic:spPr>
                </pic:pic>
              </a:graphicData>
            </a:graphic>
          </wp:inline>
        </w:drawing>
      </w:r>
    </w:p>
    <w:p>
      <w:pPr>
        <w:pStyle w:val="FirstParagraph"/>
      </w:pPr>
      <w:r>
        <w:t xml:space="preserve">Le point important est que la propriété est une</w:t>
      </w:r>
      <w:r>
        <w:t xml:space="preserve"> </w:t>
      </w:r>
      <w:r>
        <w:rPr>
          <w:bCs/>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est expliqué en § 5.7.</w:t>
      </w:r>
    </w:p>
    <w:p>
      <w:pPr>
        <w:pStyle w:val="BodyText"/>
      </w:pPr>
      <w:r>
        <w:t xml:space="preserve">Le même motif s'applique au rattachement à un dossier, via un unique prédicat réutilisé aux trois endroits qui en ont besoin (création, mise à jour, filtrage de liste) :</w:t>
      </w:r>
    </w:p>
    <w:p>
      <w:pPr>
        <w:pStyle w:val="Figure"/>
        <w:spacing w:before="80" w:after="40"/>
        <w:jc w:val="left"/>
      </w:pPr>
      <w:r>
        <w:drawing>
          <wp:inline xmlns:a="http://schemas.openxmlformats.org/drawingml/2006/main" xmlns:pic="http://schemas.openxmlformats.org/drawingml/2006/picture">
            <wp:extent cx="3948005" cy="688699"/>
            <wp:docPr id="45" name="Picture 45"/>
            <wp:cNvGraphicFramePr>
              <a:graphicFrameLocks noChangeAspect="1"/>
            </wp:cNvGraphicFramePr>
            <a:graphic>
              <a:graphicData uri="http://schemas.openxmlformats.org/drawingml/2006/picture">
                <pic:pic>
                  <pic:nvPicPr>
                    <pic:cNvPr id="0" name="bf7b19680705-0.png"/>
                    <pic:cNvPicPr/>
                  </pic:nvPicPr>
                  <pic:blipFill>
                    <a:blip r:embed="rId61"/>
                    <a:stretch>
                      <a:fillRect/>
                    </a:stretch>
                  </pic:blipFill>
                  <pic:spPr>
                    <a:xfrm>
                      <a:off x="0" y="0"/>
                      <a:ext cx="3948005" cy="688699"/>
                    </a:xfrm>
                    <a:prstGeom prst="rect"/>
                  </pic:spPr>
                </pic:pic>
              </a:graphicData>
            </a:graphic>
          </wp:inline>
        </w:drawing>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BodyText"/>
      </w:pPr>
      <w:r>
        <w:rPr>
          <w:b/>
        </w:rPr>
        <w:t>Pagination côté serveur</w:t>
      </w:r>
    </w:p>
    <w:p>
      <w:pPr>
        <w:pStyle w:val="Figure"/>
        <w:spacing w:before="80" w:after="40"/>
        <w:jc w:val="left"/>
      </w:pPr>
      <w:r>
        <w:drawing>
          <wp:inline xmlns:a="http://schemas.openxmlformats.org/drawingml/2006/main" xmlns:pic="http://schemas.openxmlformats.org/drawingml/2006/picture">
            <wp:extent cx="4816519" cy="1489397"/>
            <wp:docPr id="46" name="Picture 46"/>
            <wp:cNvGraphicFramePr>
              <a:graphicFrameLocks noChangeAspect="1"/>
            </wp:cNvGraphicFramePr>
            <a:graphic>
              <a:graphicData uri="http://schemas.openxmlformats.org/drawingml/2006/picture">
                <pic:pic>
                  <pic:nvPicPr>
                    <pic:cNvPr id="0" name="cd8e26206787-0.png"/>
                    <pic:cNvPicPr/>
                  </pic:nvPicPr>
                  <pic:blipFill>
                    <a:blip r:embed="rId62"/>
                    <a:stretch>
                      <a:fillRect/>
                    </a:stretch>
                  </pic:blipFill>
                  <pic:spPr>
                    <a:xfrm>
                      <a:off x="0" y="0"/>
                      <a:ext cx="4816519" cy="1489397"/>
                    </a:xfrm>
                    <a:prstGeom prst="rect"/>
                  </pic:spPr>
                </pic:pic>
              </a:graphicData>
            </a:graphic>
          </wp:inline>
        </w:drawing>
      </w:r>
    </w:p>
    <w:p>
      <w:pPr>
        <w:pStyle w:val="FirstParagraph"/>
      </w:pPr>
      <w:r>
        <w:rPr>
          <w:rStyle w:val="VerbatimChar"/>
          <w:bCs/>
        </w:rPr>
        <w:t xml:space="preserve">per_page</w:t>
      </w:r>
      <w:r>
        <w:rPr>
          <w:bCs/>
          <w:b/>
        </w:rPr>
        <w:t xml:space="preserve"> </w:t>
      </w:r>
      <w:r>
        <w:rPr>
          <w:bCs/>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rPr>
        <w:t xml:space="preserve">Le tri par</w:t>
      </w:r>
      <w:r>
        <w:rPr>
          <w:bCs/>
          <w:b/>
        </w:rPr>
        <w:t xml:space="preserve"> </w:t>
      </w:r>
      <w:r>
        <w:rPr>
          <w:rStyle w:val="VerbatimChar"/>
          <w:bCs/>
        </w:rPr>
        <w:t xml:space="preserve">updated_at</w:t>
      </w:r>
      <w:r>
        <w:rPr>
          <w:bCs/>
          <w:b/>
        </w:rPr>
        <w:t xml:space="preserve"> </w:t>
      </w:r>
      <w:r>
        <w:rPr>
          <w:bCs/>
        </w:rPr>
        <w:t xml:space="preserve">desc s'appuie sur l'index composite</w:t>
      </w:r>
      <w:r>
        <w:t xml:space="preserve"> </w:t>
      </w:r>
      <w:r>
        <w:rPr>
          <w:rStyle w:val="VerbatimChar"/>
        </w:rPr>
        <w:t xml:space="preserve">document (user_id, updated_at)</w:t>
      </w:r>
      <w:r>
        <w:t xml:space="preserve"> </w:t>
      </w:r>
      <w:r>
        <w:t>(§ 5.4) : le SGBD n'a ni à trier ni à parcourir la table.</w:t>
      </w:r>
    </w:p>
    <w:bookmarkEnd w:id="101"/>
    <w:bookmarkStart w:id="102" w:name="X6eed81c27562e52ec73c9c4793fef7206e48414"/>
    <w:p>
      <w:pPr>
        <w:pStyle w:val="BodyText"/>
      </w:pPr>
      <w:r>
        <w:rPr>
          <w:b/>
        </w:rPr>
        <w:t>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rPr>
        <w:t xml:space="preserve">sous-requêtes corrélées</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2355856" cy="2091423"/>
            <wp:docPr id="47" name="Picture 47"/>
            <wp:cNvGraphicFramePr>
              <a:graphicFrameLocks noChangeAspect="1"/>
            </wp:cNvGraphicFramePr>
            <a:graphic>
              <a:graphicData uri="http://schemas.openxmlformats.org/drawingml/2006/picture">
                <pic:pic>
                  <pic:nvPicPr>
                    <pic:cNvPr id="0" name="1e823ddaa776-0.png"/>
                    <pic:cNvPicPr/>
                  </pic:nvPicPr>
                  <pic:blipFill>
                    <a:blip r:embed="rId63"/>
                    <a:stretch>
                      <a:fillRect/>
                    </a:stretch>
                  </pic:blipFill>
                  <pic:spPr>
                    <a:xfrm>
                      <a:off x="0" y="0"/>
                      <a:ext cx="2355856" cy="2091423"/>
                    </a:xfrm>
                    <a:prstGeom prst="rect"/>
                  </pic:spPr>
                </pic:pic>
              </a:graphicData>
            </a:graphic>
          </wp:inline>
        </w:drawing>
      </w:r>
    </w:p>
    <w:p>
      <w:pPr>
        <w:pStyle w:val="FirstParagraph"/>
      </w:pPr>
      <w:r>
        <w:t xml:space="preserve">La raison est un piège classique du SQL :</w:t>
      </w:r>
      <w:r>
        <w:t xml:space="preserve"> </w:t>
      </w:r>
      <w:r>
        <w:rPr>
          <w:bCs/>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Les statistiques globales, elles, sont de simples comptages sur fenêtre glissante, cohérents avec le mécanisme de quota (§ 5.7) :</w:t>
      </w:r>
    </w:p>
    <w:p>
      <w:pPr>
        <w:pStyle w:val="Figure"/>
        <w:spacing w:before="80" w:after="40"/>
        <w:jc w:val="left"/>
      </w:pPr>
      <w:r>
        <w:drawing>
          <wp:inline xmlns:a="http://schemas.openxmlformats.org/drawingml/2006/main" xmlns:pic="http://schemas.openxmlformats.org/drawingml/2006/picture">
            <wp:extent cx="4430534" cy="488721"/>
            <wp:docPr id="48" name="Picture 48"/>
            <wp:cNvGraphicFramePr>
              <a:graphicFrameLocks noChangeAspect="1"/>
            </wp:cNvGraphicFramePr>
            <a:graphic>
              <a:graphicData uri="http://schemas.openxmlformats.org/drawingml/2006/picture">
                <pic:pic>
                  <pic:nvPicPr>
                    <pic:cNvPr id="0" name="96e39ca14010-0.png"/>
                    <pic:cNvPicPr/>
                  </pic:nvPicPr>
                  <pic:blipFill>
                    <a:blip r:embed="rId64"/>
                    <a:stretch>
                      <a:fillRect/>
                    </a:stretch>
                  </pic:blipFill>
                  <pic:spPr>
                    <a:xfrm>
                      <a:off x="0" y="0"/>
                      <a:ext cx="4430534" cy="488721"/>
                    </a:xfrm>
                    <a:prstGeom prst="rect"/>
                  </pic:spPr>
                </pic:pic>
              </a:graphicData>
            </a:graphic>
          </wp:inline>
        </w:drawing>
      </w:r>
    </w:p>
    <w:bookmarkEnd w:id="102"/>
    <w:bookmarkStart w:id="104" w:name="X2e8e0f4133678b5856a0ce2259ac1faad95b312"/>
    <w:p>
      <w:pPr>
        <w:pStyle w:val="BodyText"/>
      </w:pPr>
      <w:r>
        <w:rPr>
          <w:b/>
        </w:rPr>
        <w:t>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Figure"/>
        <w:spacing w:before="80" w:after="40"/>
        <w:jc w:val="left"/>
      </w:pPr>
      <w:r>
        <w:drawing>
          <wp:inline xmlns:a="http://schemas.openxmlformats.org/drawingml/2006/main" xmlns:pic="http://schemas.openxmlformats.org/drawingml/2006/picture">
            <wp:extent cx="3320787" cy="889282"/>
            <wp:docPr id="49" name="Picture 49"/>
            <wp:cNvGraphicFramePr>
              <a:graphicFrameLocks noChangeAspect="1"/>
            </wp:cNvGraphicFramePr>
            <a:graphic>
              <a:graphicData uri="http://schemas.openxmlformats.org/drawingml/2006/picture">
                <pic:pic>
                  <pic:nvPicPr>
                    <pic:cNvPr id="0" name="a72f2963d0dd-0.png"/>
                    <pic:cNvPicPr/>
                  </pic:nvPicPr>
                  <pic:blipFill>
                    <a:blip r:embed="rId65"/>
                    <a:stretch>
                      <a:fillRect/>
                    </a:stretch>
                  </pic:blipFill>
                  <pic:spPr>
                    <a:xfrm>
                      <a:off x="0" y="0"/>
                      <a:ext cx="3320787" cy="889282"/>
                    </a:xfrm>
                    <a:prstGeom prst="rect"/>
                  </pic:spPr>
                </pic:pic>
              </a:graphicData>
            </a:graphic>
          </wp:inline>
        </w:drawing>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du § 5.6 interdit.</w:t>
      </w:r>
    </w:p>
    <w:p w14:paraId="3657A88A" w14:textId="5E1C6D94" w:rsidR="003A2DEC" w:rsidRPr="00B1648B" w:rsidRDefault="00690DDD" w:rsidP="003A2DEC">
      <w:pPr>
        <w:pStyle w:val="Titre1"/>
        <w:numPr>
          <w:ilvl w:val="1"/>
          <w:numId w:val="5"/>
        </w:numPr>
        <w:rPr>
          <w:sz w:val="36"/>
          <w:szCs w:val="36"/>
        </w:rPr>
      </w:pPr>
      <w:bookmarkStart w:id="15" w:name="_Toc198828320"/>
      <w:r w:rsidRPr="00B1648B">
        <w:rPr>
          <w:sz w:val="36"/>
          <w:szCs w:val="36"/>
        </w:rPr>
        <w:t>Des</w:t>
      </w:r>
      <w:r w:rsidR="003A2DEC" w:rsidRPr="00B1648B">
        <w:rPr>
          <w:sz w:val="36"/>
          <w:szCs w:val="36"/>
        </w:rPr>
        <w:t xml:space="preserve"> extraits de code d’autres composants</w:t>
      </w:r>
      <w:bookmarkEnd w:id="15"/>
      <w:r w:rsidR="003A2DEC" w:rsidRPr="00B1648B">
        <w:rPr>
          <w:sz w:val="36"/>
          <w:szCs w:val="36"/>
        </w:rPr>
        <w:t xml:space="preserve"> </w:t>
      </w:r>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BodyText"/>
      </w:pPr>
      <w:r>
        <w:rPr>
          <w:b/>
        </w:rPr>
        <w:t>Le décorateur d'authentification</w:t>
      </w:r>
    </w:p>
    <w:p>
      <w:pPr>
        <w:pStyle w:val="Figure"/>
        <w:spacing w:before="80" w:after="40"/>
        <w:jc w:val="left"/>
      </w:pPr>
      <w:r>
        <w:drawing>
          <wp:inline xmlns:a="http://schemas.openxmlformats.org/drawingml/2006/main" xmlns:pic="http://schemas.openxmlformats.org/drawingml/2006/picture">
            <wp:extent cx="3465540" cy="1490383"/>
            <wp:docPr id="50" name="Picture 50"/>
            <wp:cNvGraphicFramePr>
              <a:graphicFrameLocks noChangeAspect="1"/>
            </wp:cNvGraphicFramePr>
            <a:graphic>
              <a:graphicData uri="http://schemas.openxmlformats.org/drawingml/2006/picture">
                <pic:pic>
                  <pic:nvPicPr>
                    <pic:cNvPr id="0" name="bc7bb9330e5a-0.png"/>
                    <pic:cNvPicPr/>
                  </pic:nvPicPr>
                  <pic:blipFill>
                    <a:blip r:embed="rId66"/>
                    <a:stretch>
                      <a:fillRect/>
                    </a:stretch>
                  </pic:blipFill>
                  <pic:spPr>
                    <a:xfrm>
                      <a:off x="0" y="0"/>
                      <a:ext cx="3465540" cy="1490383"/>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3465540" cy="1490383"/>
            <wp:docPr id="51" name="Picture 51"/>
            <wp:cNvGraphicFramePr>
              <a:graphicFrameLocks noChangeAspect="1"/>
            </wp:cNvGraphicFramePr>
            <a:graphic>
              <a:graphicData uri="http://schemas.openxmlformats.org/drawingml/2006/picture">
                <pic:pic>
                  <pic:nvPicPr>
                    <pic:cNvPr id="0" name="bc7bb9330e5a-0.png"/>
                    <pic:cNvPicPr/>
                  </pic:nvPicPr>
                  <pic:blipFill>
                    <a:blip r:embed="rId66"/>
                    <a:stretch>
                      <a:fillRect/>
                    </a:stretch>
                  </pic:blipFill>
                  <pic:spPr>
                    <a:xfrm>
                      <a:off x="0" y="0"/>
                      <a:ext cx="3465540" cy="1490383"/>
                    </a:xfrm>
                    <a:prstGeom prst="rect"/>
                  </pic:spPr>
                </pic:pic>
              </a:graphicData>
            </a:graphic>
          </wp:inline>
        </w:drawing>
      </w:r>
    </w:p>
    <w:p>
      <w:pPr>
        <w:pStyle w:val="FirstParagraph"/>
      </w:pPr>
      <w:r>
        <w:rPr>
          <w:rStyle w:val="VerbatimChar"/>
          <w:bCs/>
        </w:rPr>
        <w:t xml:space="preserve">@wraps(f)</w:t>
      </w:r>
      <w:r>
        <w:rPr>
          <w:bCs/>
          <w:b/>
        </w:rPr>
        <w:t xml:space="preserve"> </w:t>
      </w:r>
      <w:r>
        <w:rPr>
          <w:bCs/>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rPr>
        <w:t xml:space="preserve">request.user_id</w:t>
      </w:r>
      <w:r>
        <w:rPr>
          <w:bCs/>
          <w:b/>
        </w:rPr>
        <w:t xml:space="preserve"> </w:t>
      </w:r>
      <w:r>
        <w:rPr>
          <w:bCs/>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BodyText"/>
      </w:pPr>
      <w:r>
        <w:rPr>
          <w:b/>
        </w:rPr>
        <w:t>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Figure"/>
        <w:spacing w:before="80" w:after="40"/>
        <w:jc w:val="left"/>
      </w:pPr>
      <w:r>
        <w:drawing>
          <wp:inline xmlns:a="http://schemas.openxmlformats.org/drawingml/2006/main" xmlns:pic="http://schemas.openxmlformats.org/drawingml/2006/picture">
            <wp:extent cx="2066351" cy="688784"/>
            <wp:docPr id="52" name="Picture 52"/>
            <wp:cNvGraphicFramePr>
              <a:graphicFrameLocks noChangeAspect="1"/>
            </wp:cNvGraphicFramePr>
            <a:graphic>
              <a:graphicData uri="http://schemas.openxmlformats.org/drawingml/2006/picture">
                <pic:pic>
                  <pic:nvPicPr>
                    <pic:cNvPr id="0" name="a8c81afa520b-0.png"/>
                    <pic:cNvPicPr/>
                  </pic:nvPicPr>
                  <pic:blipFill>
                    <a:blip r:embed="rId67"/>
                    <a:stretch>
                      <a:fillRect/>
                    </a:stretch>
                  </pic:blipFill>
                  <pic:spPr>
                    <a:xfrm>
                      <a:off x="0" y="0"/>
                      <a:ext cx="2066351" cy="688784"/>
                    </a:xfrm>
                    <a:prstGeom prst="rect"/>
                  </pic:spPr>
                </pic:pic>
              </a:graphicData>
            </a:graphic>
          </wp:inline>
        </w:drawing>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Le back-office ajoute une seconde couche, et c'est ici que se matérialise la décision du § 5.2 :</w:t>
      </w:r>
    </w:p>
    <w:p>
      <w:pPr>
        <w:pStyle w:val="Figure"/>
        <w:spacing w:before="80" w:after="40"/>
        <w:jc w:val="left"/>
      </w:pPr>
      <w:r>
        <w:drawing>
          <wp:inline xmlns:a="http://schemas.openxmlformats.org/drawingml/2006/main" xmlns:pic="http://schemas.openxmlformats.org/drawingml/2006/picture">
            <wp:extent cx="3899796" cy="1489450"/>
            <wp:docPr id="53" name="Picture 53"/>
            <wp:cNvGraphicFramePr>
              <a:graphicFrameLocks noChangeAspect="1"/>
            </wp:cNvGraphicFramePr>
            <a:graphic>
              <a:graphicData uri="http://schemas.openxmlformats.org/drawingml/2006/picture">
                <pic:pic>
                  <pic:nvPicPr>
                    <pic:cNvPr id="0" name="ee3a00f3bfe2-0.png"/>
                    <pic:cNvPicPr/>
                  </pic:nvPicPr>
                  <pic:blipFill>
                    <a:blip r:embed="rId68"/>
                    <a:stretch>
                      <a:fillRect/>
                    </a:stretch>
                  </pic:blipFill>
                  <pic:spPr>
                    <a:xfrm>
                      <a:off x="0" y="0"/>
                      <a:ext cx="3899796" cy="1489450"/>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3899796" cy="1489450"/>
            <wp:docPr id="54" name="Picture 54"/>
            <wp:cNvGraphicFramePr>
              <a:graphicFrameLocks noChangeAspect="1"/>
            </wp:cNvGraphicFramePr>
            <a:graphic>
              <a:graphicData uri="http://schemas.openxmlformats.org/drawingml/2006/picture">
                <pic:pic>
                  <pic:nvPicPr>
                    <pic:cNvPr id="0" name="ee3a00f3bfe2-0.png"/>
                    <pic:cNvPicPr/>
                  </pic:nvPicPr>
                  <pic:blipFill>
                    <a:blip r:embed="rId68"/>
                    <a:stretch>
                      <a:fillRect/>
                    </a:stretch>
                  </pic:blipFill>
                  <pic:spPr>
                    <a:xfrm>
                      <a:off x="0" y="0"/>
                      <a:ext cx="3899796" cy="1489450"/>
                    </a:xfrm>
                    <a:prstGeom prst="rect"/>
                  </pic:spPr>
                </pic:pic>
              </a:graphicData>
            </a:graphic>
          </wp:inline>
        </w:drawing>
      </w:r>
    </w:p>
    <w:p>
      <w:pPr>
        <w:pStyle w:val="FirstParagraph"/>
      </w:pPr>
      <w:r>
        <w:rPr>
          <w:bCs/>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rPr>
        <w:t xml:space="preserve">Le</w:t>
      </w:r>
      <w:r>
        <w:rPr>
          <w:bCs/>
          <w:b/>
        </w:rPr>
        <w:t xml:space="preserve"> </w:t>
      </w:r>
      <w:r>
        <w:rPr>
          <w:rStyle w:val="VerbatimChar"/>
          <w:bCs/>
        </w:rPr>
        <w:t xml:space="preserve">403</w:t>
      </w:r>
      <w:r>
        <w:rPr>
          <w:bCs/>
          <w:b/>
        </w:rPr>
        <w:t xml:space="preserve"> </w:t>
      </w:r>
      <w:r>
        <w:rPr>
          <w:bCs/>
        </w:rPr>
        <w:t xml:space="preserve">est ici volontaire, alors que les documents renvoient</w:t>
      </w:r>
      <w:r>
        <w:rPr>
          <w:bCs/>
          <w:b/>
        </w:rPr>
        <w:t xml:space="preserve"> </w:t>
      </w:r>
      <w:r>
        <w:rPr>
          <w:rStyle w:val="VerbatimChar"/>
          <w:bCs/>
        </w:rPr>
        <w:t xml:space="preserve">404</w:t>
      </w:r>
      <w:r>
        <w:rPr>
          <w:bCs/>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Figure"/>
        <w:spacing w:before="80" w:after="40"/>
        <w:jc w:val="left"/>
      </w:pPr>
      <w:r>
        <w:drawing>
          <wp:inline xmlns:a="http://schemas.openxmlformats.org/drawingml/2006/main" xmlns:pic="http://schemas.openxmlformats.org/drawingml/2006/picture">
            <wp:extent cx="4816519" cy="588552"/>
            <wp:docPr id="55" name="Picture 55"/>
            <wp:cNvGraphicFramePr>
              <a:graphicFrameLocks noChangeAspect="1"/>
            </wp:cNvGraphicFramePr>
            <a:graphic>
              <a:graphicData uri="http://schemas.openxmlformats.org/drawingml/2006/picture">
                <pic:pic>
                  <pic:nvPicPr>
                    <pic:cNvPr id="0" name="63ad562392ca-0.png"/>
                    <pic:cNvPicPr/>
                  </pic:nvPicPr>
                  <pic:blipFill>
                    <a:blip r:embed="rId69"/>
                    <a:stretch>
                      <a:fillRect/>
                    </a:stretch>
                  </pic:blipFill>
                  <pic:spPr>
                    <a:xfrm>
                      <a:off x="0" y="0"/>
                      <a:ext cx="4816519" cy="588552"/>
                    </a:xfrm>
                    <a:prstGeom prst="rect"/>
                  </pic:spPr>
                </pic:pic>
              </a:graphicData>
            </a:graphic>
          </wp:inline>
        </w:drawing>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BodyText"/>
      </w:pPr>
      <w:r>
        <w:rPr>
          <w:b/>
        </w:rPr>
        <w:t>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2645360" cy="1088560"/>
            <wp:docPr id="56" name="Picture 56"/>
            <wp:cNvGraphicFramePr>
              <a:graphicFrameLocks noChangeAspect="1"/>
            </wp:cNvGraphicFramePr>
            <a:graphic>
              <a:graphicData uri="http://schemas.openxmlformats.org/drawingml/2006/picture">
                <pic:pic>
                  <pic:nvPicPr>
                    <pic:cNvPr id="0" name="105aa06d1dd2-0.png"/>
                    <pic:cNvPicPr/>
                  </pic:nvPicPr>
                  <pic:blipFill>
                    <a:blip r:embed="rId70"/>
                    <a:stretch>
                      <a:fillRect/>
                    </a:stretch>
                  </pic:blipFill>
                  <pic:spPr>
                    <a:xfrm>
                      <a:off x="0" y="0"/>
                      <a:ext cx="2645360" cy="1088560"/>
                    </a:xfrm>
                    <a:prstGeom prst="rect"/>
                  </pic:spPr>
                </pic:pic>
              </a:graphicData>
            </a:graphic>
          </wp:inline>
        </w:drawing>
      </w:r>
    </w:p>
    <w:p>
      <w:pPr>
        <w:pStyle w:val="FirstParagraph"/>
      </w:pPr>
      <w:r>
        <w:t xml:space="preserve">Chacun des cinq attributs répond à une menace distincte.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il reste inaccessible même si l'assainissement de l'aperçu échouait (§ 7.1)</w:t>
            </w:r>
          </w:p>
        </w:tc>
      </w:tr>
      <w:tr>
        <w:tc>
          <w:tcPr/>
          <w:p>
            <w:pPr>
              <w:pStyle w:val="Compact"/>
              <w:jc w:val="left"/>
            </w:pPr>
            <w:r>
              <w:rPr>
                <w:rStyle w:val="VerbatimChar"/>
              </w:rPr>
              <w:t xml:space="preserve">secure</w:t>
            </w:r>
          </w:p>
        </w:tc>
        <w:tc>
          <w:tcPr/>
          <w:p>
            <w:pPr>
              <w:pStyle w:val="Compact"/>
              <w:jc w:val="left"/>
            </w:pPr>
            <w:r>
              <w:t>Le jeton ne transite jamais sur HTTP en clair hors développement (§ 6)</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rPr>
        <w:t xml:space="preserve">centralisation</w:t>
      </w:r>
      <w:r>
        <w:t xml:space="preserve"> </w:t>
      </w:r>
      <w:r>
        <w:t>est elle-même la mesure la plus utile : trois routes posent ou suppriment ce cookie, et un attribut oublié à un seul endroit suffirait à annuler la protection. Un point unique rend l'oubli impossible et rend la vérification (cas TS-08, § 9) simple à mener.</w:t>
      </w:r>
    </w:p>
    <w:bookmarkEnd w:id="107"/>
    <w:bookmarkStart w:id="108" w:name="Xe5d961f1930ad3cff53f505cbb7c8be059ea4dc"/>
    <w:p>
      <w:pPr>
        <w:pStyle w:val="BodyText"/>
      </w:pPr>
      <w:r>
        <w:rPr>
          <w:b/>
        </w:rPr>
        <w:t>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6),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6). Le code complet de la configuration figure en annexe § 12.5.</w:t>
      </w:r>
    </w:p>
    <w:bookmarkEnd w:id="108"/>
    <w:bookmarkEnd w:id="109"/>
    <w:bookmarkStart w:id="110" w:name="X8b64aa56fe23a9fa8389e2f8e03e21ba5ed39cb"/>
    <w:p w14:paraId="5BE996F0" w14:textId="7FF08B12" w:rsidR="003A2DEC" w:rsidRPr="00B1648B" w:rsidRDefault="00690DDD" w:rsidP="003A2DEC">
      <w:pPr>
        <w:pStyle w:val="Titre1"/>
        <w:numPr>
          <w:ilvl w:val="0"/>
          <w:numId w:val="5"/>
        </w:numPr>
        <w:rPr>
          <w:sz w:val="36"/>
          <w:szCs w:val="36"/>
        </w:rPr>
      </w:pPr>
      <w:r w:rsidRPr="00B1648B">
        <w:rPr>
          <w:sz w:val="36"/>
          <w:szCs w:val="36"/>
        </w:rPr>
        <w:t>La</w:t>
      </w:r>
      <w:r w:rsidR="003A2DEC" w:rsidRPr="00B1648B">
        <w:rPr>
          <w:sz w:val="36"/>
          <w:szCs w:val="36"/>
        </w:rPr>
        <w:t xml:space="preserve"> présentation d’éléments de sécurité de l’application </w:t>
      </w:r>
    </w:p>
    <w:p>
      <w:pPr>
        <w:pStyle w:val="BodyText"/>
      </w:pPr>
      <w:r>
        <w:rPr>
          <w:b/>
        </w:rPr>
        <w:t>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rPr>
        <w:t xml:space="preserve">OWASP Top 10 (2021)</w:t>
      </w:r>
      <w:r>
        <w:t>, confrontée aux exigences du cahier des charges (§ 2) et aux recommandations de l'ANSSI. Le tableau ci-dessous relie chaque catégorie à sa traduction dans le projet.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8</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8</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8</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8</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8</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11, § 9</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5.4, § 5.5</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8</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8</w:t>
            </w:r>
          </w:p>
        </w:tc>
      </w:tr>
    </w:tbl>
    <w:bookmarkEnd w:id="110"/>
    <w:bookmarkStart w:id="111" w:name="X1179a7596a90fd5247116224b66a6246aec35d8"/>
    <w:p>
      <w:pPr>
        <w:pStyle w:val="BodyText"/>
      </w:pPr>
      <w:r>
        <w:rPr>
          <w:b/>
        </w:rPr>
        <w:t>Authentification et gestion des sessions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bcrypt avec sel aléatoire par empreinte ; politique 8 caractères, majuscule, minuscule, chiffre, vérifiée côté serveur (§ 7.2)</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path=/auth, session de 7 jours côté serveur (§ 7.4)</w:t>
            </w:r>
            <w:r/>
          </w:p>
        </w:tc>
      </w:tr>
      <w:tr>
        <w:tc>
          <w:tcPr/>
          <w:p>
            <w:pPr>
              <w:pStyle w:val="Compact"/>
              <w:jc w:val="left"/>
            </w:pPr>
            <w:r>
              <w:t xml:space="preserve">Stockage du refresh token</w:t>
            </w:r>
          </w:p>
        </w:tc>
        <w:tc>
          <w:tcPr/>
          <w:p>
            <w:pPr>
              <w:pStyle w:val="Compact"/>
              <w:jc w:val="left"/>
            </w:pPr>
            <w:r>
              <w:t>Empreinte SHA-256 uniquement : une fuite de la base ne permet pas de rejouer une session (§ 7.2)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BodyText"/>
      </w:pPr>
      <w:r>
        <w:rPr>
          <w:b/>
        </w:rPr>
        <w:t>Contrôle d'accès</w:t>
      </w:r>
    </w:p>
    <w:p>
      <w:pPr>
        <w:pStyle w:val="FirstParagraph"/>
      </w:pPr>
      <w:r>
        <w:t xml:space="preserve">Deux surfaces distinctes, deux mécanismes.</w:t>
      </w:r>
    </w:p>
    <w:p>
      <w:pPr>
        <w:pStyle w:val="BodyText"/>
      </w:pPr>
      <w:r>
        <w:rPr>
          <w:bCs/>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7.3). L'identifiant présent dans l'URL n'est jamais tenu pour légitime, et un identifiant appartenant à autrui produit un</w:t>
      </w:r>
      <w:r>
        <w:t xml:space="preserve"> </w:t>
      </w:r>
      <w:r>
        <w:rPr>
          <w:rStyle w:val="VerbatimChar"/>
        </w:rPr>
        <w:t xml:space="preserve">404</w:t>
      </w:r>
      <w:r>
        <w:t xml:space="preserve"> </w:t>
      </w:r>
      <w:r>
        <w:t>indiscernable d'un identifiant inexistant (§ 5.7). Les identifiants étant des UUID v4, ils ne sont de toute façon pas énumérables.</w:t>
      </w:r>
    </w:p>
    <w:p>
      <w:pPr>
        <w:pStyle w:val="BodyText"/>
      </w:pPr>
      <w:r>
        <w:rPr>
          <w:bCs/>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7.4). Côté client, l'entrée de menu est masquée et la garde</w:t>
      </w:r>
      <w:r>
        <w:t xml:space="preserve"> </w:t>
      </w:r>
      <w:r>
        <w:rPr>
          <w:rStyle w:val="VerbatimChar"/>
        </w:rPr>
        <w:t xml:space="preserve">requiresAdmin</w:t>
      </w:r>
      <w:r>
        <w:t xml:space="preserve"> </w:t>
      </w:r>
      <w:r>
        <w:t>du routeur bloque l'accès direct à l'URL — mais ces deux mesures sont du confort d'usage. Le contrôle qui compte est celui du serveur, et c'est celui que vérifient les cas TS-03 et TS-04 (§ 9).</w:t>
      </w:r>
    </w:p>
    <w:bookmarkEnd w:id="112"/>
    <w:bookmarkStart w:id="113" w:name="X0856e72d2535064ec86753a7cf4ff712e4fe370"/>
    <w:p>
      <w:pPr>
        <w:pStyle w:val="BodyText"/>
      </w:pPr>
      <w:r>
        <w:rPr>
          <w:b/>
        </w:rPr>
        <w:t>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rPr>
        <w:t xml:space="preserve">Le contrôle du quota exclut explicitement les booléens</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5347257" cy="288391"/>
            <wp:docPr id="57" name="Picture 57"/>
            <wp:cNvGraphicFramePr>
              <a:graphicFrameLocks noChangeAspect="1"/>
            </wp:cNvGraphicFramePr>
            <a:graphic>
              <a:graphicData uri="http://schemas.openxmlformats.org/drawingml/2006/picture">
                <pic:pic>
                  <pic:nvPicPr>
                    <pic:cNvPr id="0" name="ebd76a93a971-0.png"/>
                    <pic:cNvPicPr/>
                  </pic:nvPicPr>
                  <pic:blipFill>
                    <a:blip r:embed="rId71"/>
                    <a:stretch>
                      <a:fillRect/>
                    </a:stretch>
                  </pic:blipFill>
                  <pic:spPr>
                    <a:xfrm>
                      <a:off x="0" y="0"/>
                      <a:ext cx="5347257" cy="288391"/>
                    </a:xfrm>
                    <a:prstGeom prst="rect"/>
                  </pic:spPr>
                </pic:pic>
              </a:graphicData>
            </a:graphic>
          </wp:inline>
        </w:drawing>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une requête suffirait à charger toute la table en mémoire (§ 7.3).</w:t>
      </w:r>
    </w:p>
    <w:bookmarkEnd w:id="113"/>
    <w:bookmarkStart w:id="114" w:name="X33e80f1257b6bbe875715b824d95e97cb733980"/>
    <w:p>
      <w:pPr>
        <w:pStyle w:val="BodyText"/>
      </w:pPr>
      <w:r>
        <w:rPr>
          <w:b/>
        </w:rPr>
        <w:t>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ni f-string dans une requête. Le cas TS-02 (§ 9)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du script MySQL (§ 5.5)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BodyText"/>
      </w:pPr>
      <w:r>
        <w:rPr>
          <w:b/>
        </w:rPr>
        <w:t>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rPr>
        <w:t xml:space="preserve">stockée</w:t>
      </w:r>
      <w:r>
        <w:t xml:space="preserve"> </w:t>
      </w:r>
      <w:r>
        <w:t>que présentait la première version, son mécanisme d'aggravation par l'enregistrement automatique, et sa correction par DOMPurify sont détaillés en § 7.1.</w:t>
      </w:r>
    </w:p>
    <w:p>
      <w:pPr>
        <w:pStyle w:val="BodyText"/>
      </w:pPr>
      <w:r>
        <w:t xml:space="preserve">Trois lignes de défense se superposent, et c'est leur indépendance qui compte :</w:t>
      </w:r>
    </w:p>
    <w:p>
      <w:pPr>
        <w:numPr>
          <w:ilvl w:val="0"/>
          <w:numId w:val="2021"/>
        </w:numPr>
        <w:pStyle w:val="Compact"/>
      </w:pPr>
      <w:r>
        <w:rPr>
          <w:bCs/>
        </w:rPr>
        <w:t xml:space="preserve">Le contenu est stocké en Markdown brut</w:t>
      </w:r>
      <w:r>
        <w:t xml:space="preserve">, jamais en HTML. Même si l'assainissement échouait, la donnée en base n'est pas du HTML exécutable.</w:t>
      </w:r>
    </w:p>
    <w:p>
      <w:pPr>
        <w:numPr>
          <w:ilvl w:val="0"/>
          <w:numId w:val="2021"/>
        </w:numPr>
        <w:pStyle w:val="Compact"/>
      </w:pPr>
      <w:r>
        <w:rPr>
          <w:bCs/>
        </w:rPr>
        <w:t xml:space="preserve">La sortie de</w:t>
      </w:r>
      <w:r>
        <w:rPr>
          <w:bCs/>
          <w:b/>
        </w:rPr>
        <w:t xml:space="preserve"> </w:t>
      </w:r>
      <w:r>
        <w:rPr>
          <w:rStyle w:val="VerbatimChar"/>
          <w:bCs/>
        </w:rPr>
        <w:t xml:space="preserve">marked</w:t>
      </w:r>
      <w:r>
        <w:rPr>
          <w:bCs/>
          <w:b/>
        </w:rPr>
        <w:t xml:space="preserve"> </w:t>
      </w:r>
      <w:r>
        <w:rPr>
          <w:bCs/>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2021"/>
        </w:numPr>
        <w:pStyle w:val="Compact"/>
      </w:pPr>
      <w:r>
        <w:rPr>
          <w:bCs/>
        </w:rPr>
        <w:t xml:space="preserve">Le refresh token est dans un cookie</w:t>
      </w:r>
      <w:r>
        <w:rPr>
          <w:bCs/>
          <w:b/>
        </w:rPr>
        <w:t xml:space="preserve"> </w:t>
      </w:r>
      <w:r>
        <w:rPr>
          <w:rStyle w:val="VerbatimChar"/>
          <w:bCs/>
        </w:rPr>
        <w:t xml:space="preserve">httpOnly</w:t>
      </w:r>
      <w:r>
        <w:t xml:space="preserve"> </w:t>
      </w:r>
      <w:r>
        <w:t>: même un XSS réussi ne permet pas de voler la session longue durée (§ 7.4).</w:t>
      </w:r>
    </w:p>
    <w:p>
      <w:pPr>
        <w:pStyle w:val="FirstParagraph"/>
      </w:pPr>
      <w:r>
        <w:t>La veille a montré que la deuxième ligne est elle-même un composant à maintenir — CVE-2026-0540 affecte la version déclarée par le projet (§ 11). C'est précisément l'argument qui justifie de conserver les lignes 1 et 3 : une mesure de sécurité unique est un point de défaillance unique.</w:t>
      </w:r>
    </w:p>
    <w:bookmarkEnd w:id="115"/>
    <w:bookmarkStart w:id="116" w:name="X43c2787c9850fa8aa67b082c0e2bddaf1c79309"/>
    <w:p>
      <w:pPr>
        <w:pStyle w:val="BodyText"/>
      </w:pPr>
      <w:r>
        <w:rPr>
          <w:b/>
        </w:rPr>
        <w:t>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 Un jeton CSRF dédié par double-submit a été étudié et écarté : il n'aurait rien ajouté ici, puisqu'un XSS réussi permettrait de lire le cookie et de forger l'en-tête — cette protection suppose donc le XSS de l'aperçu déjà fermé (§ 7.1), et les deux failles sont liées.</w:t>
      </w:r>
    </w:p>
    <w:bookmarkEnd w:id="116"/>
    <w:bookmarkStart w:id="117" w:name="X976a6e4e95f16d2446480716f11e8a0402ce938"/>
    <w:p>
      <w:pPr>
        <w:pStyle w:val="BodyText"/>
      </w:pPr>
      <w:r>
        <w:rPr>
          <w:b/>
        </w:rPr>
        <w:t>Limitation de débit et énumération de comptes</w:t>
      </w:r>
    </w:p>
    <w:p>
      <w:pPr>
        <w:pStyle w:val="Figure"/>
        <w:spacing w:before="80" w:after="40"/>
        <w:jc w:val="left"/>
      </w:pPr>
      <w:r>
        <w:drawing>
          <wp:inline xmlns:a="http://schemas.openxmlformats.org/drawingml/2006/main" xmlns:pic="http://schemas.openxmlformats.org/drawingml/2006/picture">
            <wp:extent cx="2597088" cy="888372"/>
            <wp:docPr id="58" name="Picture 58"/>
            <wp:cNvGraphicFramePr>
              <a:graphicFrameLocks noChangeAspect="1"/>
            </wp:cNvGraphicFramePr>
            <a:graphic>
              <a:graphicData uri="http://schemas.openxmlformats.org/drawingml/2006/picture">
                <pic:pic>
                  <pic:nvPicPr>
                    <pic:cNvPr id="0" name="ba349b7bc786-0.png"/>
                    <pic:cNvPicPr/>
                  </pic:nvPicPr>
                  <pic:blipFill>
                    <a:blip r:embed="rId72"/>
                    <a:stretch>
                      <a:fillRect/>
                    </a:stretch>
                  </pic:blipFill>
                  <pic:spPr>
                    <a:xfrm>
                      <a:off x="0" y="0"/>
                      <a:ext cx="2597088" cy="888372"/>
                    </a:xfrm>
                    <a:prstGeom prst="rect"/>
                  </pic:spPr>
                </pic:pic>
              </a:graphicData>
            </a:graphic>
          </wp:inline>
        </w:drawing>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est normalisée en JSON et volontairement peu bavarde, sans indiquer le nombre de tentatives restantes ni la durée du blocage (§ 6).</w:t>
      </w:r>
    </w:p>
    <w:p>
      <w:pPr>
        <w:pStyle w:val="BodyText"/>
      </w:pPr>
      <w:r>
        <w:rPr>
          <w:bCs/>
        </w:rPr>
        <w:t xml:space="preserve">L'anti-énumération sur la récupération de mot de passe</w:t>
      </w:r>
      <w:r>
        <w:t xml:space="preserve"> </w:t>
      </w:r>
      <w:r>
        <w:t xml:space="preserve">est appliquée strictement : la réponse est identique que l'adresse existe ou non.</w:t>
      </w:r>
    </w:p>
    <w:p>
      <w:pPr>
        <w:pStyle w:val="Figure"/>
        <w:spacing w:before="80" w:after="40"/>
        <w:jc w:val="left"/>
      </w:pPr>
      <w:r>
        <w:drawing>
          <wp:inline xmlns:a="http://schemas.openxmlformats.org/drawingml/2006/main" xmlns:pic="http://schemas.openxmlformats.org/drawingml/2006/picture">
            <wp:extent cx="4768248" cy="388672"/>
            <wp:docPr id="59" name="Picture 59"/>
            <wp:cNvGraphicFramePr>
              <a:graphicFrameLocks noChangeAspect="1"/>
            </wp:cNvGraphicFramePr>
            <a:graphic>
              <a:graphicData uri="http://schemas.openxmlformats.org/drawingml/2006/picture">
                <pic:pic>
                  <pic:nvPicPr>
                    <pic:cNvPr id="0" name="37a8d9227daa-0.png"/>
                    <pic:cNvPicPr/>
                  </pic:nvPicPr>
                  <pic:blipFill>
                    <a:blip r:embed="rId73"/>
                    <a:stretch>
                      <a:fillRect/>
                    </a:stretch>
                  </pic:blipFill>
                  <pic:spPr>
                    <a:xfrm>
                      <a:off x="0" y="0"/>
                      <a:ext cx="4768248" cy="388672"/>
                    </a:xfrm>
                    <a:prstGeom prst="rect"/>
                  </pic:spPr>
                </pic:pic>
              </a:graphicData>
            </a:graphic>
          </wp:inline>
        </w:drawing>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avec le message « Email ou mot de passe incorrect ». Cette cohérence connaît une exception, documentée ci-après.</w:t>
      </w:r>
    </w:p>
    <w:bookmarkEnd w:id="117"/>
    <w:bookmarkStart w:id="118" w:name="X29ccdf8d9158e4b7c89bb71644f6012126d1351"/>
    <w:p>
      <w:pPr>
        <w:pStyle w:val="BodyText"/>
      </w:pPr>
      <w:r>
        <w:rPr>
          <w:b/>
        </w:rPr>
        <w:t>Secrets, configuration et appels sortants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documenté (§ 6)</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ni base de développement, ni clé — vérifié par le cas TS-06 (§ 9)</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w:t>
            </w:r>
          </w:p>
        </w:tc>
      </w:tr>
    </w:tbl>
    <w:p>
      <w:pPr>
        <w:pStyle w:val="BodyText"/>
      </w:pPr>
      <w:r>
        <w:t>Le dernier point de ce tableau est la seule mesure de ce dossier qui ne soit pas dans le code : c'est une consigne de déploiement. Elle figure donc dans la liste de contrôle du § 6, parce qu'une mesure de sécurité qui n'est écrite nulle part n'est pas une mesure.</w:t>
      </w:r>
    </w:p>
    <w:bookmarkEnd w:id="118"/>
    <w:bookmarkStart w:id="119" w:name="Xa05696c868e61d79898635404fa157da2630d6f"/>
    <w:p>
      <w:pPr>
        <w:pStyle w:val="BodyText"/>
      </w:pPr>
      <w:r>
        <w:rPr>
          <w:b/>
        </w:rPr>
        <w:t>Protection des données personnelles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type, réponse et horodatage de chaque recueil (§ 5.4)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côté SGBD (§ 5.4)</w:t>
            </w:r>
          </w:p>
        </w:tc>
      </w:tr>
      <w:tr>
        <w:tc>
          <w:tcPr/>
          <w:p>
            <w:pPr>
              <w:pStyle w:val="Compact"/>
              <w:jc w:val="left"/>
            </w:pPr>
            <w:r>
              <w:t xml:space="preserve">Absence de transfert</w:t>
            </w:r>
          </w:p>
        </w:tc>
        <w:tc>
          <w:tcPr/>
          <w:p>
            <w:pPr>
              <w:pStyle w:val="Compact"/>
              <w:jc w:val="left"/>
            </w:pPr>
            <w:r>
              <w:t>Inférence entièrement locale : aucun contenu rédigé ne quitte l'infrastructure (§ 5.2)</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Partiellement couverte ; compléments AI Act identifiés</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w:t>
      </w:r>
    </w:p>
    <w:bookmarkEnd w:id="119"/>
    <w:bookmarkStart w:id="120" w:name="X93d10a80969c3831892638521d3d35f606f4e2d"/>
    <w:p>
      <w:pPr>
        <w:pStyle w:val="BodyText"/>
      </w:pPr>
      <w:r>
        <w:rPr>
          <w:b/>
        </w:rPr>
        <w:t>Écarts résiduels connus</w:t>
      </w:r>
    </w:p>
    <w:p>
      <w:pPr>
        <w:pStyle w:val="FirstParagraph"/>
      </w:pPr>
      <w:r>
        <w:t xml:space="preserve">Cette liste est celle que j'ai relevée en confrontant le code à ce dossier. Elle est volontairement complète : un écart documenté se corrige, un écart passé sous silence se découvre en production.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Écart</w:t>
            </w:r>
          </w:p>
        </w:tc>
        <w:tc>
          <w:tcPr/>
          <w:p>
            <w:pPr>
              <w:pStyle w:val="Compact"/>
              <w:jc w:val="left"/>
            </w:pPr>
            <w:r>
              <w:t xml:space="preserve">Portée</w:t>
            </w:r>
          </w:p>
        </w:tc>
        <w:tc>
          <w:tcPr/>
          <w:p>
            <w:pPr>
              <w:pStyle w:val="Compact"/>
              <w:jc w:val="left"/>
            </w:pPr>
            <w:r>
              <w:t xml:space="preserve">Correction envisagée</w:t>
            </w:r>
          </w:p>
        </w:tc>
      </w:tr>
      <w:tr>
        <w:tc>
          <w:tcPr/>
          <w:p>
            <w:pPr>
              <w:pStyle w:val="Compact"/>
              <w:jc w:val="left"/>
            </w:pPr>
            <w:r>
              <w:t xml:space="preserve">1</w:t>
            </w:r>
          </w:p>
        </w:tc>
        <w:tc>
          <w:tcPr/>
          <w:p>
            <w:pPr>
              <w:pStyle w:val="Compact"/>
              <w:jc w:val="left"/>
            </w:pPr>
            <w:r>
              <w:rPr>
                <w:rStyle w:val="VerbatimChar"/>
              </w:rPr>
              <w:t xml:space="preserve">/auth/register</w:t>
            </w:r>
            <w:r>
              <w:t xml:space="preserve"> </w:t>
            </w:r>
            <w:r>
              <w:t xml:space="preserve">renvoie</w:t>
            </w:r>
            <w:r>
              <w:t xml:space="preserve"> </w:t>
            </w:r>
            <w:r>
              <w:rPr>
                <w:rStyle w:val="VerbatimChar"/>
              </w:rPr>
              <w:t xml:space="preserve">409 « Cet email est déjà utilisé »</w:t>
            </w:r>
          </w:p>
        </w:tc>
        <w:tc>
          <w:tcPr/>
          <w:p>
            <w:pPr>
              <w:pStyle w:val="Compact"/>
              <w:jc w:val="left"/>
            </w:pPr>
            <w:r>
              <w:rPr>
                <w:bCs/>
                <w:b/>
              </w:rPr>
              <w:t xml:space="preserve">Énumération de comptes</w:t>
            </w:r>
            <w:r>
              <w:t xml:space="preserve"> </w:t>
            </w:r>
            <w:r>
              <w:t xml:space="preserve">— contredit la mesure appliquée à</w:t>
            </w:r>
            <w:r>
              <w:t xml:space="preserve"> </w:t>
            </w:r>
            <w:r>
              <w:rPr>
                <w:rStyle w:val="VerbatimChar"/>
              </w:rPr>
              <w:t xml:space="preserve">/login</w:t>
            </w:r>
            <w:r>
              <w:t xml:space="preserve"> </w:t>
            </w:r>
            <w:r>
              <w:t xml:space="preserve">et</w:t>
            </w:r>
            <w:r>
              <w:t xml:space="preserve"> </w:t>
            </w:r>
            <w:r>
              <w:rPr>
                <w:rStyle w:val="VerbatimChar"/>
              </w:rPr>
              <w:t xml:space="preserve">/forgot-password</w:t>
            </w:r>
          </w:p>
        </w:tc>
        <w:tc>
          <w:tcPr/>
          <w:p>
            <w:pPr>
              <w:pStyle w:val="Compact"/>
              <w:jc w:val="left"/>
            </w:pPr>
            <w:r>
              <w:t>Risque accepté et argumenté (KAN-94, § 4 du rapport d'audit) : l'inscription est la seule route où l'anti-énumération coûterait l'information « cette adresse est déjà prise »</w:t>
            </w:r>
          </w:p>
        </w:tc>
      </w:tr>
      <w:tr>
        <w:tc>
          <w:tcPr/>
          <w:p>
            <w:pPr>
              <w:pStyle w:val="Compact"/>
              <w:jc w:val="left"/>
            </w:pPr>
            <w:r>
              <w:t xml:space="preserve">2</w:t>
            </w:r>
          </w:p>
        </w:tc>
        <w:tc>
          <w:tcPr/>
          <w:p>
            <w:pPr>
              <w:pStyle w:val="Compact"/>
              <w:jc w:val="left"/>
            </w:pPr>
            <w:r>
              <w:t xml:space="preserve">Pas de limitation de débit sur</w:t>
            </w:r>
            <w:r>
              <w:t xml:space="preserve"> </w:t>
            </w:r>
            <w:r>
              <w:rPr>
                <w:rStyle w:val="VerbatimChar"/>
              </w:rPr>
              <w:t xml:space="preserve">/auth/refresh</w:t>
            </w:r>
          </w:p>
        </w:tc>
        <w:tc>
          <w:tcPr/>
          <w:p>
            <w:pPr>
              <w:pStyle w:val="Compact"/>
              <w:jc w:val="left"/>
            </w:pPr>
            <w:r>
              <w:t xml:space="preserve">Un jeton volé peut être rafraîchi sans plafond de fréquence</w:t>
            </w:r>
          </w:p>
        </w:tc>
        <w:tc>
          <w:tcPr/>
          <w:p>
            <w:pPr>
              <w:pStyle w:val="Compact"/>
              <w:jc w:val="left"/>
            </w:pPr>
            <w:r>
              <w:t>Corrigé (KAN-95) : limite de 30 requêtes par minute sur /auth/refresh</w:t>
            </w:r>
          </w:p>
        </w:tc>
      </w:tr>
      <w:tr>
        <w:tc>
          <w:tcPr/>
          <w:p>
            <w:pPr>
              <w:pStyle w:val="Compact"/>
              <w:jc w:val="left"/>
            </w:pPr>
            <w:r>
              <w:t xml:space="preserve">3</w:t>
            </w:r>
          </w:p>
        </w:tc>
        <w:tc>
          <w:tcPr/>
          <w:p>
            <w:pPr>
              <w:pStyle w:val="Compact"/>
              <w:jc w:val="left"/>
            </w:pPr>
            <w:r>
              <w:rPr>
                <w:rStyle w:val="VerbatimChar"/>
              </w:rPr>
              <w:t xml:space="preserve">user_session</w:t>
            </w:r>
            <w:r>
              <w:t xml:space="preserve"> </w:t>
            </w:r>
            <w:r>
              <w:t xml:space="preserve">n'est jamais purgée des lignes révoquées</w:t>
            </w:r>
          </w:p>
        </w:tc>
        <w:tc>
          <w:tcPr/>
          <w:p>
            <w:pPr>
              <w:pStyle w:val="Compact"/>
              <w:jc w:val="left"/>
            </w:pPr>
            <w:r>
              <w:t xml:space="preserve">Croissance de la table, une ligne par rafraîchissement</w:t>
            </w:r>
          </w:p>
        </w:tc>
        <w:tc>
          <w:tcPr/>
          <w:p>
            <w:pPr>
              <w:pStyle w:val="Compact"/>
              <w:jc w:val="left"/>
            </w:pPr>
            <w:r>
              <w:t>Corrigé (KAN-96) : purge_expired_sessions(), appelée à chaque rotation</w:t>
            </w:r>
          </w:p>
        </w:tc>
      </w:tr>
      <w:tr>
        <w:tc>
          <w:tcPr/>
          <w:p>
            <w:pPr>
              <w:pStyle w:val="Compact"/>
              <w:jc w:val="left"/>
            </w:pPr>
            <w:r>
              <w:t xml:space="preserve">4</w:t>
            </w:r>
          </w:p>
        </w:tc>
        <w:tc>
          <w:tcPr/>
          <w:p>
            <w:pPr>
              <w:pStyle w:val="Compact"/>
              <w:jc w:val="left"/>
            </w:pPr>
            <w:r>
              <w:rPr>
                <w:rStyle w:val="VerbatimChar"/>
              </w:rPr>
              <w:t xml:space="preserve">current_app</w:t>
            </w:r>
            <w:r>
              <w:t xml:space="preserve"> </w:t>
            </w:r>
            <w:r>
              <w:t xml:space="preserve">importé dans</w:t>
            </w:r>
            <w:r>
              <w:t xml:space="preserve"> </w:t>
            </w:r>
            <w:r>
              <w:rPr>
                <w:rStyle w:val="VerbatimChar"/>
              </w:rPr>
              <w:t xml:space="preserve">services/</w:t>
            </w:r>
          </w:p>
        </w:tc>
        <w:tc>
          <w:tcPr/>
          <w:p>
            <w:pPr>
              <w:pStyle w:val="Compact"/>
              <w:jc w:val="left"/>
            </w:pPr>
            <w:r>
              <w:t>La règle de découpage du § 5.2 n'est pas strictement tenue</w:t>
            </w:r>
          </w:p>
        </w:tc>
        <w:tc>
          <w:tcPr/>
          <w:p>
            <w:pPr>
              <w:pStyle w:val="Compact"/>
              <w:jc w:val="left"/>
            </w:pPr>
            <w:r>
              <w:t>Injecter la configuration en paramètre (§ 7.2)</w:t>
            </w:r>
          </w:p>
        </w:tc>
      </w:tr>
      <w:tr>
        <w:tc>
          <w:tcPr/>
          <w:p>
            <w:pPr>
              <w:pStyle w:val="Compact"/>
              <w:jc w:val="left"/>
            </w:pPr>
            <w:r>
              <w:t xml:space="preserve">5</w:t>
            </w:r>
          </w:p>
        </w:tc>
        <w:tc>
          <w:tcPr/>
          <w:p>
            <w:pPr>
              <w:pStyle w:val="Compact"/>
              <w:jc w:val="left"/>
            </w:pPr>
            <w:r>
              <w:t xml:space="preserve">Durée de conservation du journal</w:t>
            </w:r>
            <w:r>
              <w:t xml:space="preserve"> </w:t>
            </w:r>
            <w:r>
              <w:rPr>
                <w:rStyle w:val="VerbatimChar"/>
              </w:rPr>
              <w:t xml:space="preserve">ia</w:t>
            </w:r>
            <w:r>
              <w:t xml:space="preserve"> </w:t>
            </w:r>
            <w:r>
              <w:t xml:space="preserve">non définie</w:t>
            </w:r>
          </w:p>
        </w:tc>
        <w:tc>
          <w:tcPr/>
          <w:p>
            <w:pPr>
              <w:pStyle w:val="Compact"/>
              <w:jc w:val="left"/>
            </w:pPr>
            <w:r>
              <w:rPr>
                <w:rStyle w:val="VerbatimChar"/>
              </w:rPr>
              <w:t xml:space="preserve">content_before</w:t>
            </w:r>
            <w:r>
              <w:t xml:space="preserve"> </w:t>
            </w:r>
            <w:r>
              <w:t xml:space="preserve">/</w:t>
            </w:r>
            <w:r>
              <w:t xml:space="preserve"> </w:t>
            </w:r>
            <w:r>
              <w:rPr>
                <w:rStyle w:val="VerbatimChar"/>
              </w:rPr>
              <w:t xml:space="preserve">content_after</w:t>
            </w:r>
            <w:r>
              <w:t xml:space="preserve"> </w:t>
            </w:r>
            <w:r>
              <w:t xml:space="preserve">conservés sans limite</w:t>
            </w:r>
          </w:p>
        </w:tc>
        <w:tc>
          <w:tcPr/>
          <w:p>
            <w:pPr>
              <w:pStyle w:val="Compact"/>
              <w:jc w:val="left"/>
            </w:pPr>
            <w:r>
              <w:t xml:space="preserve">Fixer une durée, la documenter, purger au-delà</w:t>
            </w:r>
          </w:p>
        </w:tc>
      </w:tr>
      <w:tr>
        <w:tc>
          <w:tcPr/>
          <w:p>
            <w:pPr>
              <w:pStyle w:val="Compact"/>
              <w:jc w:val="left"/>
            </w:pPr>
            <w:r>
              <w:t xml:space="preserve">6</w:t>
            </w:r>
          </w:p>
        </w:tc>
        <w:tc>
          <w:tcPr/>
          <w:p>
            <w:pPr>
              <w:pStyle w:val="Compact"/>
              <w:jc w:val="left"/>
            </w:pPr>
            <w:r>
              <w:t xml:space="preserve">Journalisation applicative absente</w:t>
            </w:r>
          </w:p>
        </w:tc>
        <w:tc>
          <w:tcPr/>
          <w:p>
            <w:pPr>
              <w:pStyle w:val="Compact"/>
              <w:jc w:val="left"/>
            </w:pPr>
            <w:r>
              <w:t xml:space="preserve">Aucune trace des échecs d'authentification ni des</w:t>
            </w:r>
            <w:r>
              <w:t xml:space="preserve"> </w:t>
            </w:r>
            <w:r>
              <w:rPr>
                <w:rStyle w:val="VerbatimChar"/>
              </w:rPr>
              <w:t xml:space="preserve">403</w:t>
            </w:r>
          </w:p>
        </w:tc>
        <w:tc>
          <w:tcPr/>
          <w:p>
            <w:pPr>
              <w:pStyle w:val="Compact"/>
              <w:jc w:val="left"/>
            </w:pPr>
            <w:r>
              <w:t xml:space="preserve">Journaliser les événements de sécurité, sans données personnelles</w:t>
            </w:r>
          </w:p>
        </w:tc>
      </w:tr>
      <w:tr>
        <w:tc>
          <w:tcPr/>
          <w:p>
            <w:pPr>
              <w:pStyle w:val="Compact"/>
              <w:jc w:val="left"/>
            </w:pPr>
            <w:r>
              <w:t xml:space="preserve">7</w:t>
            </w:r>
          </w:p>
        </w:tc>
        <w:tc>
          <w:tcPr/>
          <w:p>
            <w:pPr>
              <w:pStyle w:val="Compact"/>
              <w:jc w:val="left"/>
            </w:pPr>
            <w:r>
              <w:t xml:space="preserve">Borne minimale du quota incohérente</w:t>
            </w:r>
          </w:p>
        </w:tc>
        <w:tc>
          <w:tcPr/>
          <w:p>
            <w:pPr>
              <w:pStyle w:val="Compact"/>
              <w:jc w:val="left"/>
            </w:pPr>
            <w:r>
              <w:t xml:space="preserve">L'API impose ≥ 1, la contrainte</w:t>
            </w:r>
            <w:r>
              <w:t xml:space="preserve"> </w:t>
            </w:r>
            <w:r>
              <w:rPr>
                <w:rStyle w:val="VerbatimChar"/>
              </w:rPr>
              <w:t xml:space="preserve">CHECK</w:t>
            </w:r>
            <w:r>
              <w:t xml:space="preserve"> </w:t>
            </w:r>
            <w:r>
              <w:t xml:space="preserve">autorise 0</w:t>
            </w:r>
          </w:p>
        </w:tc>
        <w:tc>
          <w:tcPr/>
          <w:p>
            <w:pPr>
              <w:pStyle w:val="Compact"/>
              <w:jc w:val="left"/>
            </w:pPr>
            <w:r>
              <w:t>Corrigé (KAN-98) : contrainte CHECK et validation d'API alignées, script de migration livré</w:t>
            </w:r>
          </w:p>
        </w:tc>
      </w:tr>
      <w:tr>
        <w:tc>
          <w:tcPr/>
          <w:p>
            <w:pPr>
              <w:pStyle w:val="Compact"/>
              <w:jc w:val="left"/>
            </w:pPr>
            <w:r>
              <w:t xml:space="preserve">8</w:t>
            </w:r>
          </w:p>
        </w:tc>
        <w:tc>
          <w:tcPr/>
          <w:p>
            <w:pPr>
              <w:pStyle w:val="Compact"/>
              <w:jc w:val="left"/>
            </w:pPr>
            <w:r>
              <w:t xml:space="preserve">Audits outillés non réalisés</w:t>
            </w:r>
          </w:p>
        </w:tc>
        <w:tc>
          <w:tcPr/>
          <w:p>
            <w:pPr>
              <w:pStyle w:val="Compact"/>
              <w:jc w:val="left"/>
            </w:pPr>
            <w:r>
              <w:t xml:space="preserve">Sécurité et accessibilité vérifiées manuellement</w:t>
            </w:r>
          </w:p>
        </w:tc>
        <w:tc>
          <w:tcPr/>
          <w:p>
            <w:pPr>
              <w:pStyle w:val="Compact"/>
              <w:jc w:val="left"/>
            </w:pPr>
            <w:r>
              <w:rPr>
                <w:rStyle w:val="VerbatimChar"/>
              </w:rPr>
              <w:t>Faits : rapport d'audit de sécurité et rapport d'audit d'accessibilité (axe-core, 15 écrans, 0 violation). pip-audit et npm audit restent à brancher dans le pipeline</w:t>
            </w:r>
          </w:p>
        </w:tc>
      </w:tr>
    </w:tbl>
    <w:p>
      <w:pPr>
        <w:pStyle w:val="BodyText"/>
      </w:pPr>
      <w:r>
        <w:rPr>
          <w:bCs/>
        </w:rPr>
        <w:t>Le premier écart est le plus instructif, et il n'a pas été corrigé mais assumé. Le projet applique l'anti-énumération à /login et /forgot-password, et la contredit à /register, qui répond 409 « Cet email est déjà utilisé ». La route a été écrite avant les deux autres, à un moment où le message explicite paraissait un simple confort d'usage : c'est le schéma habituel d'un défaut de sécurité — non pas une mesure ignorée, mais une mesure appliquée de façon inégale. La fermer demanderait de répondre 201 dans les deux cas et d'informer par courriel l'adresse déjà inscrite, au prix d'un parcours d'inscription qui ne dit plus à l'utilisateur légitime pourquoi son compte n'est pas créé. L'arbitrage est documenté au § 4 du rapport d'audit (KAN-94) : le risque est accepté, parce que l'information divulguée — « cette adresse a un compte » — est de faible valeur sur un service sans dimension sensible, et que le coût d'usage est immédiat. J'en retiens surtout qu'une propriété de sécurité doit être vérifiée sur toutes les routes concernées, pas sur celle qu'on écrit au moment où on y pense : c'est la raison d'être des tests TS-03 et TS-04 (§ 9), qui balaient l'ensemble des routes plutôt qu'un cas représentatif.</w:t>
      </w:r>
    </w:p>
    <w:p>
      <w:pPr>
        <w:pStyle w:val="BodyText"/>
      </w:pPr>
      <w:r>
        <w:rPr>
          <w:bCs/>
        </w:rPr>
        <w:t>Un défaut fonctionnel avait également été relevé lors de cette relecture, sans lien avec la sécurité : la route DELETE /documents/&lt;id_document&gt; se terminait par return "", — un tuple à un seul élément, là où Flask attend ("", 204). La suppression était bien effectuée en base, mais la construction de la réponse échouait et le client recevait une erreur 500. Corrigé depuis (KAN-93), et couvert par un test d'intégration. Le point mérite d'être gardé parce qu'il illustre exactement la valeur du plan de tests : la suppression d'un document était la seule route du projet qu'aucun test ne couvrait, et c'est la seule où un défaut de ce type a survécu jusqu'à la relecture.</w:t>
      </w:r>
    </w:p>
    <w:bookmarkEnd w:id="120"/>
    <w:bookmarkStart w:id="121" w:name="Xe17fac534b816f7c3d70e43b759f788955f726e"/>
    <w:p w14:paraId="2B50691A" w14:textId="745C3B77" w:rsidR="003A2DEC" w:rsidRPr="00B1648B" w:rsidRDefault="00690DDD" w:rsidP="003A2DEC">
      <w:pPr>
        <w:pStyle w:val="Titre1"/>
        <w:numPr>
          <w:ilvl w:val="0"/>
          <w:numId w:val="5"/>
        </w:numPr>
        <w:rPr>
          <w:sz w:val="36"/>
          <w:szCs w:val="36"/>
        </w:rPr>
      </w:pPr>
      <w:r w:rsidRPr="00B1648B">
        <w:rPr>
          <w:sz w:val="36"/>
          <w:szCs w:val="36"/>
        </w:rPr>
        <w:t>La</w:t>
      </w:r>
      <w:r w:rsidR="003A2DEC" w:rsidRPr="00B1648B">
        <w:rPr>
          <w:sz w:val="36"/>
          <w:szCs w:val="36"/>
        </w:rPr>
        <w:t xml:space="preserve"> présentation du plan de tests</w:t>
      </w:r>
    </w:p>
    <w:p>
      <w:pPr>
        <w:pStyle w:val="BodyText"/>
      </w:pPr>
      <w:r>
        <w:rPr>
          <w:b/>
        </w:rPr>
        <w:t>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La base de cette pyramide est la règle d'architecture du § 5.2 :</w:t>
      </w:r>
      <w:r>
        <w:t xml:space="preserve"> </w:t>
      </w:r>
      <w:r>
        <w:rPr>
          <w:bCs/>
        </w:rPr>
        <w:t xml:space="preserve">aucun import Flask dans</w:t>
      </w:r>
      <w:r>
        <w:rPr>
          <w:bCs/>
          <w:b/>
        </w:rPr>
        <w:t xml:space="preserve"> </w:t>
      </w:r>
      <w:r>
        <w:rPr>
          <w:rStyle w:val="VerbatimChar"/>
          <w:bCs/>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rPr>
        <w:t xml:space="preserve">chaîne d'authentification</w:t>
      </w:r>
      <w:r>
        <w:t xml:space="preserve"> </w:t>
      </w:r>
      <w:r>
        <w:t xml:space="preserve">(une régression y compromet tous les comptes), le</w:t>
      </w:r>
      <w:r>
        <w:t xml:space="preserve"> </w:t>
      </w:r>
      <w:r>
        <w:rPr>
          <w:bCs/>
        </w:rPr>
        <w:t xml:space="preserve">contrôle de propriété des ressources</w:t>
      </w:r>
      <w:r>
        <w:t xml:space="preserve"> </w:t>
      </w:r>
      <w:r>
        <w:t xml:space="preserve">(une régression y expose les documents d'autrui), et le</w:t>
      </w:r>
      <w:r>
        <w:t xml:space="preserve"> </w:t>
      </w:r>
      <w:r>
        <w:rPr>
          <w:bCs/>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BodyText"/>
      </w:pPr>
      <w:r>
        <w:rPr>
          <w:b/>
        </w:rPr>
        <w:t>Environnement de test</w:t>
      </w:r>
    </w:p>
    <w:p>
      <w:pPr>
        <w:pStyle w:val="FirstParagraph"/>
      </w:pPr>
      <w:r>
        <w:t xml:space="preserve">Le motif de fabrique</w:t>
      </w:r>
      <w:r>
        <w:t xml:space="preserve"> </w:t>
      </w:r>
      <w:r>
        <w:rPr>
          <w:rStyle w:val="VerbatimChar"/>
        </w:rPr>
        <w:t xml:space="preserve">create_app()</w:t>
      </w:r>
      <w:r>
        <w:t xml:space="preserve"> </w:t>
      </w:r>
      <w:r>
        <w:t>(§ 6) permet d'instancier une application dédiée aux tests, avec une configuration distincte de celle de production.</w:t>
      </w:r>
    </w:p>
    <w:p>
      <w:pPr>
        <w:pStyle w:val="Figure"/>
        <w:spacing w:before="80" w:after="40"/>
        <w:jc w:val="left"/>
      </w:pPr>
      <w:r>
        <w:drawing>
          <wp:inline xmlns:a="http://schemas.openxmlformats.org/drawingml/2006/main" xmlns:pic="http://schemas.openxmlformats.org/drawingml/2006/picture">
            <wp:extent cx="3562020" cy="2792720"/>
            <wp:docPr id="60" name="Picture 60"/>
            <wp:cNvGraphicFramePr>
              <a:graphicFrameLocks noChangeAspect="1"/>
            </wp:cNvGraphicFramePr>
            <a:graphic>
              <a:graphicData uri="http://schemas.openxmlformats.org/drawingml/2006/picture">
                <pic:pic>
                  <pic:nvPicPr>
                    <pic:cNvPr id="0" name="0a26b8701569-0.png"/>
                    <pic:cNvPicPr/>
                  </pic:nvPicPr>
                  <pic:blipFill>
                    <a:blip r:embed="rId74"/>
                    <a:stretch>
                      <a:fillRect/>
                    </a:stretch>
                  </pic:blipFill>
                  <pic:spPr>
                    <a:xfrm>
                      <a:off x="0" y="0"/>
                      <a:ext cx="3562020" cy="2792720"/>
                    </a:xfrm>
                    <a:prstGeom prst="rect"/>
                  </pic:spPr>
                </pic:pic>
              </a:graphicData>
            </a:graphic>
          </wp:inline>
        </w:drawing>
      </w:r>
    </w:p>
    <w:p>
      <w:pPr>
        <w:pStyle w:val="FirstParagraph"/>
      </w:pPr>
      <w:r>
        <w:t xml:space="preserve">Trois choix méritent d'être justifiés.</w:t>
      </w:r>
    </w:p>
    <w:p>
      <w:pPr>
        <w:pStyle w:val="BodyText"/>
      </w:pPr>
      <w:r>
        <w:rPr>
          <w:bCs/>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rPr>
        <w:t xml:space="preserve">Le limiteur de débit est désactivé.</w:t>
      </w:r>
      <w:r>
        <w:t xml:space="preserve"> </w:t>
      </w:r>
      <w:r>
        <w:t>Flask-Limiter protège les routes d'authentification (§ 6)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BodyText"/>
      </w:pPr>
      <w:r>
        <w:rPr>
          <w:b/>
        </w:rPr>
        <w:t>Tests unitaires des composants métier</w:t>
      </w:r>
    </w:p>
    <w:bookmarkStart w:id="123" w:name="X6601220644fe5b243f84b2646e09bd917c974a2"/>
    <w:p>
      <w:pPr>
        <w:pStyle w:val="BodyText"/>
      </w:pPr>
      <w:r>
        <w:rPr>
          <w:b/>
        </w:rPr>
        <w:t>ia_service — construction du prompt</w:t>
      </w:r>
    </w:p>
    <w:p>
      <w:pPr>
        <w:pStyle w:val="FirstParagraph"/>
      </w:pPr>
      <w:r>
        <w:t xml:space="preserve">La fonction</w:t>
      </w:r>
      <w:r>
        <w:t xml:space="preserve"> </w:t>
      </w:r>
      <w:r>
        <w:rPr>
          <w:rStyle w:val="VerbatimChar"/>
        </w:rPr>
        <w:t xml:space="preserve">build_prompt</w:t>
      </w:r>
      <w:r>
        <w:t xml:space="preserve"> </w:t>
      </w:r>
      <w:r>
        <w:t>est pure : mêmes entrées, même sortie, aucun effet de bord. C'est le cas le plus simple à couvrir et l'un des plus utiles, puisque le prompt détermine réellement le comportement du modèle (§ 4).</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Aucun ne mentionne « juridique » (non-régression du § 4)</w:t>
            </w:r>
          </w:p>
        </w:tc>
      </w:tr>
    </w:tbl>
    <w:p>
      <w:pPr>
        <w:pStyle w:val="Figure"/>
        <w:spacing w:before="80" w:after="40"/>
        <w:jc w:val="left"/>
      </w:pPr>
      <w:r>
        <w:drawing>
          <wp:inline xmlns:a="http://schemas.openxmlformats.org/drawingml/2006/main" xmlns:pic="http://schemas.openxmlformats.org/drawingml/2006/picture">
            <wp:extent cx="3706773" cy="1288964"/>
            <wp:docPr id="61" name="Picture 61"/>
            <wp:cNvGraphicFramePr>
              <a:graphicFrameLocks noChangeAspect="1"/>
            </wp:cNvGraphicFramePr>
            <a:graphic>
              <a:graphicData uri="http://schemas.openxmlformats.org/drawingml/2006/picture">
                <pic:pic>
                  <pic:nvPicPr>
                    <pic:cNvPr id="0" name="0c250dcbd4af-0.png"/>
                    <pic:cNvPicPr/>
                  </pic:nvPicPr>
                  <pic:blipFill>
                    <a:blip r:embed="rId75"/>
                    <a:stretch>
                      <a:fillRect/>
                    </a:stretch>
                  </pic:blipFill>
                  <pic:spPr>
                    <a:xfrm>
                      <a:off x="0" y="0"/>
                      <a:ext cx="3706773" cy="1288964"/>
                    </a:xfrm>
                    <a:prstGeom prst="rect"/>
                  </pic:spPr>
                </pic:pic>
              </a:graphicData>
            </a:graphic>
          </wp:inline>
        </w:drawing>
      </w:r>
    </w:p>
    <w:p>
      <w:pPr>
        <w:pStyle w:val="FirstParagraph"/>
      </w:pPr>
      <w:r>
        <w:t>Le cas TU-04 est le plus instructif, parce qu'il est né d'une erreur réelle. La dérive du positionnement éditorial décrite en § 4 n'avait été rattrapée que par une relecture ; elle est désormais couverte par un test. Un prompt est du code, il se teste comme du code.</w:t>
      </w:r>
    </w:p>
    <w:bookmarkEnd w:id="123"/>
    <w:bookmarkStart w:id="124" w:name="X1f2e9e46ea5c0ab3bfb8fbec5fc373cf2ddb13a"/>
    <w:p>
      <w:pPr>
        <w:pStyle w:val="BodyText"/>
      </w:pPr>
      <w:r>
        <w:rPr>
          <w:b/>
        </w:rPr>
        <w:t>ia_service —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porteuse d'un message lisible (§ 5.7).</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BodyText"/>
      </w:pPr>
      <w:r>
        <w:rPr>
          <w:b/>
        </w:rPr>
        <w:t>auth_service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rPr>
        <w:t xml:space="preserve">confusion d'algorithme</w:t>
      </w:r>
      <w:r>
        <w:t xml:space="preserve"> </w:t>
      </w:r>
      <w:r>
        <w:t>relevée dans la veille (CVE-2026-48526, § 11).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BodyText"/>
      </w:pPr>
      <w:r>
        <w:rPr>
          <w:b/>
        </w:rPr>
        <w:t>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7.1)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BodyText"/>
      </w:pPr>
      <w:r>
        <w:rPr>
          <w:b/>
        </w:rPr>
        <w:t>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la route la plus riche en contrôles (§ 5.7), puis déclinés sur les autres.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rPr>
        <w:t xml:space="preserve">TI-07 et TI-08 doivent produire des réponses indiscernables.</w:t>
      </w:r>
      <w:r>
        <w:t xml:space="preserve"> </w:t>
      </w:r>
      <w:r>
        <w:t>C'est la mesure anti-énumération du § 5.7.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Figure"/>
        <w:spacing w:before="80" w:after="40"/>
        <w:jc w:val="left"/>
      </w:pPr>
      <w:r>
        <w:drawing>
          <wp:inline xmlns:a="http://schemas.openxmlformats.org/drawingml/2006/main" xmlns:pic="http://schemas.openxmlformats.org/drawingml/2006/picture">
            <wp:extent cx="4044549" cy="989112"/>
            <wp:docPr id="62" name="Picture 62"/>
            <wp:cNvGraphicFramePr>
              <a:graphicFrameLocks noChangeAspect="1"/>
            </wp:cNvGraphicFramePr>
            <a:graphic>
              <a:graphicData uri="http://schemas.openxmlformats.org/drawingml/2006/picture">
                <pic:pic>
                  <pic:nvPicPr>
                    <pic:cNvPr id="0" name="45d1eae90921-0.png"/>
                    <pic:cNvPicPr/>
                  </pic:nvPicPr>
                  <pic:blipFill>
                    <a:blip r:embed="rId76"/>
                    <a:stretch>
                      <a:fillRect/>
                    </a:stretch>
                  </pic:blipFill>
                  <pic:spPr>
                    <a:xfrm>
                      <a:off x="0" y="0"/>
                      <a:ext cx="4044549" cy="989112"/>
                    </a:xfrm>
                    <a:prstGeom prst="rect"/>
                  </pic:spPr>
                </pic:pic>
              </a:graphicData>
            </a:graphic>
          </wp:inline>
        </w:drawing>
      </w:r>
    </w:p>
    <w:p>
      <w:pPr>
        <w:pStyle w:val="FirstParagraph"/>
      </w:pPr>
      <w:r>
        <w:rPr>
          <w:bCs/>
        </w:rPr>
        <w:t xml:space="preserve">TI-11 vérifie que la fenêtre est glissante et non calendaire.</w:t>
      </w:r>
      <w:r>
        <w:t xml:space="preserve"> </w:t>
      </w:r>
      <w:r>
        <w:t>Le test insère 19 appels datés de moins de 24 heures et un appel daté de 25 heures, puis demande une génération : elle doit réussir. Un compteur remis à zéro à minuit passerait TI-10 mais échouerait TI-11. C'est donc bien le mécanisme du § 5.7 qui est vérifié, et non son résultat apparent.</w:t>
      </w:r>
    </w:p>
    <w:p>
      <w:pPr>
        <w:pStyle w:val="BodyText"/>
      </w:pPr>
      <w:r>
        <w:rPr>
          <w:bCs/>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les sessions révoquées (§ 4)</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rôle rétrogradé en base sans nouveau jeton → accès refusé immédiatement (§ 5.2)</w:t>
            </w:r>
          </w:p>
        </w:tc>
      </w:tr>
    </w:tbl>
    <w:p>
      <w:pPr>
        <w:pStyle w:val="BodyText"/>
      </w:pPr>
      <w:r>
        <w:t>Le dernier cas mérite d'être souligné : il vérifie une décision explicite du § 5.2,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BodyText"/>
      </w:pPr>
      <w:r>
        <w:rPr>
          <w:b/>
        </w:rPr>
        <w:t>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Les documents survivent et réapparaissent hors dossier (§ 5.4)</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BodyText"/>
      </w:pPr>
      <w:r>
        <w:rPr>
          <w:b/>
        </w:rPr>
        <w:t>Tests de sécurité</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L'application refuse de démarrer (§ 6)</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BodyText"/>
      </w:pPr>
      <w:r>
        <w:rPr>
          <w:b/>
        </w:rPr>
        <w:t>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w:t>
      </w:r>
    </w:p>
    <w:p>
      <w:pPr>
        <w:pStyle w:val="FirstParagraph"/>
      </w:pPr>
      <w:r>
        <w:t>Le résultat tient en un chiffre et une nuance. Le chiffre : 120 occurrences sur trois règles, dont 117 dues à une seule couleur — l'accent #E0533C de la charte (§ 5.3)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bookmarkEnd w:id="131"/>
    <w:bookmarkStart w:id="132" w:name="X01737514c45077be3bcd5ca4619b2e142b840d9"/>
    <w:p>
      <w:pPr>
        <w:pStyle w:val="BodyText"/>
      </w:pPr>
      <w:r>
        <w:rPr>
          <w:b/>
        </w:rPr>
        <w:t>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 enchaîne Ruff, ESLint, Prettier, vue-tsc, pytest, Vitest et la construction des images à chaque push et chaque pull request ; pip-audit et npm audit restent à y brancher.</w:t>
      </w:r>
    </w:p>
    <w:p>
      <w:pPr>
        <w:pStyle w:val="BodyText"/>
      </w:pPr>
      <w:r>
        <w:rPr>
          <w:bCs/>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 Il a fallu un vrai serveur HTTP, un http.server qui imite /api/generate, pour les voir. Les tests ajoutés ensuite ont été vérifiés par mutation : on casse volontairement le code pour s'assurer qu'ils échouent. Un test qu'on n'a jamais vu échouer ne prouve rien.</w:t>
      </w:r>
    </w:p>
    <w:bookmarkEnd w:id="132"/>
    <w:bookmarkStart w:id="133" w:name="X25212430a281d71bdc0386a3e3977d11c129f5b"/>
    <w:p w14:paraId="232BB653" w14:textId="3C66AF9E" w:rsidR="003A2DEC" w:rsidRPr="00B1648B" w:rsidRDefault="00690DDD" w:rsidP="00690DDD">
      <w:pPr>
        <w:pStyle w:val="Titre1"/>
        <w:numPr>
          <w:ilvl w:val="0"/>
          <w:numId w:val="5"/>
        </w:numPr>
        <w:rPr>
          <w:sz w:val="36"/>
          <w:szCs w:val="36"/>
        </w:rPr>
      </w:pPr>
      <w:r w:rsidRPr="00B1648B">
        <w:rPr>
          <w:sz w:val="36"/>
          <w:szCs w:val="36"/>
        </w:rPr>
        <w:t>La</w:t>
      </w:r>
      <w:r w:rsidR="003A2DEC" w:rsidRPr="00B1648B">
        <w:rPr>
          <w:sz w:val="36"/>
          <w:szCs w:val="36"/>
        </w:rPr>
        <w:t xml:space="preserve"> présentation d’un jeu d’essai élaboré par le candidat </w:t>
      </w:r>
    </w:p>
    <w:p>
      <w:pPr>
        <w:pStyle w:val="BodyText"/>
      </w:pPr>
      <w:r>
        <w:rPr>
          <w:b/>
        </w:rPr>
        <w:t>Fonctionnalité retenue et justification</w:t>
      </w:r>
    </w:p>
    <w:p>
      <w:pPr>
        <w:pStyle w:val="FirstParagraph"/>
      </w:pPr>
      <w:r>
        <w:t xml:space="preserve">Le jeu d'essai porte sur</w:t>
      </w:r>
      <w:r>
        <w:t xml:space="preserve"> </w:t>
      </w:r>
      <w:r>
        <w:rPr>
          <w:bCs/>
        </w:rPr>
        <w:t xml:space="preserve">la génération d'une assistance IA</w:t>
      </w:r>
      <w:r>
        <w:t xml:space="preserve"> </w:t>
      </w:r>
      <w:r>
        <w:t xml:space="preserve">—</w:t>
      </w:r>
      <w:r>
        <w:t xml:space="preserve"> </w:t>
      </w:r>
      <w:r>
        <w:rPr>
          <w:rStyle w:val="VerbatimChar"/>
        </w:rPr>
        <w:t xml:space="preserve">POST /documents/&lt;id&gt;/ia/generer</w:t>
      </w:r>
      <w:r>
        <w:t>. C'est la fonctionnalité la plus significative du projet à trois titres : elle traverse les trois couches du backend et sollicite un système externe (§ 5.2) ; elle concentre cinq contrôles de nature différente — authentification, validation, autorisation, quota, disponibilité (§ 5.7) ; et elle porte les deux exigences les plus délicates du cahier des charges, le quota de 20 appels par 24 heures et la traçabilité des interactions.</w:t>
      </w:r>
    </w:p>
    <w:p>
      <w:pPr>
        <w:pStyle w:val="BodyText"/>
      </w:pPr>
      <w:r>
        <w:t>C'est aussi la fonctionnalité qu'aucune capture d'écran ne peut attester, puisqu'elle se manifeste par un enchaînement et non par un état (§ 4, § 12.2). D'où la nécessité d'un jeu d'essai documenté.</w:t>
      </w:r>
    </w:p>
    <w:bookmarkEnd w:id="133"/>
    <w:bookmarkStart w:id="134" w:name="X7c50809e322bf8c10e3c3d5a4c79327834f56e9"/>
    <w:p>
      <w:pPr>
        <w:pStyle w:val="BodyText"/>
      </w:pPr>
      <w:r>
        <w:rPr>
          <w:b/>
        </w:rPr>
        <w:t>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rPr>
        <w:t xml:space="preserve">Journal</w:t>
      </w:r>
      <w:r>
        <w:rPr>
          <w:bCs/>
          <w:b/>
        </w:rPr>
        <w:t xml:space="preserve"> </w:t>
      </w:r>
      <w:r>
        <w:rPr>
          <w:rStyle w:val="VerbatimChar"/>
          <w:bCs/>
        </w:rPr>
        <w:t xml:space="preserve">ia</w:t>
      </w:r>
      <w:r>
        <w:rPr>
          <w:bCs/>
          <w:b/>
        </w:rPr>
        <w:t xml:space="preserve"> </w:t>
      </w:r>
      <w:r>
        <w:rPr>
          <w:bCs/>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BodyText"/>
      </w:pPr>
      <w:r>
        <w:rPr>
          <w:b/>
        </w:rPr>
        <w:t>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BodyText"/>
      </w:pPr>
      <w:r>
        <w:rPr>
          <w:b/>
        </w:rPr>
        <w:t>Analyse des écarts</w:t>
      </w:r>
    </w:p>
    <w:p>
      <w:pPr>
        <w:pStyle w:val="FirstParagraph"/>
      </w:pPr>
      <w:r>
        <w:t>Les quinze cas d'essai ont été exécutés dans les conditions décrites ci-dessus : aucun écart n'est constaté entre les données attendues et les données obtenues. Deux réserves rendent ce résultat lisible. Le jeu d'essai valide la mécanique autour du modèle — validation des entrées, autorisation, quota, trace, gestion des erreurs — et non la qualité linguistique des suggestions, qui n'est pas déterministe et ne peut pas faire l'objet d'une assertion. Et JE-12 est le seul cas exécuté sans simulation, serveur d'inférence réellement arrêté ; les autres s'appuient sur un double de test, ce qui est la condition de leur reproductibilité.</w:t>
      </w:r>
    </w:p>
    <w:p>
      <w:pPr>
        <w:pStyle w:val="BodyText"/>
      </w:pPr>
      <w:r>
        <w:rPr>
          <w:b/>
        </w:rPr>
        <w:t>Cas limites, et ce qu'ils ont révélé</w:t>
      </w:r>
    </w:p>
    <w:p>
      <w:pPr>
        <w:pStyle w:val="FirstParagraph"/>
      </w:pPr>
      <w:r>
        <w:t xml:space="preserve">Quatre cas méritent un commentaire, parce que leur résultat attendu n'est pas évident.</w:t>
      </w:r>
    </w:p>
    <w:p>
      <w:pPr>
        <w:pStyle w:val="BodyText"/>
      </w:pPr>
      <w:r>
        <w:rPr>
          <w:bCs/>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rPr>
        <w:t xml:space="preserve">inchangée</w:t>
      </w:r>
      <w:r>
        <w:t>. C'est la traduction du § 5.6,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rPr>
        <w:t xml:space="preserve">placement du</w:t>
      </w:r>
      <w:r>
        <w:rPr>
          <w:bCs/>
          <w:b/>
        </w:rPr>
        <w:t xml:space="preserve"> </w:t>
      </w:r>
      <w:r>
        <w:rPr>
          <w:rStyle w:val="VerbatimChar"/>
          <w:bCs/>
        </w:rPr>
        <w:t xml:space="preserve">commit</w:t>
      </w:r>
      <w:r>
        <w:rPr>
          <w:bCs/>
          <w:b/>
        </w:rPr>
        <w:t xml:space="preserve"> </w:t>
      </w:r>
      <w:r>
        <w:rPr>
          <w:bCs/>
        </w:rPr>
        <w:t xml:space="preserve">après le retour du modèle</w:t>
      </w:r>
      <w:r>
        <w:t xml:space="preserve"> </w:t>
      </w:r>
      <w:r>
        <w:t>(§ 5.7).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BodyText"/>
      </w:pPr>
      <w:r>
        <w:rPr>
          <w:b/>
        </w:rPr>
        <w:t>Reproductibilité</w:t>
      </w:r>
    </w:p>
    <w:p>
      <w:pPr>
        <w:pStyle w:val="FirstParagraph"/>
      </w:pPr>
      <w:r>
        <w:t xml:space="preserve">Le jeu d'essai est rejouable en trois commandes, ce qui est la condition pour qu'il serve de non-régression et pas seulement de démonstration ponctuelle :</w:t>
      </w:r>
    </w:p>
    <w:p>
      <w:pPr>
        <w:pStyle w:val="Figure"/>
        <w:spacing w:before="80" w:after="40"/>
        <w:jc w:val="left"/>
      </w:pPr>
      <w:r>
        <w:drawing>
          <wp:inline xmlns:a="http://schemas.openxmlformats.org/drawingml/2006/main" xmlns:pic="http://schemas.openxmlformats.org/drawingml/2006/picture">
            <wp:extent cx="1825118" cy="288177"/>
            <wp:docPr id="63" name="Picture 63"/>
            <wp:cNvGraphicFramePr>
              <a:graphicFrameLocks noChangeAspect="1"/>
            </wp:cNvGraphicFramePr>
            <a:graphic>
              <a:graphicData uri="http://schemas.openxmlformats.org/drawingml/2006/picture">
                <pic:pic>
                  <pic:nvPicPr>
                    <pic:cNvPr id="0" name="c0ba8908117c-0.png"/>
                    <pic:cNvPicPr/>
                  </pic:nvPicPr>
                  <pic:blipFill>
                    <a:blip r:embed="rId77"/>
                    <a:stretch>
                      <a:fillRect/>
                    </a:stretch>
                  </pic:blipFill>
                  <pic:spPr>
                    <a:xfrm>
                      <a:off x="0" y="0"/>
                      <a:ext cx="1825118" cy="288177"/>
                    </a:xfrm>
                    <a:prstGeom prst="rect"/>
                  </pic:spPr>
                </pic:pic>
              </a:graphicData>
            </a:graphic>
          </wp:inline>
        </w:drawing>
      </w:r>
    </w:p>
    <w:p>
      <w:pPr>
        <w:pStyle w:val="FirstParagraph"/>
      </w:pPr>
      <w:r>
        <w:t xml:space="preserve">Le script de préparation est</w:t>
      </w:r>
      <w:r>
        <w:t xml:space="preserve"> </w:t>
      </w:r>
      <w:r>
        <w:rPr>
          <w:bCs/>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p w14:paraId="5BB568D2" w14:textId="21268EB6" w:rsidR="003A2DEC" w:rsidRPr="00B1648B" w:rsidRDefault="003A2DEC" w:rsidP="003A2DEC">
      <w:pPr>
        <w:pStyle w:val="Titre1"/>
        <w:numPr>
          <w:ilvl w:val="0"/>
          <w:numId w:val="5"/>
        </w:numPr>
        <w:rPr>
          <w:sz w:val="36"/>
          <w:szCs w:val="36"/>
        </w:rPr>
      </w:pPr>
      <w:r w:rsidRPr="00B1648B">
        <w:rPr>
          <w:sz w:val="36"/>
          <w:szCs w:val="36"/>
        </w:rPr>
        <w:t xml:space="preserve">- la description de la veille, effectuée par le candidat </w:t>
      </w:r>
    </w:p>
    <w:p>
      <w:pPr>
        <w:pStyle w:val="BodyText"/>
      </w:pPr>
      <w:r>
        <w:rPr>
          <w:b/>
        </w:rPr>
        <w:t>Organisation de la veille</w:t>
      </w:r>
    </w:p>
    <w:p>
      <w:pPr>
        <w:pStyle w:val="FirstParagraph"/>
      </w:pPr>
      <w:r>
        <w:t xml:space="preserve">La veille porte sur trois périmètres, chacun avec ses sources et sa fréquence. Le principe directeur est de surveiller</w:t>
      </w:r>
      <w:r>
        <w:t xml:space="preserve"> </w:t>
      </w:r>
      <w:r>
        <w:rPr>
          <w:bCs/>
        </w:rPr>
        <w:t xml:space="preserve">ce que le projet utilise réellement</w:t>
      </w:r>
      <w:r>
        <w:t xml:space="preserve">, et non l'actualité de la sécurité en général : une alerte sur une bibliothèque absente du projet n'est pas une information exploitable.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BodyText"/>
      </w:pPr>
      <w:r>
        <w:rPr>
          <w:b/>
        </w:rPr>
        <w:t>Synthèse des entrées — avril à septembre 2026</w:t>
      </w:r>
    </w:p>
    <w:tbl>
      <w:tblPr>
        <w:tblStyle w:val="Table"/>
        <w:jc w:val="center"/>
        <w:tblLook w:firstRow="1" w:lastRow="0" w:firstColumn="0" w:lastColumn="0" w:noHBand="0" w:noVBand="0" w:val="0020"/>
        <w:tblW w:w="5000" w:type="pct"/>
        <w:tblLayout w:type="autofi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BodyText"/>
      </w:pPr>
      <w:r>
        <w:rPr>
          <w:b/>
        </w:rPr>
        <w:t>Les trois vulnérabilités les plus instructives</w:t>
      </w:r>
    </w:p>
    <w:bookmarkStart w:id="141" w:name="Xd91f29c2435b05e4baabc6b158360c3844bb9a5"/>
    <w:p>
      <w:pPr>
        <w:pStyle w:val="BodyText"/>
      </w:pPr>
      <w:r>
        <w:rPr>
          <w:b/>
        </w:rPr>
        <w:t>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comme un contrôle de routine intégré à l'intégration continue (§ 6, cas TS-09 du § 9).</w:t>
      </w:r>
    </w:p>
    <w:bookmarkEnd w:id="141"/>
    <w:bookmarkStart w:id="142" w:name="X6d960e4100123691763656c3dffa340a23a8c8b"/>
    <w:p>
      <w:pPr>
        <w:pStyle w:val="BodyText"/>
      </w:pPr>
      <w:r>
        <w:rPr>
          <w:b/>
        </w:rPr>
        <w:t>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rPr>
        <w:t>Le projet était partiellement protégé par sa configuration : Ollama n'écoutait que sur localhost, donc n'était pas exposé au réseau. La mise à jour a été appliquée — 0.35.1 installée, très au-delà du seuil de 0.18 fixé au § 4 du rapport d'audit — et la règle d'écoute sur la seule interface de bouclage est passée du statut d'habitude implicite à celui de consigne écrite (§ 5.2, § 6). Son application explicite par OLLAMA_HOST=127.0.0.1:11434 reste à poser sur le poste : aujourd'hui le comportement par défaut suffit, mais une mesure qui dépend d'un défaut n'est pas une mesure.</w:t>
      </w:r>
    </w:p>
    <w:p>
      <w:pPr>
        <w:pStyle w:val="BodyText"/>
      </w:pPr>
      <w:r>
        <w:t>Cette entrée éclaire rétrospectivement le choix d'architecture du § 5.2. L'arbitrage entre l'API OpenAI et un modèle local avait été tranché sur le terrain du RGPD : l'inférence locale garantit qu'aucun contenu utilisateur ne quitte l'infrastructure. La veille montre que cet arbitrage a une</w:t>
      </w:r>
      <w:r>
        <w:t xml:space="preserve"> </w:t>
      </w:r>
      <w:r>
        <w:rPr>
          <w:bCs/>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BodyText"/>
      </w:pPr>
      <w:r>
        <w:rPr>
          <w:b/>
        </w:rPr>
        <w:t>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rPr>
        <w:t xml:space="preserve">précisément pour corriger</w:t>
      </w:r>
      <w:r>
        <w:t xml:space="preserve"> </w:t>
      </w:r>
      <w:r>
        <w:t>la faille XSS de l'aperçu Markdown (§ 7.1).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rPr>
        <w:t xml:space="preserve">défense en profondeur</w:t>
      </w:r>
      <w:r>
        <w:t xml:space="preserve"> </w:t>
      </w:r>
      <w:r>
        <w:t>: le stockage du contenu en Markdown brut plutôt qu'en HTML (§ 5.2)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BodyText"/>
      </w:pPr>
      <w:r>
        <w:rPr>
          <w:b/>
        </w:rPr>
        <w:t>Évolutions réglementaires</w:t>
      </w:r>
    </w:p>
    <w:bookmarkStart w:id="145" w:name="X8c9b54b9e9bba1a773c3871acb0e6be17b651a6"/>
    <w:bookmarkEnd w:id="145"/>
    <w:bookmarkStart w:id="146" w:name="X0d3bb18a8de658abc7319f37ebc9ef8363f8570"/>
    <w:p>
      <w:pPr>
        <w:pStyle w:val="BodyText"/>
      </w:pPr>
      <w:r>
        <w:rPr>
          <w:b/>
        </w:rPr>
        <w:t>AI Act — une exigence apparue en cours de projet</w:t>
      </w:r>
    </w:p>
    <w:p>
      <w:pPr>
        <w:pStyle w:val="BodyText"/>
      </w:pPr>
      <w:r>
        <w:rPr>
          <w:b w:val="0"/>
        </w:rPr>
        <w:t>Depuis le 2 août 2026, les obligations de transparence du règlement européen sur l'intelligence artificielle sont applicables. Deux concernent HelpMeDraft : informer clairement l'utilisateur qu'il interagit avec une intelligence artificielle, et marquer les contenus générés. Le projet en couvre déjà une partie — le panneau est intitulé « Assistant IA — Ollama », l'action demandée est explicite, et aucune proposition n'est appliquée sans décision de l'utilisateur. Trois compléments restent à produire :</w:t>
      </w:r>
    </w:p>
    <w:p>
      <w:pPr>
        <w:numPr>
          <w:ilvl w:val="0"/>
          <w:numId w:val="2003"/>
        </w:numPr>
        <w:pStyle w:val="Compact"/>
      </w:pPr>
      <w:pPr>
        <w:pStyle w:val="Compact"/>
      </w:pPr>
      <w:r>
        <w:rPr>
          <w:b w:val="0"/>
        </w:rPr>
        <w:t>une mention d'information non ambiguë au premier usage de l'assistant, et non seulement un titre de panneau ;</w:t>
      </w:r>
    </w:p>
    <w:p>
      <w:pPr>
        <w:numPr>
          <w:ilvl w:val="0"/>
          <w:numId w:val="2003"/>
        </w:numPr>
        <w:pStyle w:val="Compact"/>
      </w:pPr>
      <w:pPr>
        <w:pStyle w:val="Compact"/>
      </w:pPr>
      <w:r>
        <w:rPr>
          <w:b w:val="0"/>
        </w:rPr>
        <w:t>une trace des passages issus d'une génération dans le document — la table ia conserve déjà l'information côté base (§ 5.4), il reste à l'exposer côté interface ;</w:t>
      </w:r>
    </w:p>
    <w:p>
      <w:pPr>
        <w:numPr>
          <w:ilvl w:val="0"/>
          <w:numId w:val="2003"/>
        </w:numPr>
        <w:pStyle w:val="Compact"/>
      </w:pPr>
      <w:pPr>
        <w:pStyle w:val="Compact"/>
      </w:pPr>
      <w:r>
        <w:rPr>
          <w:b w:val="0"/>
        </w:rPr>
        <w:t>une clause dédiée dans les CGU et la politique de confidentialité, distincte du consentement au traitement des données.</w:t>
      </w:r>
    </w:p>
    <w:p>
      <w:pPr>
        <w:pStyle w:val="BodyText"/>
      </w:pPr>
      <w:r>
        <w:rPr>
          <w:b w:val="0"/>
        </w:rPr>
        <w:t>Cette entrée justifie la veille comme livrable : le cahier des charges, rédigé avant l'entrée en application du règlement, ne mentionne que le RGPD. Sans ce suivi, l'application aurait été livrée non conforme à une obligation entrée en vigueur trois semaines avant la fin du développement.</w:t>
      </w:r>
    </w:p>
    <w:p>
      <w:pPr>
        <w:pStyle w:val="BodyText"/>
      </w:pPr>
      <w:r>
        <w:rPr>
          <w:b/>
        </w:rPr>
        <w:t>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rPr>
        <w:t xml:space="preserve">Pas de reprise à prévoir.</w:t>
      </w:r>
      <w:r>
        <w:t xml:space="preserve"> </w:t>
      </w:r>
      <w:r>
        <w:t>Le RGAA 4.1.2 reste en vigueur, les déclarations publiées avant la sortie de la version 5 restent valides 18 mois, et la nouvelle version « précise ou complète » les critères sans les infirmer. L'audit d'accessibilité a donc été mené sur le RGAA 4.1.2 (§ 9)</w:t>
      </w:r>
      <w:r/>
      <w:r>
        <w:rPr>
          <w:bCs/>
          <w:b/>
        </w:rPr>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BodyText"/>
      </w:pPr>
      <w:r>
        <w:rPr>
          <w:b/>
        </w:rPr>
        <w:t>Ce que la veille a changé dans le projet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rPr>
        <w:t xml:space="preserve">trois enseignements</w:t>
      </w:r>
      <w:r>
        <w:t xml:space="preserve"> </w:t>
      </w:r>
      <w:r>
        <w:t xml:space="preserve">qui ont modifié la façon dont je présente le projet lui-même :</w:t>
      </w:r>
    </w:p>
    <w:p>
      <w:pPr>
        <w:numPr>
          <w:ilvl w:val="0"/>
          <w:numId w:val="2026"/>
        </w:numPr>
      </w:pPr>
      <w:r>
        <w:rPr>
          <w:bCs/>
        </w:rPr>
        <w:t xml:space="preserve">Le canal de distribution fait partie de la surface d'attaque.</w:t>
      </w:r>
      <w:r>
        <w:t xml:space="preserve"> </w:t>
      </w:r>
      <w:r>
        <w:t>Vérifier le code d'une dépendance ne suffit pas si l'on ne maîtrise pas la version effectivement installée. Le fichier de verrouillage devient un artefact de sécurité (§ 4).</w:t>
      </w:r>
    </w:p>
    <w:p>
      <w:pPr>
        <w:numPr>
          <w:ilvl w:val="0"/>
          <w:numId w:val="2026"/>
        </w:numPr>
      </w:pPr>
      <w:r>
        <w:rPr>
          <w:bCs/>
        </w:rPr>
        <w:t xml:space="preserve">Une brique de sécurité se maintient comme le reste.</w:t>
      </w:r>
      <w:r>
        <w:t xml:space="preserve"> </w:t>
      </w:r>
      <w:r>
        <w:t>DOMPurify corrige une faille et en introduit une autre ; seule la défense en profondeur reste stable dans le temps (§ 7.1).</w:t>
      </w:r>
    </w:p>
    <w:p>
      <w:pPr>
        <w:numPr>
          <w:ilvl w:val="0"/>
          <w:numId w:val="2026"/>
        </w:numPr>
      </w:pPr>
      <w:r>
        <w:rPr>
          <w:bCs/>
        </w:rPr>
        <w:t xml:space="preserve">Le cadre réglementaire bouge pendant le projet.</w:t>
      </w:r>
      <w:r>
        <w:t xml:space="preserve"> </w:t>
      </w:r>
      <w:r>
        <w:t>Un cahier des charges n'est pas un contrat figé face au droit : il faut y confronter l'actualité normative, pas seulement les spécifications d'origine (§ 2).</w:t>
      </w:r>
    </w:p>
    <w:p w14:paraId="5E01DF46" w14:textId="77777777" w:rsidR="00B1648B" w:rsidRPr="00B1648B" w:rsidRDefault="00B1648B" w:rsidP="00B1648B">
      <w:pPr>
        <w:rPr>
          <w:rFonts w:asciiTheme="majorHAnsi" w:eastAsiaTheme="majorEastAsia" w:hAnsiTheme="majorHAnsi" w:cstheme="majorBidi"/>
          <w:color w:val="2F5496" w:themeColor="accent1" w:themeShade="BF"/>
          <w:sz w:val="36"/>
          <w:szCs w:val="36"/>
        </w:rPr>
        <w:sectPr w:rsidR="00B1648B" w:rsidRPr="00B1648B" w:rsidSect="003A2DEC">
          <w:pgSz w:w="11906" w:h="16838"/>
          <w:pgMar w:top="1134" w:right="1134" w:bottom="1134" w:left="1134" w:header="708" w:footer="708" w:gutter="0"/>
          <w:cols w:space="708"/>
          <w:titlePg/>
          <w:docGrid w:linePitch="360"/>
        </w:sectPr>
      </w:pPr>
    </w:p>
    <w:p w14:paraId="598335ED" w14:textId="7A402884" w:rsidR="003A2DEC" w:rsidRPr="003A2DEC" w:rsidRDefault="003A2DEC" w:rsidP="003A2DEC">
      <w:pPr>
        <w:pStyle w:val="Titre1"/>
        <w:numPr>
          <w:ilvl w:val="0"/>
          <w:numId w:val="5"/>
        </w:numPr>
        <w:rPr>
          <w:sz w:val="40"/>
          <w:szCs w:val="40"/>
        </w:rPr>
      </w:pPr>
      <w:r w:rsidRPr="003A2DEC">
        <w:rPr>
          <w:sz w:val="40"/>
          <w:szCs w:val="40"/>
        </w:rPr>
        <w:lastRenderedPageBreak/>
        <w:t>ANNEXES</w:t>
      </w:r>
    </w:p>
    <w:p w14:paraId="19B8A5AF" w14:textId="03A4AA59" w:rsidR="003A2DEC" w:rsidRDefault="00690DDD" w:rsidP="003A2DEC">
      <w:pPr>
        <w:pStyle w:val="Titre1"/>
        <w:numPr>
          <w:ilvl w:val="1"/>
          <w:numId w:val="5"/>
        </w:numPr>
      </w:pPr>
      <w:bookmarkStart w:id="16" w:name="_Toc198828321"/>
      <w:r>
        <w:t>Les</w:t>
      </w:r>
      <w:r w:rsidR="003A2DEC">
        <w:t xml:space="preserve"> maquettes des interfaces utilisateur</w:t>
      </w:r>
      <w:bookmarkEnd w:id="16"/>
      <w:r w:rsidR="003A2DEC">
        <w:t xml:space="preserve"> </w:t>
      </w:r>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 fichier source des planches est docs/maquettes-helpmedraft.html dans le dépôt.</w:t>
      </w:r>
    </w:p>
    <w:p>
      <w:pPr>
        <w:pStyle w:val="Figure"/>
        <w:jc w:val="center"/>
      </w:pPr>
      <w:r>
        <w:drawing>
          <wp:inline xmlns:a="http://schemas.openxmlformats.org/drawingml/2006/main" xmlns:pic="http://schemas.openxmlformats.org/drawingml/2006/picture">
            <wp:extent cx="5688000" cy="2588620"/>
            <wp:docPr id="10" name="Picture 10"/>
            <wp:cNvGraphicFramePr>
              <a:graphicFrameLocks noChangeAspect="1"/>
            </wp:cNvGraphicFramePr>
            <a:graphic>
              <a:graphicData uri="http://schemas.openxmlformats.org/drawingml/2006/picture">
                <pic:pic>
                  <pic:nvPicPr>
                    <pic:cNvPr id="0" name="image1.png"/>
                    <pic:cNvPicPr/>
                  </pic:nvPicPr>
                  <pic:blipFill>
                    <a:blip r:embed="rId29"/>
                    <a:stretch>
                      <a:fillRect/>
                    </a:stretch>
                  </pic:blipFill>
                  <pic:spPr>
                    <a:xfrm>
                      <a:off x="0" y="0"/>
                      <a:ext cx="5688000" cy="2588620"/>
                    </a:xfrm>
                    <a:prstGeom prst="rect"/>
                  </pic:spPr>
                </pic:pic>
              </a:graphicData>
            </a:graphic>
          </wp:inline>
        </w:drawing>
      </w:r>
    </w:p>
    <w:p>
      <w:pPr>
        <w:pStyle w:val="BodyText"/>
        <w:jc w:val="center"/>
      </w:pPr>
      <w:r>
        <w:rPr>
          <w:i/>
          <w:sz w:val="18"/>
        </w:rPr>
        <w:t>W-01 — Accueil (/). Composition de la page d'entrée, place du footer légal.</w:t>
      </w:r>
    </w:p>
    <w:p>
      <w:pPr>
        <w:pStyle w:val="Figure"/>
        <w:jc w:val="center"/>
      </w:pPr>
      <w:r>
        <w:drawing>
          <wp:inline xmlns:a="http://schemas.openxmlformats.org/drawingml/2006/main" xmlns:pic="http://schemas.openxmlformats.org/drawingml/2006/picture">
            <wp:extent cx="5688000" cy="3325739"/>
            <wp:docPr id="11" name="Picture 11"/>
            <wp:cNvGraphicFramePr>
              <a:graphicFrameLocks noChangeAspect="1"/>
            </wp:cNvGraphicFramePr>
            <a:graphic>
              <a:graphicData uri="http://schemas.openxmlformats.org/drawingml/2006/picture">
                <pic:pic>
                  <pic:nvPicPr>
                    <pic:cNvPr id="0" name="image2.png"/>
                    <pic:cNvPicPr/>
                  </pic:nvPicPr>
                  <pic:blipFill>
                    <a:blip r:embed="rId30"/>
                    <a:stretch>
                      <a:fillRect/>
                    </a:stretch>
                  </pic:blipFill>
                  <pic:spPr>
                    <a:xfrm>
                      <a:off x="0" y="0"/>
                      <a:ext cx="5688000" cy="3325739"/>
                    </a:xfrm>
                    <a:prstGeom prst="rect"/>
                  </pic:spPr>
                </pic:pic>
              </a:graphicData>
            </a:graphic>
          </wp:inline>
        </w:drawing>
      </w:r>
    </w:p>
    <w:p>
      <w:pPr>
        <w:pStyle w:val="BodyText"/>
        <w:jc w:val="center"/>
      </w:pPr>
      <w:r>
        <w:rPr>
          <w:i/>
          <w:sz w:val="18"/>
        </w:rPr>
        <w:t>W-02 — Inscription (/register). Politique de mot de passe affichée en continu, consentement RGPD explicite et non pré-coché.</w:t>
      </w:r>
    </w:p>
    <w:p>
      <w:pPr>
        <w:pStyle w:val="Figure"/>
        <w:jc w:val="center"/>
      </w:pPr>
      <w:r>
        <w:drawing>
          <wp:inline xmlns:a="http://schemas.openxmlformats.org/drawingml/2006/main" xmlns:pic="http://schemas.openxmlformats.org/drawingml/2006/picture">
            <wp:extent cx="5688000" cy="2571208"/>
            <wp:docPr id="12" name="Picture 12"/>
            <wp:cNvGraphicFramePr>
              <a:graphicFrameLocks noChangeAspect="1"/>
            </wp:cNvGraphicFramePr>
            <a:graphic>
              <a:graphicData uri="http://schemas.openxmlformats.org/drawingml/2006/picture">
                <pic:pic>
                  <pic:nvPicPr>
                    <pic:cNvPr id="0" name="image3.png"/>
                    <pic:cNvPicPr/>
                  </pic:nvPicPr>
                  <pic:blipFill>
                    <a:blip r:embed="rId31"/>
                    <a:stretch>
                      <a:fillRect/>
                    </a:stretch>
                  </pic:blipFill>
                  <pic:spPr>
                    <a:xfrm>
                      <a:off x="0" y="0"/>
                      <a:ext cx="5688000" cy="2571208"/>
                    </a:xfrm>
                    <a:prstGeom prst="rect"/>
                  </pic:spPr>
                </pic:pic>
              </a:graphicData>
            </a:graphic>
          </wp:inline>
        </w:drawing>
      </w: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Figure"/>
        <w:jc w:val="center"/>
      </w:pPr>
      <w:r>
        <w:drawing>
          <wp:inline xmlns:a="http://schemas.openxmlformats.org/drawingml/2006/main" xmlns:pic="http://schemas.openxmlformats.org/drawingml/2006/picture">
            <wp:extent cx="5688000" cy="2965886"/>
            <wp:docPr id="13" name="Picture 13"/>
            <wp:cNvGraphicFramePr>
              <a:graphicFrameLocks noChangeAspect="1"/>
            </wp:cNvGraphicFramePr>
            <a:graphic>
              <a:graphicData uri="http://schemas.openxmlformats.org/drawingml/2006/picture">
                <pic:pic>
                  <pic:nvPicPr>
                    <pic:cNvPr id="0" name="image4.png"/>
                    <pic:cNvPicPr/>
                  </pic:nvPicPr>
                  <pic:blipFill>
                    <a:blip r:embed="rId32"/>
                    <a:stretch>
                      <a:fillRect/>
                    </a:stretch>
                  </pic:blipFill>
                  <pic:spPr>
                    <a:xfrm>
                      <a:off x="0" y="0"/>
                      <a:ext cx="5688000" cy="2965886"/>
                    </a:xfrm>
                    <a:prstGeom prst="rect"/>
                  </pic:spPr>
                </pic:pic>
              </a:graphicData>
            </a:graphic>
          </wp:inline>
        </w:drawing>
      </w:r>
    </w:p>
    <w:p>
      <w:pPr>
        <w:pStyle w:val="BodyText"/>
        <w:jc w:val="center"/>
      </w:pPr>
      <w:r>
        <w:rPr>
          <w:i/>
          <w:sz w:val="18"/>
        </w:rPr>
        <w:t>W-04 — Tableau de bord (/dashboard). Trois compteurs de statut, trois portes d'entrée vers la rédaction, état vide explicite.</w:t>
      </w:r>
    </w:p>
    <w:p>
      <w:pPr>
        <w:pStyle w:val="Figure"/>
        <w:jc w:val="center"/>
      </w:pPr>
      <w:r>
        <w:drawing>
          <wp:inline xmlns:a="http://schemas.openxmlformats.org/drawingml/2006/main" xmlns:pic="http://schemas.openxmlformats.org/drawingml/2006/picture">
            <wp:extent cx="5688000" cy="3534686"/>
            <wp:docPr id="14" name="Picture 14"/>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5688000" cy="3534686"/>
                    </a:xfrm>
                    <a:prstGeom prst="rect"/>
                  </pic:spPr>
                </pic:pic>
              </a:graphicData>
            </a:graphic>
          </wp:inline>
        </w:drawing>
      </w:r>
    </w:p>
    <w:p>
      <w:pPr>
        <w:pStyle w:val="BodyText"/>
        <w:jc w:val="center"/>
      </w:pPr>
      <w:r>
        <w:rPr>
          <w:i/>
          <w:sz w:val="18"/>
        </w:rPr>
        <w:t>W-05 — Liste des documents (/documents). Colonne dossiers, recherche et filtre statut, pagination serveur.</w:t>
      </w:r>
    </w:p>
    <w:p>
      <w:pPr>
        <w:pStyle w:val="Figure"/>
        <w:jc w:val="center"/>
      </w:pPr>
      <w:r>
        <w:drawing>
          <wp:inline xmlns:a="http://schemas.openxmlformats.org/drawingml/2006/main" xmlns:pic="http://schemas.openxmlformats.org/drawingml/2006/picture">
            <wp:extent cx="5688000" cy="3023927"/>
            <wp:docPr id="15" name="Picture 15"/>
            <wp:cNvGraphicFramePr>
              <a:graphicFrameLocks noChangeAspect="1"/>
            </wp:cNvGraphicFramePr>
            <a:graphic>
              <a:graphicData uri="http://schemas.openxmlformats.org/drawingml/2006/picture">
                <pic:pic>
                  <pic:nvPicPr>
                    <pic:cNvPr id="0" name="image6.png"/>
                    <pic:cNvPicPr/>
                  </pic:nvPicPr>
                  <pic:blipFill>
                    <a:blip r:embed="rId34"/>
                    <a:stretch>
                      <a:fillRect/>
                    </a:stretch>
                  </pic:blipFill>
                  <pic:spPr>
                    <a:xfrm>
                      <a:off x="0" y="0"/>
                      <a:ext cx="5688000" cy="3023927"/>
                    </a:xfrm>
                    <a:prstGeom prst="rect"/>
                  </pic:spPr>
                </pic:pic>
              </a:graphicData>
            </a:graphic>
          </wp:inline>
        </w:drawing>
      </w:r>
    </w:p>
    <w:p>
      <w:pPr>
        <w:pStyle w:val="BodyText"/>
        <w:jc w:val="center"/>
      </w:pPr>
      <w:r>
        <w:rPr>
          <w:i/>
          <w:sz w:val="18"/>
        </w:rPr>
        <w:t>W-06 — Éditeur de document (/documents/:id). Les cinq zones de l'écran central, indicateur d'enregistrement, historique IA.</w:t>
      </w:r>
    </w:p>
    <w:p>
      <w:pPr>
        <w:pStyle w:val="Figure"/>
        <w:jc w:val="center"/>
      </w:pPr>
      <w:r>
        <w:drawing>
          <wp:inline xmlns:a="http://schemas.openxmlformats.org/drawingml/2006/main" xmlns:pic="http://schemas.openxmlformats.org/drawingml/2006/picture">
            <wp:extent cx="5688000" cy="3290914"/>
            <wp:docPr id="16" name="Picture 16"/>
            <wp:cNvGraphicFramePr>
              <a:graphicFrameLocks noChangeAspect="1"/>
            </wp:cNvGraphicFramePr>
            <a:graphic>
              <a:graphicData uri="http://schemas.openxmlformats.org/drawingml/2006/picture">
                <pic:pic>
                  <pic:nvPicPr>
                    <pic:cNvPr id="0" name="image7.png"/>
                    <pic:cNvPicPr/>
                  </pic:nvPicPr>
                  <pic:blipFill>
                    <a:blip r:embed="rId35"/>
                    <a:stretch>
                      <a:fillRect/>
                    </a:stretch>
                  </pic:blipFill>
                  <pic:spPr>
                    <a:xfrm>
                      <a:off x="0" y="0"/>
                      <a:ext cx="5688000" cy="3290914"/>
                    </a:xfrm>
                    <a:prstGeom prst="rect"/>
                  </pic:spPr>
                </pic:pic>
              </a:graphicData>
            </a:graphic>
          </wp:inline>
        </w:drawing>
      </w: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Figure"/>
        <w:jc w:val="center"/>
      </w:pPr>
      <w:r>
        <w:drawing>
          <wp:inline xmlns:a="http://schemas.openxmlformats.org/drawingml/2006/main" xmlns:pic="http://schemas.openxmlformats.org/drawingml/2006/picture">
            <wp:extent cx="5688000" cy="2582816"/>
            <wp:docPr id="17" name="Picture 17"/>
            <wp:cNvGraphicFramePr>
              <a:graphicFrameLocks noChangeAspect="1"/>
            </wp:cNvGraphicFramePr>
            <a:graphic>
              <a:graphicData uri="http://schemas.openxmlformats.org/drawingml/2006/picture">
                <pic:pic>
                  <pic:nvPicPr>
                    <pic:cNvPr id="0" name="image8.png"/>
                    <pic:cNvPicPr/>
                  </pic:nvPicPr>
                  <pic:blipFill>
                    <a:blip r:embed="rId36"/>
                    <a:stretch>
                      <a:fillRect/>
                    </a:stretch>
                  </pic:blipFill>
                  <pic:spPr>
                    <a:xfrm>
                      <a:off x="0" y="0"/>
                      <a:ext cx="5688000" cy="2582816"/>
                    </a:xfrm>
                    <a:prstGeom prst="rect"/>
                  </pic:spPr>
                </pic:pic>
              </a:graphicData>
            </a:graphic>
          </wp:inline>
        </w:drawing>
      </w:r>
    </w:p>
    <w:p>
      <w:pPr>
        <w:pStyle w:val="BodyText"/>
        <w:jc w:val="center"/>
      </w:pPr>
      <w:r>
        <w:rPr>
          <w:i/>
          <w:sz w:val="18"/>
        </w:rPr>
        <w:t>W-08 — Back-office (/admin). Statistiques globales, édition du rôle et du quota en ligne.</w:t>
      </w:r>
    </w:p>
    <w:p>
      <w:pPr>
        <w:pStyle w:val="Figure"/>
        <w:jc w:val="center"/>
      </w:pPr>
      <w:r>
        <w:drawing>
          <wp:inline xmlns:a="http://schemas.openxmlformats.org/drawingml/2006/main" xmlns:pic="http://schemas.openxmlformats.org/drawingml/2006/picture">
            <wp:extent cx="5688000" cy="4469143"/>
            <wp:docPr id="18" name="Picture 18"/>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BodyText"/>
        <w:jc w:val="center"/>
      </w:pPr>
      <w:r>
        <w:rPr>
          <w:i/>
          <w:sz w:val="18"/>
        </w:rPr>
        <w:t>W-09 — Enchaînement des écrans (—). Zones d'accès, gardes de navigation, transitions.</w:t>
      </w:r>
    </w:p>
    <w:p w14:paraId="5BB8E338" w14:textId="5F27DB2B" w:rsidR="003A2DEC" w:rsidRDefault="00690DDD" w:rsidP="003A2DEC">
      <w:pPr>
        <w:pStyle w:val="Titre1"/>
        <w:numPr>
          <w:ilvl w:val="1"/>
          <w:numId w:val="5"/>
        </w:numPr>
      </w:pPr>
      <w:bookmarkStart w:id="17" w:name="_Toc198828322"/>
      <w:r>
        <w:t xml:space="preserve">Les </w:t>
      </w:r>
      <w:r w:rsidR="003A2DEC">
        <w:t>captures d’écrans d’interfaces utilisateurs et le code correspondant</w:t>
      </w:r>
      <w:bookmarkEnd w:id="17"/>
      <w:r w:rsidR="003A2DEC">
        <w:t xml:space="preserve"> </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L'écran de création (C-07) ne montre pas l'indicateur d'enregistrement automatique : le document est vierge, le titre est vide, et le mécanisme ne s'arme qu'à partir d'un titre valide. La fonctionnalité est bien présente (§ 7.1) ; seule une séquence d'actions permet de l'observer, ce qui est précisément l'objet du jeu d'essai du § 10 et non d'une capture isolée.</w:t>
      </w:r>
    </w:p>
    <w:p>
      <w:pPr>
        <w:pStyle w:val="Figure"/>
        <w:jc w:val="center"/>
      </w:pPr>
      <w:r>
        <w:drawing>
          <wp:inline xmlns:a="http://schemas.openxmlformats.org/drawingml/2006/main" xmlns:pic="http://schemas.openxmlformats.org/drawingml/2006/picture">
            <wp:extent cx="2880000" cy="4669988"/>
            <wp:docPr id="19" name="Picture 19"/>
            <wp:cNvGraphicFramePr>
              <a:graphicFrameLocks noChangeAspect="1"/>
            </wp:cNvGraphicFramePr>
            <a:graphic>
              <a:graphicData uri="http://schemas.openxmlformats.org/drawingml/2006/picture">
                <pic:pic>
                  <pic:nvPicPr>
                    <pic:cNvPr id="0" name="C-01-accueil.png"/>
                    <pic:cNvPicPr/>
                  </pic:nvPicPr>
                  <pic:blipFill>
                    <a:blip r:embed="rId37"/>
                    <a:stretch>
                      <a:fillRect/>
                    </a:stretch>
                  </pic:blipFill>
                  <pic:spPr>
                    <a:xfrm>
                      <a:off x="0" y="0"/>
                      <a:ext cx="2880000" cy="4669988"/>
                    </a:xfrm>
                    <a:prstGeom prst="rect"/>
                  </pic:spPr>
                </pic:pic>
              </a:graphicData>
            </a:graphic>
          </wp:inline>
        </w:drawing>
      </w:r>
    </w:p>
    <w:p>
      <w:pPr>
        <w:pStyle w:val="ImageCaption"/>
      </w:pPr>
      <w:r>
        <w:t>Capture C-01 — accueil (/).</w:t>
      </w:r>
    </w:p>
    <w:p>
      <w:pPr>
        <w:pStyle w:val="Figure"/>
        <w:jc w:val="center"/>
      </w:pPr>
      <w:r>
        <w:drawing>
          <wp:inline xmlns:a="http://schemas.openxmlformats.org/drawingml/2006/main" xmlns:pic="http://schemas.openxmlformats.org/drawingml/2006/picture">
            <wp:extent cx="1800000" cy="3102823"/>
            <wp:docPr id="20" name="Picture 20"/>
            <wp:cNvGraphicFramePr>
              <a:graphicFrameLocks noChangeAspect="1"/>
            </wp:cNvGraphicFramePr>
            <a:graphic>
              <a:graphicData uri="http://schemas.openxmlformats.org/drawingml/2006/picture">
                <pic:pic>
                  <pic:nvPicPr>
                    <pic:cNvPr id="0" name="C-01b-accueil-mobile.png"/>
                    <pic:cNvPicPr/>
                  </pic:nvPicPr>
                  <pic:blipFill>
                    <a:blip r:embed="rId38"/>
                    <a:stretch>
                      <a:fillRect/>
                    </a:stretch>
                  </pic:blipFill>
                  <pic:spPr>
                    <a:xfrm>
                      <a:off x="0" y="0"/>
                      <a:ext cx="1800000" cy="3102823"/>
                    </a:xfrm>
                    <a:prstGeom prst="rect"/>
                  </pic:spPr>
                </pic:pic>
              </a:graphicData>
            </a:graphic>
          </wp:inline>
        </w:drawing>
      </w:r>
    </w:p>
    <w:p>
      <w:pPr>
        <w:pStyle w:val="ImageCaption"/>
      </w:pPr>
      <w:r>
        <w:t>Capture C-01b — accueil en affichage mobile.</w:t>
      </w:r>
    </w:p>
    <w:p>
      <w:pPr>
        <w:pStyle w:val="Figure"/>
        <w:jc w:val="center"/>
      </w:pPr>
      <w:r>
        <w:drawing>
          <wp:inline xmlns:a="http://schemas.openxmlformats.org/drawingml/2006/main" xmlns:pic="http://schemas.openxmlformats.org/drawingml/2006/picture">
            <wp:extent cx="4500000" cy="3460701"/>
            <wp:docPr id="21" name="Picture 21"/>
            <wp:cNvGraphicFramePr>
              <a:graphicFrameLocks noChangeAspect="1"/>
            </wp:cNvGraphicFramePr>
            <a:graphic>
              <a:graphicData uri="http://schemas.openxmlformats.org/drawingml/2006/picture">
                <pic:pic>
                  <pic:nvPicPr>
                    <pic:cNvPr id="0" name="C-02-connexion.png"/>
                    <pic:cNvPicPr/>
                  </pic:nvPicPr>
                  <pic:blipFill>
                    <a:blip r:embed="rId39"/>
                    <a:stretch>
                      <a:fillRect/>
                    </a:stretch>
                  </pic:blipFill>
                  <pic:spPr>
                    <a:xfrm>
                      <a:off x="0" y="0"/>
                      <a:ext cx="4500000" cy="3460701"/>
                    </a:xfrm>
                    <a:prstGeom prst="rect"/>
                  </pic:spPr>
                </pic:pic>
              </a:graphicData>
            </a:graphic>
          </wp:inline>
        </w:drawing>
      </w:r>
    </w:p>
    <w:p>
      <w:pPr>
        <w:pStyle w:val="ImageCaption"/>
      </w:pPr>
      <w:r>
        <w:t>Capture C-02 — connexion (/login).</w:t>
      </w:r>
    </w:p>
    <w:p>
      <w:pPr>
        <w:pStyle w:val="Figure"/>
        <w:jc w:val="center"/>
      </w:pPr>
      <w:r>
        <w:drawing>
          <wp:inline xmlns:a="http://schemas.openxmlformats.org/drawingml/2006/main" xmlns:pic="http://schemas.openxmlformats.org/drawingml/2006/picture">
            <wp:extent cx="4320000" cy="3975236"/>
            <wp:docPr id="22" name="Picture 22"/>
            <wp:cNvGraphicFramePr>
              <a:graphicFrameLocks noChangeAspect="1"/>
            </wp:cNvGraphicFramePr>
            <a:graphic>
              <a:graphicData uri="http://schemas.openxmlformats.org/drawingml/2006/picture">
                <pic:pic>
                  <pic:nvPicPr>
                    <pic:cNvPr id="0" name="C-03-inscription.png"/>
                    <pic:cNvPicPr/>
                  </pic:nvPicPr>
                  <pic:blipFill>
                    <a:blip r:embed="rId40"/>
                    <a:stretch>
                      <a:fillRect/>
                    </a:stretch>
                  </pic:blipFill>
                  <pic:spPr>
                    <a:xfrm>
                      <a:off x="0" y="0"/>
                      <a:ext cx="4320000" cy="3975236"/>
                    </a:xfrm>
                    <a:prstGeom prst="rect"/>
                  </pic:spPr>
                </pic:pic>
              </a:graphicData>
            </a:graphic>
          </wp:inline>
        </w:drawing>
      </w:r>
    </w:p>
    <w:p>
      <w:pPr>
        <w:pStyle w:val="ImageCaption"/>
      </w:pPr>
      <w:r>
        <w:t>Capture C-03 — inscription (/register).</w:t>
      </w:r>
    </w:p>
    <w:p>
      <w:pPr>
        <w:pStyle w:val="Figure"/>
        <w:jc w:val="center"/>
      </w:pPr>
      <w:r>
        <w:drawing>
          <wp:inline xmlns:a="http://schemas.openxmlformats.org/drawingml/2006/main" xmlns:pic="http://schemas.openxmlformats.org/drawingml/2006/picture">
            <wp:extent cx="4500000" cy="3460701"/>
            <wp:docPr id="23" name="Picture 23"/>
            <wp:cNvGraphicFramePr>
              <a:graphicFrameLocks noChangeAspect="1"/>
            </wp:cNvGraphicFramePr>
            <a:graphic>
              <a:graphicData uri="http://schemas.openxmlformats.org/drawingml/2006/picture">
                <pic:pic>
                  <pic:nvPicPr>
                    <pic:cNvPr id="0" name="C-04-mot-de-passe-oublie.png"/>
                    <pic:cNvPicPr/>
                  </pic:nvPicPr>
                  <pic:blipFill>
                    <a:blip r:embed="rId41"/>
                    <a:stretch>
                      <a:fillRect/>
                    </a:stretch>
                  </pic:blipFill>
                  <pic:spPr>
                    <a:xfrm>
                      <a:off x="0" y="0"/>
                      <a:ext cx="4500000" cy="3460701"/>
                    </a:xfrm>
                    <a:prstGeom prst="rect"/>
                  </pic:spPr>
                </pic:pic>
              </a:graphicData>
            </a:graphic>
          </wp:inline>
        </w:drawing>
      </w:r>
    </w:p>
    <w:p>
      <w:pPr>
        <w:pStyle w:val="ImageCaption"/>
      </w:pPr>
      <w:r>
        <w:t>Capture C-04 — mot de passe oublié (/forgot-password).</w:t>
      </w:r>
    </w:p>
    <w:p>
      <w:pPr>
        <w:pStyle w:val="Figure"/>
        <w:jc w:val="center"/>
      </w:pPr>
      <w:r>
        <w:drawing>
          <wp:inline xmlns:a="http://schemas.openxmlformats.org/drawingml/2006/main" xmlns:pic="http://schemas.openxmlformats.org/drawingml/2006/picture">
            <wp:extent cx="3960000" cy="4146747"/>
            <wp:docPr id="24" name="Picture 24"/>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960000" cy="4146747"/>
                    </a:xfrm>
                    <a:prstGeom prst="rect"/>
                  </pic:spPr>
                </pic:pic>
              </a:graphicData>
            </a:graphic>
          </wp:inline>
        </w:drawing>
      </w:r>
    </w:p>
    <w:p>
      <w:pPr>
        <w:pStyle w:val="ImageCaption"/>
      </w:pPr>
      <w:r>
        <w:t>Capture C-05 — tableau de bord (/dashboard).</w:t>
      </w:r>
    </w:p>
    <w:p>
      <w:pPr>
        <w:pStyle w:val="Figure"/>
        <w:jc w:val="center"/>
      </w:pPr>
      <w:r>
        <w:drawing>
          <wp:inline xmlns:a="http://schemas.openxmlformats.org/drawingml/2006/main" xmlns:pic="http://schemas.openxmlformats.org/drawingml/2006/picture">
            <wp:extent cx="4500000" cy="3460701"/>
            <wp:docPr id="25" name="Picture 25"/>
            <wp:cNvGraphicFramePr>
              <a:graphicFrameLocks noChangeAspect="1"/>
            </wp:cNvGraphicFramePr>
            <a:graphic>
              <a:graphicData uri="http://schemas.openxmlformats.org/drawingml/2006/picture">
                <pic:pic>
                  <pic:nvPicPr>
                    <pic:cNvPr id="0" name="C-06-liste-documents.png"/>
                    <pic:cNvPicPr/>
                  </pic:nvPicPr>
                  <pic:blipFill>
                    <a:blip r:embed="rId42"/>
                    <a:stretch>
                      <a:fillRect/>
                    </a:stretch>
                  </pic:blipFill>
                  <pic:spPr>
                    <a:xfrm>
                      <a:off x="0" y="0"/>
                      <a:ext cx="4500000" cy="3460701"/>
                    </a:xfrm>
                    <a:prstGeom prst="rect"/>
                  </pic:spPr>
                </pic:pic>
              </a:graphicData>
            </a:graphic>
          </wp:inline>
        </w:drawing>
      </w:r>
    </w:p>
    <w:p>
      <w:pPr>
        <w:pStyle w:val="ImageCaption"/>
      </w:pPr>
      <w:r>
        <w:t>Capture C-06 — liste des documents (/documents).</w:t>
      </w:r>
    </w:p>
    <w:p>
      <w:pPr>
        <w:pStyle w:val="Figure"/>
        <w:jc w:val="center"/>
      </w:pPr>
      <w:r>
        <w:drawing>
          <wp:inline xmlns:a="http://schemas.openxmlformats.org/drawingml/2006/main" xmlns:pic="http://schemas.openxmlformats.org/drawingml/2006/picture">
            <wp:extent cx="4500000" cy="3460701"/>
            <wp:docPr id="26" name="Picture 26"/>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500000" cy="3460701"/>
                    </a:xfrm>
                    <a:prstGeom prst="rect"/>
                  </pic:spPr>
                </pic:pic>
              </a:graphicData>
            </a:graphic>
          </wp:inline>
        </w:drawing>
      </w:r>
    </w:p>
    <w:p>
      <w:pPr>
        <w:pStyle w:val="ImageCaption"/>
      </w:pPr>
      <w:r>
        <w:t>Capture C-07 — nouveau document (/documents/nouveau).</w:t>
      </w:r>
    </w:p>
    <w:p w14:paraId="5EF1C178" w14:textId="170FDB5D" w:rsidR="003A2DEC" w:rsidRDefault="00690DDD" w:rsidP="003A2DEC">
      <w:pPr>
        <w:pStyle w:val="Titre1"/>
        <w:numPr>
          <w:ilvl w:val="1"/>
          <w:numId w:val="5"/>
        </w:numPr>
      </w:pPr>
      <w:bookmarkStart w:id="18" w:name="_Toc198828323"/>
      <w:r>
        <w:t>Le</w:t>
      </w:r>
      <w:r w:rsidR="003A2DEC">
        <w:t xml:space="preserve"> code de composants métier les plus significatifs</w:t>
      </w:r>
      <w:bookmarkEnd w:id="18"/>
      <w:r w:rsidR="003A2DEC">
        <w:t xml:space="preserve"> </w:t>
      </w:r>
    </w:p>
    <w:p>
      <w:pPr>
        <w:pStyle w:val="FirstParagraph"/>
      </w:pPr>
      <w:r>
        <w:t xml:space="preserve">Fichier</w:t>
      </w:r>
      <w:r>
        <w:t xml:space="preserve"> </w:t>
      </w:r>
      <w:r>
        <w:rPr>
          <w:rStyle w:val="VerbatimChar"/>
        </w:rPr>
        <w:t xml:space="preserve">backend/app/services/auth_service.py</w:t>
      </w:r>
      <w:r>
        <w:t xml:space="preserve"> </w:t>
      </w:r>
      <w:r>
        <w:t>— composant métier le plus sensible du projet. Les fonctions de hachage de mot de passe, le cycle de vie des jetons et la rotation des refresh tokens y sont réunis.</w:t>
      </w:r>
    </w:p>
    <w:p>
      <w:pPr>
        <w:pStyle w:val="Figure"/>
        <w:spacing w:before="80" w:after="40"/>
        <w:jc w:val="left"/>
      </w:pPr>
      <w:r>
        <w:drawing>
          <wp:inline xmlns:a="http://schemas.openxmlformats.org/drawingml/2006/main" xmlns:pic="http://schemas.openxmlformats.org/drawingml/2006/picture">
            <wp:extent cx="4527015" cy="6397914"/>
            <wp:docPr id="64" name="Picture 64"/>
            <wp:cNvGraphicFramePr>
              <a:graphicFrameLocks noChangeAspect="1"/>
            </wp:cNvGraphicFramePr>
            <a:graphic>
              <a:graphicData uri="http://schemas.openxmlformats.org/drawingml/2006/picture">
                <pic:pic>
                  <pic:nvPicPr>
                    <pic:cNvPr id="0" name="675dcc0d9e1b-0.png"/>
                    <pic:cNvPicPr/>
                  </pic:nvPicPr>
                  <pic:blipFill>
                    <a:blip r:embed="rId78"/>
                    <a:stretch>
                      <a:fillRect/>
                    </a:stretch>
                  </pic:blipFill>
                  <pic:spPr>
                    <a:xfrm>
                      <a:off x="0" y="0"/>
                      <a:ext cx="4527015" cy="6397914"/>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623495" cy="6398372"/>
            <wp:docPr id="65" name="Picture 65"/>
            <wp:cNvGraphicFramePr>
              <a:graphicFrameLocks noChangeAspect="1"/>
            </wp:cNvGraphicFramePr>
            <a:graphic>
              <a:graphicData uri="http://schemas.openxmlformats.org/drawingml/2006/picture">
                <pic:pic>
                  <pic:nvPicPr>
                    <pic:cNvPr id="0" name="675dcc0d9e1b-1.png"/>
                    <pic:cNvPicPr/>
                  </pic:nvPicPr>
                  <pic:blipFill>
                    <a:blip r:embed="rId79"/>
                    <a:stretch>
                      <a:fillRect/>
                    </a:stretch>
                  </pic:blipFill>
                  <pic:spPr>
                    <a:xfrm>
                      <a:off x="0" y="0"/>
                      <a:ext cx="4623495" cy="6398372"/>
                    </a:xfrm>
                    <a:prstGeom prst="rect"/>
                  </pic:spPr>
                </pic:pic>
              </a:graphicData>
            </a:graphic>
          </wp:inline>
        </w:drawing>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Figure"/>
        <w:spacing w:before="80" w:after="40"/>
        <w:jc w:val="left"/>
      </w:pPr>
      <w:r>
        <w:drawing>
          <wp:inline xmlns:a="http://schemas.openxmlformats.org/drawingml/2006/main" xmlns:pic="http://schemas.openxmlformats.org/drawingml/2006/picture">
            <wp:extent cx="4478743" cy="5896878"/>
            <wp:docPr id="66" name="Picture 66"/>
            <wp:cNvGraphicFramePr>
              <a:graphicFrameLocks noChangeAspect="1"/>
            </wp:cNvGraphicFramePr>
            <a:graphic>
              <a:graphicData uri="http://schemas.openxmlformats.org/drawingml/2006/picture">
                <pic:pic>
                  <pic:nvPicPr>
                    <pic:cNvPr id="0" name="57740303416d-0.png"/>
                    <pic:cNvPicPr/>
                  </pic:nvPicPr>
                  <pic:blipFill>
                    <a:blip r:embed="rId80"/>
                    <a:stretch>
                      <a:fillRect/>
                    </a:stretch>
                  </pic:blipFill>
                  <pic:spPr>
                    <a:xfrm>
                      <a:off x="0" y="0"/>
                      <a:ext cx="4478743" cy="5896878"/>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333991" cy="5896150"/>
            <wp:docPr id="67" name="Picture 67"/>
            <wp:cNvGraphicFramePr>
              <a:graphicFrameLocks noChangeAspect="1"/>
            </wp:cNvGraphicFramePr>
            <a:graphic>
              <a:graphicData uri="http://schemas.openxmlformats.org/drawingml/2006/picture">
                <pic:pic>
                  <pic:nvPicPr>
                    <pic:cNvPr id="0" name="57740303416d-1.png"/>
                    <pic:cNvPicPr/>
                  </pic:nvPicPr>
                  <pic:blipFill>
                    <a:blip r:embed="rId81"/>
                    <a:stretch>
                      <a:fillRect/>
                    </a:stretch>
                  </pic:blipFill>
                  <pic:spPr>
                    <a:xfrm>
                      <a:off x="0" y="0"/>
                      <a:ext cx="4333991" cy="5896150"/>
                    </a:xfrm>
                    <a:prstGeom prst="rect"/>
                  </pic:spPr>
                </pic:pic>
              </a:graphicData>
            </a:graphic>
          </wp:inline>
        </w:drawing>
      </w:r>
    </w:p>
    <w:p w14:paraId="7B980889" w14:textId="565F30FC" w:rsidR="003A2DEC" w:rsidRDefault="00690DDD" w:rsidP="003A2DEC">
      <w:pPr>
        <w:pStyle w:val="Titre1"/>
        <w:numPr>
          <w:ilvl w:val="1"/>
          <w:numId w:val="5"/>
        </w:numPr>
      </w:pPr>
      <w:bookmarkStart w:id="19" w:name="_Toc198828324"/>
      <w:r>
        <w:t>Le</w:t>
      </w:r>
      <w:r w:rsidR="003A2DEC">
        <w:t xml:space="preserve"> code de composants d’accès aux données les plus significatifs</w:t>
      </w:r>
      <w:bookmarkEnd w:id="19"/>
      <w:r w:rsidR="003A2DEC">
        <w:t xml:space="preserve"> </w:t>
      </w:r>
    </w:p>
    <w:p>
      <w:pPr>
        <w:pStyle w:val="BodyText"/>
      </w:pPr>
      <w:r>
        <w:rPr>
          <w:b/>
        </w:rPr>
        <w:t>Modèles SQLAlchemy — backend/database/db.py (extrait)</w:t>
      </w:r>
    </w:p>
    <w:p>
      <w:pPr>
        <w:pStyle w:val="Figure"/>
        <w:spacing w:before="80" w:after="40"/>
        <w:jc w:val="left"/>
      </w:pPr>
      <w:r>
        <w:drawing>
          <wp:inline xmlns:a="http://schemas.openxmlformats.org/drawingml/2006/main" xmlns:pic="http://schemas.openxmlformats.org/drawingml/2006/picture">
            <wp:extent cx="4478743" cy="5796727"/>
            <wp:docPr id="68" name="Picture 68"/>
            <wp:cNvGraphicFramePr>
              <a:graphicFrameLocks noChangeAspect="1"/>
            </wp:cNvGraphicFramePr>
            <a:graphic>
              <a:graphicData uri="http://schemas.openxmlformats.org/drawingml/2006/picture">
                <pic:pic>
                  <pic:nvPicPr>
                    <pic:cNvPr id="0" name="9b702a919fcc-0.png"/>
                    <pic:cNvPicPr/>
                  </pic:nvPicPr>
                  <pic:blipFill>
                    <a:blip r:embed="rId82"/>
                    <a:stretch>
                      <a:fillRect/>
                    </a:stretch>
                  </pic:blipFill>
                  <pic:spPr>
                    <a:xfrm>
                      <a:off x="0" y="0"/>
                      <a:ext cx="4478743" cy="5796727"/>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913000" cy="5693795"/>
            <wp:docPr id="69" name="Picture 69"/>
            <wp:cNvGraphicFramePr>
              <a:graphicFrameLocks noChangeAspect="1"/>
            </wp:cNvGraphicFramePr>
            <a:graphic>
              <a:graphicData uri="http://schemas.openxmlformats.org/drawingml/2006/picture">
                <pic:pic>
                  <pic:nvPicPr>
                    <pic:cNvPr id="0" name="9b702a919fcc-1.png"/>
                    <pic:cNvPicPr/>
                  </pic:nvPicPr>
                  <pic:blipFill>
                    <a:blip r:embed="rId83"/>
                    <a:stretch>
                      <a:fillRect/>
                    </a:stretch>
                  </pic:blipFill>
                  <pic:spPr>
                    <a:xfrm>
                      <a:off x="0" y="0"/>
                      <a:ext cx="4913000" cy="5693795"/>
                    </a:xfrm>
                    <a:prstGeom prst="rect"/>
                  </pic:spPr>
                </pic:pic>
              </a:graphicData>
            </a:graphic>
          </wp:inline>
        </w:drawing>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BodyText"/>
      </w:pPr>
      <w:r>
        <w:rPr>
          <w:b/>
        </w:rPr>
        <w:t>Comptage du quota IA sur fenêtre glissante — backend/app/routes/ia_route.py</w:t>
      </w:r>
    </w:p>
    <w:p>
      <w:pPr>
        <w:pStyle w:val="Figure"/>
        <w:spacing w:before="80" w:after="40"/>
        <w:jc w:val="left"/>
      </w:pPr>
      <w:r>
        <w:drawing>
          <wp:inline xmlns:a="http://schemas.openxmlformats.org/drawingml/2006/main" xmlns:pic="http://schemas.openxmlformats.org/drawingml/2006/picture">
            <wp:extent cx="4768248" cy="1290232"/>
            <wp:docPr id="70" name="Picture 70"/>
            <wp:cNvGraphicFramePr>
              <a:graphicFrameLocks noChangeAspect="1"/>
            </wp:cNvGraphicFramePr>
            <a:graphic>
              <a:graphicData uri="http://schemas.openxmlformats.org/drawingml/2006/picture">
                <pic:pic>
                  <pic:nvPicPr>
                    <pic:cNvPr id="0" name="06dda4568a20-0.png"/>
                    <pic:cNvPicPr/>
                  </pic:nvPicPr>
                  <pic:blipFill>
                    <a:blip r:embed="rId84"/>
                    <a:stretch>
                      <a:fillRect/>
                    </a:stretch>
                  </pic:blipFill>
                  <pic:spPr>
                    <a:xfrm>
                      <a:off x="0" y="0"/>
                      <a:ext cx="4768248" cy="1290232"/>
                    </a:xfrm>
                    <a:prstGeom prst="rect"/>
                  </pic:spPr>
                </pic:pic>
              </a:graphicData>
            </a:graphic>
          </wp:inline>
        </w:drawing>
      </w:r>
    </w:p>
    <w:bookmarkEnd w:id="150"/>
    <w:bookmarkStart w:id="151" w:name="Xfce21c87c8fcc2b35b1275a19d81452a011b660"/>
    <w:p>
      <w:pPr>
        <w:pStyle w:val="BodyText"/>
      </w:pPr>
      <w:r>
        <w:rPr>
          <w:b/>
        </w:rPr>
        <w:t>Script de modification de la base — backend/database/migration_durcissement.sql</w:t>
      </w:r>
    </w:p>
    <w:p>
      <w:pPr>
        <w:pStyle w:val="FirstParagraph"/>
      </w:pPr>
      <w:r>
        <w:t xml:space="preserve">Le script de</w:t>
      </w:r>
      <w:r>
        <w:t xml:space="preserve"> </w:t>
      </w:r>
      <w:r>
        <w:rPr>
          <w:bCs/>
        </w:rPr>
        <w:t xml:space="preserve">création</w:t>
      </w:r>
      <w:r>
        <w:t xml:space="preserve"> </w:t>
      </w:r>
      <w:r>
        <w:t xml:space="preserve">complet (</w:t>
      </w:r>
      <w:r>
        <w:rPr>
          <w:rStyle w:val="VerbatimChar"/>
        </w:rPr>
        <w:t xml:space="preserve">backend/database/schema_mysql.sql</w:t>
      </w:r>
      <w:r>
        <w:t>, sept tables, MySQL 8) est versionné dans le dépôt ; ses extraits significatifs figurent en § 5.5. Le script de</w:t>
      </w:r>
      <w:r>
        <w:t xml:space="preserve"> </w:t>
      </w:r>
      <w:r>
        <w:rPr>
          <w:bCs/>
        </w:rPr>
        <w:t xml:space="preserve">migration</w:t>
      </w:r>
      <w:r>
        <w:t xml:space="preserve"> </w:t>
      </w:r>
      <w:r>
        <w:t>est reproduit ici intégralement, car l'ordre de ses opérations porte un raisonnement (§ 5.5).</w:t>
      </w:r>
    </w:p>
    <w:p>
      <w:pPr>
        <w:pStyle w:val="Figure"/>
        <w:spacing w:before="80" w:after="40"/>
        <w:jc w:val="left"/>
      </w:pPr>
      <w:r>
        <w:drawing>
          <wp:inline xmlns:a="http://schemas.openxmlformats.org/drawingml/2006/main" xmlns:pic="http://schemas.openxmlformats.org/drawingml/2006/picture">
            <wp:extent cx="4575286" cy="4394999"/>
            <wp:docPr id="71" name="Picture 71"/>
            <wp:cNvGraphicFramePr>
              <a:graphicFrameLocks noChangeAspect="1"/>
            </wp:cNvGraphicFramePr>
            <a:graphic>
              <a:graphicData uri="http://schemas.openxmlformats.org/drawingml/2006/picture">
                <pic:pic>
                  <pic:nvPicPr>
                    <pic:cNvPr id="0" name="5778c3842e65-0.png"/>
                    <pic:cNvPicPr/>
                  </pic:nvPicPr>
                  <pic:blipFill>
                    <a:blip r:embed="rId85"/>
                    <a:stretch>
                      <a:fillRect/>
                    </a:stretch>
                  </pic:blipFill>
                  <pic:spPr>
                    <a:xfrm>
                      <a:off x="0" y="0"/>
                      <a:ext cx="4575286" cy="4394999"/>
                    </a:xfrm>
                    <a:prstGeom prst="rect"/>
                  </pic:spPr>
                </pic:pic>
              </a:graphicData>
            </a:graphic>
          </wp:inline>
        </w:drawing>
      </w:r>
    </w:p>
    <w:p w14:paraId="1579EE44" w14:textId="6AFE7256" w:rsidR="00E93063" w:rsidRDefault="00690DDD" w:rsidP="003A2DEC">
      <w:pPr>
        <w:pStyle w:val="Titre1"/>
        <w:numPr>
          <w:ilvl w:val="1"/>
          <w:numId w:val="5"/>
        </w:numPr>
      </w:pPr>
      <w:bookmarkStart w:id="20" w:name="_Toc198828325"/>
      <w:r>
        <w:t>Le</w:t>
      </w:r>
      <w:r w:rsidR="003A2DEC">
        <w:t xml:space="preserve"> code d’autres composants</w:t>
      </w:r>
      <w:bookmarkEnd w:id="20"/>
    </w:p>
    <w:p>
      <w:pPr>
        <w:pStyle w:val="BodyText"/>
      </w:pPr>
      <w:r>
        <w:rPr>
          <w:b/>
        </w:rPr>
        <w:t>Configuration — backend/app/config.py</w:t>
      </w:r>
    </w:p>
    <w:p>
      <w:pPr>
        <w:pStyle w:val="Figure"/>
        <w:spacing w:before="80" w:after="40"/>
        <w:jc w:val="left"/>
      </w:pPr>
      <w:r>
        <w:drawing>
          <wp:inline xmlns:a="http://schemas.openxmlformats.org/drawingml/2006/main" xmlns:pic="http://schemas.openxmlformats.org/drawingml/2006/picture">
            <wp:extent cx="4141029" cy="4593579"/>
            <wp:docPr id="72" name="Picture 72"/>
            <wp:cNvGraphicFramePr>
              <a:graphicFrameLocks noChangeAspect="1"/>
            </wp:cNvGraphicFramePr>
            <a:graphic>
              <a:graphicData uri="http://schemas.openxmlformats.org/drawingml/2006/picture">
                <pic:pic>
                  <pic:nvPicPr>
                    <pic:cNvPr id="0" name="41fc829b03d9-0.png"/>
                    <pic:cNvPicPr/>
                  </pic:nvPicPr>
                  <pic:blipFill>
                    <a:blip r:embed="rId86"/>
                    <a:stretch>
                      <a:fillRect/>
                    </a:stretch>
                  </pic:blipFill>
                  <pic:spPr>
                    <a:xfrm>
                      <a:off x="0" y="0"/>
                      <a:ext cx="4141029" cy="4593579"/>
                    </a:xfrm>
                    <a:prstGeom prst="rect"/>
                  </pic:spPr>
                </pic:pic>
              </a:graphicData>
            </a:graphic>
          </wp:inline>
        </w:drawing>
      </w:r>
    </w:p>
    <w:bookmarkEnd w:id="152"/>
    <w:bookmarkStart w:id="153" w:name="X90e9e025862eecf6a50b6e482e5a1555e338c27"/>
    <w:p>
      <w:pPr>
        <w:pStyle w:val="BodyText"/>
      </w:pPr>
      <w:r>
        <w:rPr>
          <w:b/>
        </w:rPr>
        <w:t>Décorateur d'authentification et gardes de blueprint</w:t>
      </w:r>
    </w:p>
    <w:p>
      <w:pPr>
        <w:pStyle w:val="Figure"/>
        <w:spacing w:before="80" w:after="40"/>
        <w:jc w:val="left"/>
      </w:pPr>
      <w:r>
        <w:drawing>
          <wp:inline xmlns:a="http://schemas.openxmlformats.org/drawingml/2006/main" xmlns:pic="http://schemas.openxmlformats.org/drawingml/2006/picture">
            <wp:extent cx="3465540" cy="1490383"/>
            <wp:docPr id="73" name="Picture 73"/>
            <wp:cNvGraphicFramePr>
              <a:graphicFrameLocks noChangeAspect="1"/>
            </wp:cNvGraphicFramePr>
            <a:graphic>
              <a:graphicData uri="http://schemas.openxmlformats.org/drawingml/2006/picture">
                <pic:pic>
                  <pic:nvPicPr>
                    <pic:cNvPr id="0" name="bc7bb9330e5a-0.png"/>
                    <pic:cNvPicPr/>
                  </pic:nvPicPr>
                  <pic:blipFill>
                    <a:blip r:embed="rId66"/>
                    <a:stretch>
                      <a:fillRect/>
                    </a:stretch>
                  </pic:blipFill>
                  <pic:spPr>
                    <a:xfrm>
                      <a:off x="0" y="0"/>
                      <a:ext cx="3465540" cy="1490383"/>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3465540" cy="1490383"/>
            <wp:docPr id="74" name="Picture 74"/>
            <wp:cNvGraphicFramePr>
              <a:graphicFrameLocks noChangeAspect="1"/>
            </wp:cNvGraphicFramePr>
            <a:graphic>
              <a:graphicData uri="http://schemas.openxmlformats.org/drawingml/2006/picture">
                <pic:pic>
                  <pic:nvPicPr>
                    <pic:cNvPr id="0" name="bc7bb9330e5a-0.png"/>
                    <pic:cNvPicPr/>
                  </pic:nvPicPr>
                  <pic:blipFill>
                    <a:blip r:embed="rId66"/>
                    <a:stretch>
                      <a:fillRect/>
                    </a:stretch>
                  </pic:blipFill>
                  <pic:spPr>
                    <a:xfrm>
                      <a:off x="0" y="0"/>
                      <a:ext cx="3465540" cy="1490383"/>
                    </a:xfrm>
                    <a:prstGeom prst="rect"/>
                  </pic:spPr>
                </pic:pic>
              </a:graphicData>
            </a:graphic>
          </wp:inline>
        </w:drawing>
      </w:r>
    </w:p>
    <w:p>
      <w:pPr>
        <w:pStyle w:val="Figure"/>
        <w:spacing w:before="80" w:after="40"/>
        <w:jc w:val="left"/>
      </w:pPr>
      <w:r>
        <w:drawing>
          <wp:inline xmlns:a="http://schemas.openxmlformats.org/drawingml/2006/main" xmlns:pic="http://schemas.openxmlformats.org/drawingml/2006/picture">
            <wp:extent cx="2066351" cy="587531"/>
            <wp:docPr id="75" name="Picture 75"/>
            <wp:cNvGraphicFramePr>
              <a:graphicFrameLocks noChangeAspect="1"/>
            </wp:cNvGraphicFramePr>
            <a:graphic>
              <a:graphicData uri="http://schemas.openxmlformats.org/drawingml/2006/picture">
                <pic:pic>
                  <pic:nvPicPr>
                    <pic:cNvPr id="0" name="b83787c0fe8e-0.png"/>
                    <pic:cNvPicPr/>
                  </pic:nvPicPr>
                  <pic:blipFill>
                    <a:blip r:embed="rId87"/>
                    <a:stretch>
                      <a:fillRect/>
                    </a:stretch>
                  </pic:blipFill>
                  <pic:spPr>
                    <a:xfrm>
                      <a:off x="0" y="0"/>
                      <a:ext cx="2066351" cy="587531"/>
                    </a:xfrm>
                    <a:prstGeom prst="rect"/>
                  </pic:spPr>
                </pic:pic>
              </a:graphicData>
            </a:graphic>
          </wp:inline>
        </w:drawing>
      </w:r>
    </w:p>
    <w:p>
      <w:pPr>
        <w:pStyle w:val="Figure"/>
        <w:spacing w:before="80" w:after="40"/>
        <w:jc w:val="left"/>
      </w:pPr>
      <w:r>
        <w:drawing>
          <wp:inline xmlns:a="http://schemas.openxmlformats.org/drawingml/2006/main" xmlns:pic="http://schemas.openxmlformats.org/drawingml/2006/picture">
            <wp:extent cx="3899796" cy="1489450"/>
            <wp:docPr id="76" name="Picture 76"/>
            <wp:cNvGraphicFramePr>
              <a:graphicFrameLocks noChangeAspect="1"/>
            </wp:cNvGraphicFramePr>
            <a:graphic>
              <a:graphicData uri="http://schemas.openxmlformats.org/drawingml/2006/picture">
                <pic:pic>
                  <pic:nvPicPr>
                    <pic:cNvPr id="0" name="ee3a00f3bfe2-0.png"/>
                    <pic:cNvPicPr/>
                  </pic:nvPicPr>
                  <pic:blipFill>
                    <a:blip r:embed="rId68"/>
                    <a:stretch>
                      <a:fillRect/>
                    </a:stretch>
                  </pic:blipFill>
                  <pic:spPr>
                    <a:xfrm>
                      <a:off x="0" y="0"/>
                      <a:ext cx="3899796" cy="1489450"/>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3899796" cy="1489450"/>
            <wp:docPr id="77" name="Picture 77"/>
            <wp:cNvGraphicFramePr>
              <a:graphicFrameLocks noChangeAspect="1"/>
            </wp:cNvGraphicFramePr>
            <a:graphic>
              <a:graphicData uri="http://schemas.openxmlformats.org/drawingml/2006/picture">
                <pic:pic>
                  <pic:nvPicPr>
                    <pic:cNvPr id="0" name="ee3a00f3bfe2-0.png"/>
                    <pic:cNvPicPr/>
                  </pic:nvPicPr>
                  <pic:blipFill>
                    <a:blip r:embed="rId68"/>
                    <a:stretch>
                      <a:fillRect/>
                    </a:stretch>
                  </pic:blipFill>
                  <pic:spPr>
                    <a:xfrm>
                      <a:off x="0" y="0"/>
                      <a:ext cx="3899796" cy="1489450"/>
                    </a:xfrm>
                    <a:prstGeom prst="rect"/>
                  </pic:spPr>
                </pic:pic>
              </a:graphicData>
            </a:graphic>
          </wp:inline>
        </w:drawing>
      </w:r>
    </w:p>
    <w:bookmarkEnd w:id="153"/>
    <w:bookmarkStart w:id="154" w:name="c-pose-du-cookie-de-refresh"/>
    <w:p>
      <w:pPr>
        <w:pStyle w:val="BodyText"/>
      </w:pPr>
      <w:r>
        <w:rPr>
          <w:b/>
        </w:rPr>
        <w:t>Pose du cookie de refresh</w:t>
      </w:r>
    </w:p>
    <w:p>
      <w:pPr>
        <w:pStyle w:val="Figure"/>
        <w:spacing w:before="80" w:after="40"/>
        <w:jc w:val="left"/>
      </w:pPr>
      <w:r>
        <w:drawing>
          <wp:inline xmlns:a="http://schemas.openxmlformats.org/drawingml/2006/main" xmlns:pic="http://schemas.openxmlformats.org/drawingml/2006/picture">
            <wp:extent cx="2645360" cy="1288663"/>
            <wp:docPr id="78" name="Picture 78"/>
            <wp:cNvGraphicFramePr>
              <a:graphicFrameLocks noChangeAspect="1"/>
            </wp:cNvGraphicFramePr>
            <a:graphic>
              <a:graphicData uri="http://schemas.openxmlformats.org/drawingml/2006/picture">
                <pic:pic>
                  <pic:nvPicPr>
                    <pic:cNvPr id="0" name="afc7fbd04354-0.png"/>
                    <pic:cNvPicPr/>
                  </pic:nvPicPr>
                  <pic:blipFill>
                    <a:blip r:embed="rId88"/>
                    <a:stretch>
                      <a:fillRect/>
                    </a:stretch>
                  </pic:blipFill>
                  <pic:spPr>
                    <a:xfrm>
                      <a:off x="0" y="0"/>
                      <a:ext cx="2645360" cy="1288663"/>
                    </a:xfrm>
                    <a:prstGeom prst="rect"/>
                  </pic:spPr>
                </pic:pic>
              </a:graphicData>
            </a:graphic>
          </wp:inline>
        </w:drawing>
      </w:r>
    </w:p>
    <w:bookmarkEnd w:id="154"/>
    <w:bookmarkStart w:id="155" w:name="d-validation-dun-payload-de-document"/>
    <w:p>
      <w:pPr>
        <w:pStyle w:val="BodyText"/>
      </w:pPr>
      <w:r>
        <w:rPr>
          <w:b/>
        </w:rPr>
        <w:t>Validation d'un payload de document</w:t>
      </w:r>
    </w:p>
    <w:p>
      <w:pPr>
        <w:pStyle w:val="Figure"/>
        <w:spacing w:before="80" w:after="40"/>
        <w:jc w:val="left"/>
      </w:pPr>
      <w:r>
        <w:drawing>
          <wp:inline xmlns:a="http://schemas.openxmlformats.org/drawingml/2006/main" xmlns:pic="http://schemas.openxmlformats.org/drawingml/2006/picture">
            <wp:extent cx="4816519" cy="2490337"/>
            <wp:docPr id="79" name="Picture 79"/>
            <wp:cNvGraphicFramePr>
              <a:graphicFrameLocks noChangeAspect="1"/>
            </wp:cNvGraphicFramePr>
            <a:graphic>
              <a:graphicData uri="http://schemas.openxmlformats.org/drawingml/2006/picture">
                <pic:pic>
                  <pic:nvPicPr>
                    <pic:cNvPr id="0" name="acc63c7c66d2-0.png"/>
                    <pic:cNvPicPr/>
                  </pic:nvPicPr>
                  <pic:blipFill>
                    <a:blip r:embed="rId89"/>
                    <a:stretch>
                      <a:fillRect/>
                    </a:stretch>
                  </pic:blipFill>
                  <pic:spPr>
                    <a:xfrm>
                      <a:off x="0" y="0"/>
                      <a:ext cx="4816519" cy="2490337"/>
                    </a:xfrm>
                    <a:prstGeom prst="rect"/>
                  </pic:spPr>
                </pic:pic>
              </a:graphicData>
            </a:graphic>
          </wp:inline>
        </w:drawing>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BodyText"/>
      </w:pPr>
      <w:r>
        <w:rPr>
          <w:b/>
        </w:rPr>
        <w:t>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figure en § 6 et n'est pas répété ici.</w:t>
      </w:r>
    </w:p>
    <w:bookmarkEnd w:id="156"/>
    <w:bookmarkEnd w:id="157"/>
    <w:sectPr w:rsidR="00E93063" w:rsidSect="00B1648B">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A541" w14:textId="77777777" w:rsidR="000D108C" w:rsidRDefault="000D108C" w:rsidP="00690DDD">
      <w:pPr>
        <w:spacing w:after="0" w:line="240" w:lineRule="auto"/>
      </w:pPr>
      <w:r>
        <w:separator/>
      </w:r>
    </w:p>
  </w:endnote>
  <w:endnote w:type="continuationSeparator" w:id="0">
    <w:p w14:paraId="776BEB96" w14:textId="77777777" w:rsidR="000D108C" w:rsidRDefault="000D108C" w:rsidP="00690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12D7" w14:textId="77777777" w:rsidR="00B1648B" w:rsidRDefault="00B1648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9756"/>
      <w:docPartObj>
        <w:docPartGallery w:val="Page Numbers (Bottom of Page)"/>
        <w:docPartUnique/>
      </w:docPartObj>
    </w:sdtPr>
    <w:sdtContent>
      <w:p w14:paraId="2190503C" w14:textId="520E32EE" w:rsidR="00F610BC" w:rsidRDefault="00F610BC">
        <w:pPr>
          <w:pStyle w:val="Pieddepage"/>
          <w:jc w:val="center"/>
        </w:pPr>
        <w:r>
          <w:fldChar w:fldCharType="begin"/>
        </w:r>
        <w:r>
          <w:instrText>PAGE   \* MERGEFORMAT</w:instrText>
        </w:r>
        <w:r>
          <w:fldChar w:fldCharType="separate"/>
        </w:r>
        <w:r>
          <w:t>2</w:t>
        </w:r>
        <w:r>
          <w:fldChar w:fldCharType="end"/>
        </w:r>
      </w:p>
    </w:sdtContent>
  </w:sdt>
  <w:p w14:paraId="55388942" w14:textId="77777777" w:rsidR="00690DDD" w:rsidRDefault="00690DD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53841"/>
      <w:docPartObj>
        <w:docPartGallery w:val="Page Numbers (Bottom of Page)"/>
        <w:docPartUnique/>
      </w:docPartObj>
    </w:sdtPr>
    <w:sdtContent>
      <w:p w14:paraId="42F6E005" w14:textId="23BF6BBC" w:rsidR="00B1648B" w:rsidRDefault="00B1648B">
        <w:pPr>
          <w:pStyle w:val="Pieddepage"/>
          <w:jc w:val="center"/>
        </w:pPr>
        <w:r>
          <w:fldChar w:fldCharType="begin"/>
        </w:r>
        <w:r>
          <w:instrText>PAGE   \* MERGEFORMAT</w:instrText>
        </w:r>
        <w:r>
          <w:fldChar w:fldCharType="separate"/>
        </w:r>
        <w:r>
          <w:t>2</w:t>
        </w:r>
        <w:r>
          <w:fldChar w:fldCharType="end"/>
        </w:r>
      </w:p>
    </w:sdtContent>
  </w:sdt>
  <w:p w14:paraId="5B7A6760" w14:textId="77777777" w:rsidR="00F610BC" w:rsidRDefault="00F610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67AC" w14:textId="77777777" w:rsidR="000D108C" w:rsidRDefault="000D108C" w:rsidP="00690DDD">
      <w:pPr>
        <w:spacing w:after="0" w:line="240" w:lineRule="auto"/>
      </w:pPr>
      <w:r>
        <w:separator/>
      </w:r>
    </w:p>
  </w:footnote>
  <w:footnote w:type="continuationSeparator" w:id="0">
    <w:p w14:paraId="1FCB2E17" w14:textId="77777777" w:rsidR="000D108C" w:rsidRDefault="000D108C" w:rsidP="00690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4265" w14:textId="77777777" w:rsidR="00B1648B" w:rsidRDefault="00B1648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F9DB" w14:textId="77777777" w:rsidR="00B1648B" w:rsidRDefault="00B1648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A9F7" w14:textId="77777777" w:rsidR="00B1648B" w:rsidRDefault="00B164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D01EF"/>
    <w:multiLevelType w:val="hybridMultilevel"/>
    <w:tmpl w:val="AA343B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97D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3102BF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A3ECB"/>
    <w:multiLevelType w:val="hybridMultilevel"/>
    <w:tmpl w:val="54E07A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1113A97"/>
    <w:multiLevelType w:val="hybridMultilevel"/>
    <w:tmpl w:val="60C600FC"/>
    <w:lvl w:ilvl="0" w:tplc="2FA8B2A8">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C8A42F5"/>
    <w:multiLevelType w:val="hybridMultilevel"/>
    <w:tmpl w:val="C248C582"/>
    <w:lvl w:ilvl="0" w:tplc="797A9DEA">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7A00E32"/>
    <w:multiLevelType w:val="multilevel"/>
    <w:tmpl w:val="040C001F"/>
    <w:lvl w:ilvl="0">
      <w:start w:val="1"/>
      <w:numFmt w:val="decimal"/>
      <w:lvlText w:val="%1."/>
      <w:lvlJc w:val="left"/>
      <w:pPr>
        <w:ind w:left="720" w:hanging="72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478031">
    <w:abstractNumId w:val="0"/>
  </w:num>
  <w:num w:numId="2" w16cid:durableId="1041132882">
    <w:abstractNumId w:val="3"/>
  </w:num>
  <w:num w:numId="3" w16cid:durableId="212087928">
    <w:abstractNumId w:val="4"/>
  </w:num>
  <w:num w:numId="4" w16cid:durableId="2368294">
    <w:abstractNumId w:val="2"/>
  </w:num>
  <w:num w:numId="5" w16cid:durableId="514926290">
    <w:abstractNumId w:val="6"/>
  </w:num>
  <w:num w:numId="6" w16cid:durableId="1039630041">
    <w:abstractNumId w:val="1"/>
  </w:num>
  <w:num w:numId="7" w16cid:durableId="1784306938">
    <w:abstractNumId w:val="5"/>
  </w:num>
  <w:abstractNum w:abstractNumId="1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0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0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00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00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00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00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00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00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5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5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2000">
    <w:abstractNumId w:val="1990"/>
  </w:num>
  <w:num w:numId="200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3">
    <w:abstractNumId w:val="1991"/>
  </w:num>
  <w:num w:numId="2004">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5">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06">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07">
    <w:abstractNumId w:val="1991"/>
  </w:num>
  <w:num w:numId="200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9">
    <w:abstractNumId w:val="1991"/>
  </w:num>
  <w:num w:numId="2010">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1">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12">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3">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4">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5">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9">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0">
    <w:abstractNumId w:val="100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2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100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023">
    <w:abstractNumId w:val="995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024">
    <w:abstractNumId w:val="995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025">
    <w:abstractNumId w:val="1991"/>
  </w:num>
  <w:num w:numId="202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EC"/>
    <w:rsid w:val="000A0913"/>
    <w:rsid w:val="000D108C"/>
    <w:rsid w:val="003A2DEC"/>
    <w:rsid w:val="00491D54"/>
    <w:rsid w:val="005E2803"/>
    <w:rsid w:val="00690DDD"/>
    <w:rsid w:val="008346C6"/>
    <w:rsid w:val="00942915"/>
    <w:rsid w:val="00AC7CB9"/>
    <w:rsid w:val="00B1648B"/>
    <w:rsid w:val="00BE2CA1"/>
    <w:rsid w:val="00C53908"/>
    <w:rsid w:val="00C64EA4"/>
    <w:rsid w:val="00D36B4A"/>
    <w:rsid w:val="00E64B5A"/>
    <w:rsid w:val="00E93063"/>
    <w:rsid w:val="00F02D2D"/>
    <w:rsid w:val="00F610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C7D1"/>
  <w15:chartTrackingRefBased/>
  <w15:docId w15:val="{77A2C75E-7F08-41FF-ADFD-1B2401BB8A8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40" w:lineRule="auto"/>
    </w:pPr>
  </w:style>
  <w:style w:type="paragraph" w:styleId="Titre1">
    <w:name w:val="heading 1"/>
    <w:basedOn w:val="Normal"/>
    <w:next w:val="Normal"/>
    <w:link w:val="Titre1Car"/>
    <w:uiPriority w:val="9"/>
    <w:qFormat/>
    <w:rsid w:val="003A2DEC"/>
    <w:pPr>
      <w:keepNext/>
      <w:keepLines/>
      <w:spacing w:before="360" w:after="80"/>
      <w:outlineLvl w:val="0"/>
    </w:pPr>
    <w:rPr>
      <w:rFonts w:asciiTheme="minorHAnsi" w:eastAsiaTheme="minorEastAsia" w:hAnsiTheme="minorHAnsi" w:cstheme="minorBidi"/>
      <w:color w:val="2F5496" w:themeColor="accent1" w:themeShade="BF"/>
      <w:sz w:val="40"/>
      <w:szCs w:val="40"/>
    </w:rPr>
  </w:style>
  <w:style w:type="paragraph" w:styleId="Titre2">
    <w:name w:val="heading 2"/>
    <w:basedOn w:val="Normal"/>
    <w:next w:val="Normal"/>
    <w:link w:val="Titre2Car"/>
    <w:uiPriority w:val="9"/>
    <w:semiHidden/>
    <w:unhideWhenUsed/>
    <w:qFormat/>
    <w:rsid w:val="003A2DEC"/>
    <w:pPr>
      <w:keepNext/>
      <w:keepLines/>
      <w:spacing w:before="160" w:after="80"/>
      <w:outlineLvl w:val="1"/>
    </w:pPr>
    <w:rPr>
      <w:rFonts w:asciiTheme="minorHAnsi" w:eastAsiaTheme="minorEastAsia" w:hAnsiTheme="minorHAnsi" w:cstheme="minorBidi"/>
      <w:color w:val="2F5496" w:themeColor="accent1" w:themeShade="BF"/>
      <w:sz w:val="32"/>
      <w:szCs w:val="32"/>
    </w:rPr>
  </w:style>
  <w:style w:type="paragraph" w:styleId="Titre3">
    <w:name w:val="heading 3"/>
    <w:basedOn w:val="Normal"/>
    <w:next w:val="Normal"/>
    <w:link w:val="Titre3Car"/>
    <w:uiPriority w:val="9"/>
    <w:semiHidden/>
    <w:unhideWhenUsed/>
    <w:qFormat/>
    <w:rsid w:val="003A2DEC"/>
    <w:pPr>
      <w:keepNext/>
      <w:keepLines/>
      <w:spacing w:before="160" w:after="80"/>
      <w:outlineLvl w:val="2"/>
    </w:pPr>
    <w:rPr>
      <w:rFonts w:eastAsiaTheme="minorEastAsia" w:cstheme="minorBidi"/>
      <w:color w:val="2F5496" w:themeColor="accent1" w:themeShade="BF"/>
      <w:sz w:val="28"/>
      <w:szCs w:val="28"/>
    </w:rPr>
  </w:style>
  <w:style w:type="paragraph" w:styleId="Titre4">
    <w:name w:val="heading 4"/>
    <w:basedOn w:val="Normal"/>
    <w:next w:val="Normal"/>
    <w:link w:val="Titre4Car"/>
    <w:uiPriority w:val="9"/>
    <w:semiHidden/>
    <w:unhideWhenUsed/>
    <w:qFormat/>
    <w:rsid w:val="003A2DEC"/>
    <w:pPr>
      <w:keepNext/>
      <w:keepLines/>
      <w:spacing w:before="80" w:after="40"/>
      <w:outlineLvl w:val="3"/>
    </w:pPr>
    <w:rPr>
      <w:rFonts w:eastAsiaTheme="minorEastAsia" w:cstheme="minorBidi"/>
      <w:i/>
      <w:iCs/>
      <w:color w:val="2F5496" w:themeColor="accent1" w:themeShade="BF"/>
    </w:rPr>
  </w:style>
  <w:style w:type="paragraph" w:styleId="Titre5">
    <w:name w:val="heading 5"/>
    <w:basedOn w:val="Normal"/>
    <w:next w:val="Normal"/>
    <w:link w:val="Titre5Car"/>
    <w:uiPriority w:val="9"/>
    <w:semiHidden/>
    <w:unhideWhenUsed/>
    <w:qFormat/>
    <w:rsid w:val="003A2DEC"/>
    <w:pPr>
      <w:keepNext/>
      <w:keepLines/>
      <w:spacing w:before="80" w:after="40"/>
      <w:outlineLvl w:val="4"/>
    </w:pPr>
    <w:rPr>
      <w:rFonts w:eastAsiaTheme="minorEastAsia" w:cstheme="minorBidi"/>
      <w:color w:val="2F5496" w:themeColor="accent1" w:themeShade="BF"/>
    </w:rPr>
  </w:style>
  <w:style w:type="paragraph" w:styleId="Titre6">
    <w:name w:val="heading 6"/>
    <w:basedOn w:val="Normal"/>
    <w:next w:val="Normal"/>
    <w:link w:val="Titre6Car"/>
    <w:uiPriority w:val="9"/>
    <w:semiHidden/>
    <w:unhideWhenUsed/>
    <w:qFormat/>
    <w:rsid w:val="003A2DEC"/>
    <w:pPr>
      <w:keepNext/>
      <w:keepLines/>
      <w:spacing w:before="40" w:after="0"/>
      <w:outlineLvl w:val="5"/>
    </w:pPr>
    <w:rPr>
      <w:rFonts w:eastAsiaTheme="minorEastAsia" w:cstheme="minorBidi"/>
      <w:i/>
      <w:iCs/>
      <w:color w:val="595959" w:themeColor="text1" w:themeTint="A6"/>
    </w:rPr>
  </w:style>
  <w:style w:type="paragraph" w:styleId="Titre7">
    <w:name w:val="heading 7"/>
    <w:basedOn w:val="Normal"/>
    <w:next w:val="Normal"/>
    <w:link w:val="Titre7Car"/>
    <w:uiPriority w:val="9"/>
    <w:semiHidden/>
    <w:unhideWhenUsed/>
    <w:qFormat/>
    <w:rsid w:val="003A2DEC"/>
    <w:pPr>
      <w:keepNext/>
      <w:keepLines/>
      <w:spacing w:before="40" w:after="0"/>
      <w:outlineLvl w:val="6"/>
    </w:pPr>
    <w:rPr>
      <w:rFonts w:eastAsiaTheme="minorEastAsia" w:cstheme="minorBidi"/>
      <w:color w:val="595959" w:themeColor="text1" w:themeTint="A6"/>
    </w:rPr>
  </w:style>
  <w:style w:type="paragraph" w:styleId="Titre8">
    <w:name w:val="heading 8"/>
    <w:basedOn w:val="Normal"/>
    <w:next w:val="Normal"/>
    <w:link w:val="Titre8Car"/>
    <w:uiPriority w:val="9"/>
    <w:semiHidden/>
    <w:unhideWhenUsed/>
    <w:qFormat/>
    <w:rsid w:val="003A2DEC"/>
    <w:pPr>
      <w:keepNext/>
      <w:keepLines/>
      <w:spacing w:after="0"/>
      <w:outlineLvl w:val="7"/>
    </w:pPr>
    <w:rPr>
      <w:rFonts w:eastAsiaTheme="minorEastAsia" w:cstheme="minorBidi"/>
      <w:i/>
      <w:iCs/>
      <w:color w:val="272727" w:themeColor="text1" w:themeTint="D8"/>
    </w:rPr>
  </w:style>
  <w:style w:type="paragraph" w:styleId="Titre9">
    <w:name w:val="heading 9"/>
    <w:basedOn w:val="Normal"/>
    <w:next w:val="Normal"/>
    <w:link w:val="Titre9Car"/>
    <w:uiPriority w:val="9"/>
    <w:semiHidden/>
    <w:unhideWhenUsed/>
    <w:qFormat/>
    <w:rsid w:val="003A2DEC"/>
    <w:pPr>
      <w:keepNext/>
      <w:keepLines/>
      <w:spacing w:after="0"/>
      <w:outlineLvl w:val="8"/>
    </w:pPr>
    <w:rPr>
      <w:rFonts w:eastAsiaTheme="minorEastAsia" w:cstheme="min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2DEC"/>
    <w:rPr>
      <w:rFonts w:asciiTheme="minorHAnsi" w:eastAsiaTheme="minorEastAsia" w:hAnsiTheme="minorHAnsi" w:cstheme="minorBidi"/>
      <w:color w:val="2F5496" w:themeColor="accent1" w:themeShade="BF"/>
      <w:sz w:val="40"/>
      <w:szCs w:val="40"/>
    </w:rPr>
  </w:style>
  <w:style w:type="character" w:customStyle="1" w:styleId="Titre2Car">
    <w:name w:val="Titre 2 Car"/>
    <w:basedOn w:val="Policepardfaut"/>
    <w:link w:val="Titre2"/>
    <w:uiPriority w:val="9"/>
    <w:semiHidden/>
    <w:rsid w:val="003A2DEC"/>
    <w:rPr>
      <w:rFonts w:asciiTheme="minorHAnsi" w:eastAsiaTheme="minorEastAsia" w:hAnsiTheme="minorHAnsi" w:cstheme="minorBidi"/>
      <w:color w:val="2F5496" w:themeColor="accent1" w:themeShade="BF"/>
      <w:sz w:val="32"/>
      <w:szCs w:val="32"/>
    </w:rPr>
  </w:style>
  <w:style w:type="character" w:customStyle="1" w:styleId="Titre3Car">
    <w:name w:val="Titre 3 Car"/>
    <w:basedOn w:val="Policepardfaut"/>
    <w:link w:val="Titre3"/>
    <w:uiPriority w:val="9"/>
    <w:semiHidden/>
    <w:rsid w:val="003A2DEC"/>
    <w:rPr>
      <w:rFonts w:eastAsiaTheme="minorEastAsia" w:cstheme="minorBidi"/>
      <w:color w:val="2F5496" w:themeColor="accent1" w:themeShade="BF"/>
      <w:sz w:val="28"/>
      <w:szCs w:val="28"/>
    </w:rPr>
  </w:style>
  <w:style w:type="character" w:customStyle="1" w:styleId="Titre4Car">
    <w:name w:val="Titre 4 Car"/>
    <w:basedOn w:val="Policepardfaut"/>
    <w:link w:val="Titre4"/>
    <w:uiPriority w:val="9"/>
    <w:semiHidden/>
    <w:rsid w:val="003A2DEC"/>
    <w:rPr>
      <w:rFonts w:eastAsiaTheme="minorEastAsia" w:cstheme="minorBidi"/>
      <w:i/>
      <w:iCs/>
      <w:color w:val="2F5496" w:themeColor="accent1" w:themeShade="BF"/>
    </w:rPr>
  </w:style>
  <w:style w:type="character" w:customStyle="1" w:styleId="Titre5Car">
    <w:name w:val="Titre 5 Car"/>
    <w:basedOn w:val="Policepardfaut"/>
    <w:link w:val="Titre5"/>
    <w:uiPriority w:val="9"/>
    <w:semiHidden/>
    <w:rsid w:val="003A2DEC"/>
    <w:rPr>
      <w:rFonts w:eastAsiaTheme="minorEastAsia" w:cstheme="minorBidi"/>
      <w:color w:val="2F5496" w:themeColor="accent1" w:themeShade="BF"/>
    </w:rPr>
  </w:style>
  <w:style w:type="character" w:customStyle="1" w:styleId="Titre6Car">
    <w:name w:val="Titre 6 Car"/>
    <w:basedOn w:val="Policepardfaut"/>
    <w:link w:val="Titre6"/>
    <w:uiPriority w:val="9"/>
    <w:semiHidden/>
    <w:rsid w:val="003A2DEC"/>
    <w:rPr>
      <w:rFonts w:eastAsiaTheme="minorEastAsia" w:cstheme="minorBidi"/>
      <w:i/>
      <w:iCs/>
      <w:color w:val="595959" w:themeColor="text1" w:themeTint="A6"/>
    </w:rPr>
  </w:style>
  <w:style w:type="character" w:customStyle="1" w:styleId="Titre7Car">
    <w:name w:val="Titre 7 Car"/>
    <w:basedOn w:val="Policepardfaut"/>
    <w:link w:val="Titre7"/>
    <w:uiPriority w:val="9"/>
    <w:semiHidden/>
    <w:rsid w:val="003A2DEC"/>
    <w:rPr>
      <w:rFonts w:eastAsiaTheme="minorEastAsia" w:cstheme="minorBidi"/>
      <w:color w:val="595959" w:themeColor="text1" w:themeTint="A6"/>
    </w:rPr>
  </w:style>
  <w:style w:type="character" w:customStyle="1" w:styleId="Titre8Car">
    <w:name w:val="Titre 8 Car"/>
    <w:basedOn w:val="Policepardfaut"/>
    <w:link w:val="Titre8"/>
    <w:uiPriority w:val="9"/>
    <w:semiHidden/>
    <w:rsid w:val="003A2DEC"/>
    <w:rPr>
      <w:rFonts w:eastAsiaTheme="minorEastAsia" w:cstheme="minorBidi"/>
      <w:i/>
      <w:iCs/>
      <w:color w:val="272727" w:themeColor="text1" w:themeTint="D8"/>
    </w:rPr>
  </w:style>
  <w:style w:type="character" w:customStyle="1" w:styleId="Titre9Car">
    <w:name w:val="Titre 9 Car"/>
    <w:basedOn w:val="Policepardfaut"/>
    <w:link w:val="Titre9"/>
    <w:uiPriority w:val="9"/>
    <w:semiHidden/>
    <w:rsid w:val="003A2DEC"/>
    <w:rPr>
      <w:rFonts w:eastAsiaTheme="minorEastAsia" w:cstheme="minorBidi"/>
      <w:color w:val="272727" w:themeColor="text1" w:themeTint="D8"/>
    </w:rPr>
  </w:style>
  <w:style w:type="paragraph" w:styleId="Titre">
    <w:name w:val="Title"/>
    <w:basedOn w:val="Normal"/>
    <w:next w:val="Normal"/>
    <w:link w:val="TitreCar"/>
    <w:uiPriority w:val="10"/>
    <w:qFormat/>
    <w:rsid w:val="003A2DEC"/>
    <w:pPr>
      <w:spacing w:after="80" w:line="240" w:lineRule="auto"/>
      <w:contextualSpacing/>
    </w:pPr>
    <w:rPr>
      <w:rFonts w:asciiTheme="minorHAnsi" w:eastAsiaTheme="minorEastAsia" w:hAnsiTheme="minorHAnsi" w:cstheme="minorBidi"/>
      <w:spacing w:val="-10"/>
      <w:kern w:val="28"/>
      <w:sz w:val="56"/>
      <w:szCs w:val="56"/>
    </w:rPr>
  </w:style>
  <w:style w:type="character" w:customStyle="1" w:styleId="TitreCar">
    <w:name w:val="Titre Car"/>
    <w:basedOn w:val="Policepardfaut"/>
    <w:link w:val="Titre"/>
    <w:uiPriority w:val="10"/>
    <w:rsid w:val="003A2DEC"/>
    <w:rPr>
      <w:rFonts w:asciiTheme="minorHAnsi" w:eastAsiaTheme="minorEastAsia" w:hAnsiTheme="minorHAnsi" w:cstheme="minorBidi"/>
      <w:spacing w:val="-10"/>
      <w:kern w:val="28"/>
      <w:sz w:val="56"/>
      <w:szCs w:val="56"/>
    </w:rPr>
  </w:style>
  <w:style w:type="paragraph" w:styleId="Sous-titre">
    <w:name w:val="Subtitle"/>
    <w:basedOn w:val="Normal"/>
    <w:next w:val="Normal"/>
    <w:link w:val="Sous-titreCar"/>
    <w:uiPriority w:val="11"/>
    <w:qFormat/>
    <w:rsid w:val="003A2D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2D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2DEC"/>
    <w:pPr>
      <w:spacing w:before="160"/>
      <w:jc w:val="center"/>
    </w:pPr>
    <w:rPr>
      <w:i/>
      <w:iCs/>
      <w:color w:val="404040" w:themeColor="text1" w:themeTint="BF"/>
    </w:rPr>
  </w:style>
  <w:style w:type="character" w:customStyle="1" w:styleId="CitationCar">
    <w:name w:val="Citation Car"/>
    <w:basedOn w:val="Policepardfaut"/>
    <w:link w:val="Citation"/>
    <w:uiPriority w:val="29"/>
    <w:rsid w:val="003A2DEC"/>
    <w:rPr>
      <w:i/>
      <w:iCs/>
      <w:color w:val="404040" w:themeColor="text1" w:themeTint="BF"/>
    </w:rPr>
  </w:style>
  <w:style w:type="paragraph" w:styleId="Paragraphedeliste">
    <w:name w:val="List Paragraph"/>
    <w:basedOn w:val="Normal"/>
    <w:uiPriority w:val="34"/>
    <w:qFormat/>
    <w:rsid w:val="003A2DEC"/>
    <w:pPr>
      <w:ind w:left="720"/>
      <w:contextualSpacing/>
    </w:pPr>
  </w:style>
  <w:style w:type="character" w:styleId="Accentuationintense">
    <w:name w:val="Intense Emphasis"/>
    <w:basedOn w:val="Policepardfaut"/>
    <w:uiPriority w:val="21"/>
    <w:qFormat/>
    <w:rsid w:val="003A2DEC"/>
    <w:rPr>
      <w:i/>
      <w:iCs/>
      <w:color w:val="2F5496" w:themeColor="accent1" w:themeShade="BF"/>
    </w:rPr>
  </w:style>
  <w:style w:type="paragraph" w:styleId="Citationintense">
    <w:name w:val="Intense Quote"/>
    <w:basedOn w:val="Normal"/>
    <w:next w:val="Normal"/>
    <w:link w:val="CitationintenseCar"/>
    <w:uiPriority w:val="30"/>
    <w:qFormat/>
    <w:rsid w:val="003A2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A2DEC"/>
    <w:rPr>
      <w:i/>
      <w:iCs/>
      <w:color w:val="2F5496" w:themeColor="accent1" w:themeShade="BF"/>
    </w:rPr>
  </w:style>
  <w:style w:type="character" w:styleId="Rfrenceintense">
    <w:name w:val="Intense Reference"/>
    <w:basedOn w:val="Policepardfaut"/>
    <w:uiPriority w:val="32"/>
    <w:qFormat/>
    <w:rsid w:val="003A2DEC"/>
    <w:rPr>
      <w:b/>
      <w:bCs/>
      <w:smallCaps/>
      <w:color w:val="2F5496" w:themeColor="accent1" w:themeShade="BF"/>
      <w:spacing w:val="5"/>
    </w:rPr>
  </w:style>
  <w:style w:type="paragraph" w:styleId="Sansinterligne">
    <w:name w:val="No Spacing"/>
    <w:link w:val="SansinterligneCar"/>
    <w:uiPriority w:val="1"/>
    <w:qFormat/>
    <w:rsid w:val="003A2DE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2DEC"/>
    <w:rPr>
      <w:rFonts w:eastAsiaTheme="minorEastAsia"/>
      <w:kern w:val="0"/>
      <w:lang w:eastAsia="fr-FR"/>
      <w14:ligatures w14:val="none"/>
    </w:rPr>
  </w:style>
  <w:style w:type="paragraph" w:styleId="En-tte">
    <w:name w:val="header"/>
    <w:basedOn w:val="Normal"/>
    <w:link w:val="En-tteCar"/>
    <w:uiPriority w:val="99"/>
    <w:unhideWhenUsed/>
    <w:rsid w:val="00690DDD"/>
    <w:pPr>
      <w:tabs>
        <w:tab w:val="center" w:pos="4536"/>
        <w:tab w:val="right" w:pos="9072"/>
      </w:tabs>
      <w:spacing w:after="0" w:line="240" w:lineRule="auto"/>
    </w:pPr>
  </w:style>
  <w:style w:type="character" w:customStyle="1" w:styleId="En-tteCar">
    <w:name w:val="En-tête Car"/>
    <w:basedOn w:val="Policepardfaut"/>
    <w:link w:val="En-tte"/>
    <w:uiPriority w:val="99"/>
    <w:rsid w:val="00690DDD"/>
  </w:style>
  <w:style w:type="paragraph" w:styleId="Pieddepage">
    <w:name w:val="footer"/>
    <w:basedOn w:val="Normal"/>
    <w:link w:val="PieddepageCar"/>
    <w:uiPriority w:val="99"/>
    <w:unhideWhenUsed/>
    <w:rsid w:val="00690DD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90DDD"/>
  </w:style>
  <w:style w:type="paragraph" w:styleId="En-ttedetabledesmatires">
    <w:name w:val="TOC Heading"/>
    <w:basedOn w:val="Titre1"/>
    <w:next w:val="Normal"/>
    <w:uiPriority w:val="39"/>
    <w:unhideWhenUsed/>
    <w:qFormat/>
    <w:rsid w:val="00B1648B"/>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1648B"/>
    <w:pPr>
      <w:spacing w:after="100"/>
    </w:pPr>
  </w:style>
  <w:style w:type="character" w:styleId="Lienhypertexte">
    <w:name w:val="Hyperlink"/>
    <w:basedOn w:val="Policepardfaut"/>
    <w:uiPriority w:val="99"/>
    <w:unhideWhenUsed/>
    <w:rsid w:val="00B1648B"/>
    <w:rPr>
      <w:color w:val="0563C1" w:themeColor="hyperlink"/>
      <w:u w:val="single"/>
    </w:rPr>
  </w:style>
  <w:style w:type="paragraph" w:styleId="TM2">
    <w:name w:val="toc 2"/>
    <w:basedOn w:val="Normal"/>
    <w:next w:val="Normal"/>
    <w:autoRedefine/>
    <w:uiPriority w:val="39"/>
    <w:unhideWhenUsed/>
    <w:rsid w:val="00B1648B"/>
    <w:pPr>
      <w:spacing w:after="100"/>
      <w:ind w:left="22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1648B"/>
    <w:pPr>
      <w:spacing w:after="100"/>
      <w:ind w:left="440"/>
    </w:pPr>
    <w:rPr>
      <w:rFonts w:eastAsiaTheme="minorEastAsia" w:cs="Times New Roman"/>
      <w:kern w:val="0"/>
      <w:lang w:eastAsia="fr-FR"/>
      <w14:ligatures w14:val="none"/>
    </w:rPr>
  </w:style>
  <w:style w:styleId="BodyText" w:type="paragraph">
    <w:name w:val="Body Text"/>
    <w:basedOn w:val="Normal"/>
    <w:link w:val="BodyTextChar"/>
    <w:pPr>
      <w:spacing w:after="60" w:before="0"/>
    </w:pPr>
    <w:qFormat/>
  </w:style>
  <w:style w:customStyle="1" w:styleId="FirstParagraph" w:type="paragraph">
    <w:name w:val="First Paragraph"/>
    <w:basedOn w:val="BodyText"/>
    <w:next w:val="BodyText"/>
    <w:qFormat/>
    <w:pPr>
      <w:spacing w:before="0" w:after="60"/>
    </w:pPr>
  </w:style>
  <w:style w:customStyle="1" w:styleId="Compact" w:type="paragraph">
    <w:name w:val="Compact"/>
    <w:basedOn w:val="BodyText"/>
    <w:qFormat/>
    <w:pPr>
      <w:spacing w:after="60" w:before="0"/>
    </w:pPr>
  </w:style>
  <w:style w:styleId="Title" w:type="paragraph">
    <w:name w:val="Title"/>
    <w:basedOn w:val="Normal"/>
    <w:next w:val="BodyText"/>
    <w:qFormat/>
    <w:pPr>
      <w:keepNext/>
      <w:keepLines/>
      <w:spacing w:after="240" w:before="480"/>
      <w:jc w:val="center"/>
    </w:pPr>
    <w:rPr>
      <w:rFonts w:asciiTheme="minorHAnsi" w:cstheme="minorBidi" w:eastAsiaTheme="minorEastAsia" w:hAnsiTheme="min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120"/>
      <w:outlineLvl w:val="0"/>
    </w:pPr>
    <w:rPr>
      <w:rFonts w:asciiTheme="minorHAnsi" w:cstheme="minorBidi" w:eastAsiaTheme="minorEastAsia" w:hAnsiTheme="min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inorHAnsi" w:cstheme="minorBidi" w:eastAsiaTheme="minorEastAsia" w:hAnsiTheme="min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inorHAnsi" w:cstheme="minorBidi" w:eastAsiaTheme="minorEastAsia" w:hAnsiTheme="min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inorHAnsi" w:cstheme="minorBidi" w:eastAsiaTheme="minorEastAsia" w:hAnsiTheme="min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inorHAnsi" w:cstheme="minorBidi" w:eastAsiaTheme="minorEastAsia" w:hAnsiTheme="min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inorHAnsi" w:cstheme="minorBidi" w:eastAsiaTheme="minorEastAsia" w:hAnsiTheme="min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inorHAnsi" w:cstheme="minorBidi" w:eastAsiaTheme="minorEastAsia" w:hAnsiTheme="min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inorHAnsi" w:cstheme="minorBidi" w:eastAsiaTheme="minorEastAsia" w:hAnsiTheme="min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inorHAnsi" w:cstheme="minorBidi" w:eastAsiaTheme="minorEastAsia" w:hAnsiTheme="min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00"/>
    </w:pPr>
  </w:style>
  <w:style w:customStyle="1" w:styleId="Figure" w:type="paragraph">
    <w:name w:val="Figure"/>
    <w:basedOn w:val="Normal"/>
    <w:pPr>
      <w:spacing w:before="160" w:after="4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inorHAnsi" w:cstheme="minorBidi" w:eastAsiaTheme="minorEastAsia" w:hAnsiTheme="minorHAnsi"/>
      <w:b w:val="0"/>
      <w:bCs w:val="0"/>
      <w:color w:themeColor="accent1" w:themeShade="BF" w:val="365F91"/>
    </w:rPr>
  </w:style>
  <w:style w:customStyle="1" w:styleId="SourceCode" w:type="paragraph">
    <w:name w:val="Source Code"/>
    <w:basedOn w:val="BodyText"/>
    <w:pPr>
      <w:spacing w:after="0" w:before="0" w:line="18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99815675A47B7B4ABF5F817745391"/>
        <w:category>
          <w:name w:val="Général"/>
          <w:gallery w:val="placeholder"/>
        </w:category>
        <w:types>
          <w:type w:val="bbPlcHdr"/>
        </w:types>
        <w:behaviors>
          <w:behavior w:val="content"/>
        </w:behaviors>
        <w:guid w:val="{98D4A7C8-0D80-4EF7-AFC9-01B4EE32B5C5}"/>
      </w:docPartPr>
      <w:docPartBody>
        <w:p w:rsidR="000E4E3D" w:rsidRDefault="000E4E3D" w:rsidP="000E4E3D">
          <w:pPr>
            <w:pStyle w:val="1C899815675A47B7B4ABF5F817745391"/>
          </w:pPr>
          <w:r>
            <w:rPr>
              <w:color w:val="0F4761" w:themeColor="accent1" w:themeShade="BF"/>
            </w:rPr>
            <w:t>[Nom de la société]</w:t>
          </w:r>
        </w:p>
      </w:docPartBody>
    </w:docPart>
    <w:docPart>
      <w:docPartPr>
        <w:name w:val="57014318D7CE4F48ADA44E7B74838425"/>
        <w:category>
          <w:name w:val="Général"/>
          <w:gallery w:val="placeholder"/>
        </w:category>
        <w:types>
          <w:type w:val="bbPlcHdr"/>
        </w:types>
        <w:behaviors>
          <w:behavior w:val="content"/>
        </w:behaviors>
        <w:guid w:val="{C25EACFC-B109-453B-A86E-CEE9894EECA1}"/>
      </w:docPartPr>
      <w:docPartBody>
        <w:p w:rsidR="000E4E3D" w:rsidRDefault="000E4E3D" w:rsidP="000E4E3D">
          <w:pPr>
            <w:pStyle w:val="57014318D7CE4F48ADA44E7B74838425"/>
          </w:pPr>
          <w:r>
            <w:rPr>
              <w:rFonts w:asciiTheme="majorHAnsi" w:eastAsiaTheme="majorEastAsia" w:hAnsiTheme="majorHAnsi" w:cstheme="majorBidi"/>
              <w:color w:val="156082" w:themeColor="accent1"/>
              <w:sz w:val="88"/>
              <w:szCs w:val="88"/>
            </w:rPr>
            <w:t>[Titre du document]</w:t>
          </w:r>
        </w:p>
      </w:docPartBody>
    </w:docPart>
    <w:docPart>
      <w:docPartPr>
        <w:name w:val="0D0DE46CA74D43BB8D3A1421557AB558"/>
        <w:category>
          <w:name w:val="Général"/>
          <w:gallery w:val="placeholder"/>
        </w:category>
        <w:types>
          <w:type w:val="bbPlcHdr"/>
        </w:types>
        <w:behaviors>
          <w:behavior w:val="content"/>
        </w:behaviors>
        <w:guid w:val="{49B3B8FF-CD4D-40E6-9100-234611770CF8}"/>
      </w:docPartPr>
      <w:docPartBody>
        <w:p w:rsidR="000E4E3D" w:rsidRDefault="000E4E3D" w:rsidP="000E4E3D">
          <w:pPr>
            <w:pStyle w:val="0D0DE46CA74D43BB8D3A1421557AB558"/>
          </w:pPr>
          <w:r>
            <w:rPr>
              <w:color w:val="0F4761" w:themeColor="accent1" w:themeShade="BF"/>
            </w:rPr>
            <w:t>[Sous-titre du document]</w:t>
          </w:r>
        </w:p>
      </w:docPartBody>
    </w:docPart>
    <w:docPart>
      <w:docPartPr>
        <w:name w:val="0AF80386CB434A129EAD6E9097E6F2BF"/>
        <w:category>
          <w:name w:val="Général"/>
          <w:gallery w:val="placeholder"/>
        </w:category>
        <w:types>
          <w:type w:val="bbPlcHdr"/>
        </w:types>
        <w:behaviors>
          <w:behavior w:val="content"/>
        </w:behaviors>
        <w:guid w:val="{9451A7C2-0D1C-4427-9BFE-EFB5D51D0CBA}"/>
      </w:docPartPr>
      <w:docPartBody>
        <w:p w:rsidR="000E4E3D" w:rsidRDefault="000E4E3D" w:rsidP="000E4E3D">
          <w:pPr>
            <w:pStyle w:val="0AF80386CB434A129EAD6E9097E6F2BF"/>
          </w:pPr>
          <w:r>
            <w:rPr>
              <w:color w:val="156082" w:themeColor="accent1"/>
              <w:sz w:val="28"/>
              <w:szCs w:val="28"/>
            </w:rPr>
            <w:t>[Nom de l’auteur]</w:t>
          </w:r>
        </w:p>
      </w:docPartBody>
    </w:docPart>
    <w:docPart>
      <w:docPartPr>
        <w:name w:val="3B00B65B385D4F37AEB0D2B41B7A5151"/>
        <w:category>
          <w:name w:val="Général"/>
          <w:gallery w:val="placeholder"/>
        </w:category>
        <w:types>
          <w:type w:val="bbPlcHdr"/>
        </w:types>
        <w:behaviors>
          <w:behavior w:val="content"/>
        </w:behaviors>
        <w:guid w:val="{35E260D9-EDA4-4EEF-A492-9F42F1413AED}"/>
      </w:docPartPr>
      <w:docPartBody>
        <w:p w:rsidR="000E4E3D" w:rsidRDefault="000E4E3D" w:rsidP="000E4E3D">
          <w:pPr>
            <w:pStyle w:val="3B00B65B385D4F37AEB0D2B41B7A5151"/>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E3D"/>
    <w:rsid w:val="000A0913"/>
    <w:rsid w:val="000E4E3D"/>
    <w:rsid w:val="005E2803"/>
    <w:rsid w:val="00AD2507"/>
    <w:rsid w:val="00C53908"/>
    <w:rsid w:val="00D36B4A"/>
    <w:rsid w:val="00EB5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C899815675A47B7B4ABF5F817745391">
    <w:name w:val="1C899815675A47B7B4ABF5F817745391"/>
    <w:rsid w:val="000E4E3D"/>
  </w:style>
  <w:style w:type="paragraph" w:customStyle="1" w:styleId="57014318D7CE4F48ADA44E7B74838425">
    <w:name w:val="57014318D7CE4F48ADA44E7B74838425"/>
    <w:rsid w:val="000E4E3D"/>
  </w:style>
  <w:style w:type="paragraph" w:customStyle="1" w:styleId="0D0DE46CA74D43BB8D3A1421557AB558">
    <w:name w:val="0D0DE46CA74D43BB8D3A1421557AB558"/>
    <w:rsid w:val="000E4E3D"/>
  </w:style>
  <w:style w:type="paragraph" w:customStyle="1" w:styleId="0AF80386CB434A129EAD6E9097E6F2BF">
    <w:name w:val="0AF80386CB434A129EAD6E9097E6F2BF"/>
    <w:rsid w:val="000E4E3D"/>
  </w:style>
  <w:style w:type="paragraph" w:customStyle="1" w:styleId="3B00B65B385D4F37AEB0D2B41B7A5151">
    <w:name w:val="3B00B65B385D4F37AEB0D2B41B7A5151"/>
    <w:rsid w:val="000E4E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CDB1056AF4EE24A9ACD2D2A37685062" ma:contentTypeVersion="14" ma:contentTypeDescription="Create a new document." ma:contentTypeScope="" ma:versionID="c44e347bdaa0b475859cde96adc6bd1d">
  <xsd:schema xmlns:xsd="http://www.w3.org/2001/XMLSchema" xmlns:xs="http://www.w3.org/2001/XMLSchema" xmlns:p="http://schemas.microsoft.com/office/2006/metadata/properties" xmlns:ns3="a77ced0a-a523-444a-b168-aab2dda37bc7" targetNamespace="http://schemas.microsoft.com/office/2006/metadata/properties" ma:root="true" ma:fieldsID="648b026af18cd6461fe41ec61e0ad09f" ns3:_="">
    <xsd:import namespace="a77ced0a-a523-444a-b168-aab2dda37bc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7ced0a-a523-444a-b168-aab2dda37b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89470-30E8-431E-B675-755F7C1080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D679E6-D6EF-40B8-A4B6-F659D42B3E0C}">
  <ds:schemaRefs>
    <ds:schemaRef ds:uri="http://schemas.openxmlformats.org/officeDocument/2006/bibliography"/>
  </ds:schemaRefs>
</ds:datastoreItem>
</file>

<file path=customXml/itemProps3.xml><?xml version="1.0" encoding="utf-8"?>
<ds:datastoreItem xmlns:ds="http://schemas.openxmlformats.org/officeDocument/2006/customXml" ds:itemID="{9468891E-FB8F-48F8-8EC6-C2057608DBA4}">
  <ds:schemaRefs>
    <ds:schemaRef ds:uri="http://schemas.microsoft.com/sharepoint/v3/contenttype/forms"/>
  </ds:schemaRefs>
</ds:datastoreItem>
</file>

<file path=customXml/itemProps4.xml><?xml version="1.0" encoding="utf-8"?>
<ds:datastoreItem xmlns:ds="http://schemas.openxmlformats.org/officeDocument/2006/customXml" ds:itemID="{FB92D651-07AD-40E9-8C38-681CEF7FB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7ced0a-a523-444a-b168-aab2dda37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677</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Trame du dossier projet</dc:subject>
  <dc:creator>Nom Prenom  / CDA / METZ NUMERICSCHOOL</dc:creator>
  <cp:keywords/>
  <dc:description/>
  <cp:lastModifiedBy>Franck QUIRIN</cp:lastModifiedBy>
  <cp:revision>4</cp:revision>
  <dcterms:created xsi:type="dcterms:W3CDTF">2025-02-19T13:26:00Z</dcterms:created>
  <dcterms:modified xsi:type="dcterms:W3CDTF">2025-05-22T15:45:00Z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0x0101003CDB1056AF4EE24A9ACD2D2A37685062</vt:lpwstr>
  </property>
</Properties>
</file>