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39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79</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 ; il sera mené sur la version 4.1.2, en vigueur, la version 5 étant annoncée pour fin 2026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 (§ 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 7.2),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Leur code complet figure en annexe § 12.5.</w:t>
      </w:r>
    </w:p>
    <w:bookmarkEnd w:id="108"/>
    <w:bookmarkEnd w:id="109"/>
    <w:bookmarkStart w:id="110" w:name="X8b64aa56fe23a9fa8389e2f8e03e21ba5ed39cb"/>
    <w:p w14:paraId="5BE996F0" w14:textId="7FF08B12"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 §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 §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durée 7 jours (§ 7.4)</w:t>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en § 8.</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Heading1"/>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restant à réaliser (§ 5.1, § 9)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Heading1"/>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