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68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76</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 ; il sera mené sur la version 4.1.2, en vigueur, la version 5 étant annoncée pour fin 2026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 (§ 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 7.2),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Leur code complet figure en annexe § 12.5.</w:t>
      </w:r>
    </w:p>
    <w:bookmarkEnd w:id="108"/>
    <w:bookmarkEnd w:id="109"/>
    <w:bookmarkStart w:id="110" w:name="X8b64aa56fe23a9fa8389e2f8e03e21ba5ed39cb"/>
    <w:p w14:paraId="5BE996F0" w14:textId="7FF08B12"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 §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 §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durée 7 jours (§ 7.4)</w:t>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en § 8.</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restant à réaliser (§ 5.1, § 9)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pgNumType w:start="0"/>
          <w:cols w:space="708"/>
          <w:titlePg/>
          <w:docGrid w:linePitch="360"/>
        </w:sectPr>
      </w:pPr>
    </w:p>
    <w:p w14:paraId="598335ED" w14:textId="7A402884" w:rsidR="003A2DEC" w:rsidRPr="003A2DEC" w:rsidRDefault="003A2DEC" w:rsidP="003A2DEC">
      <w:pPr>
        <w:pStyle w:val="Heading1"/>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