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39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68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76</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0"/>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b/>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de la bibliothèque d'assainissement — argument qui a pris du poids quand la veille a révélé une vulnérabilité dans DOMPurify elle-même (§ 11).</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 ; il sera mené sur la version 4.1.2, en vigueur, la version 5 étant annoncée pour fin 2026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à la mise en production. Cette étape figure dans la liste de contrôle de déploiement (§ 6).</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2015"/>
        </w:numPr>
      </w:pPr>
      <w:r>
        <w:t xml:space="preserve">Les réalisations du candidat comportant les extraits de code les plus significatifs, les arguments qui ont conduit à ses choix, y compris pour la sécurité</w:t>
      </w:r>
    </w:p>
    <w:p w14:paraId="511A6F0C" w14:textId="027F9FB2" w:rsidR="003A2DEC" w:rsidRPr="00B1648B" w:rsidRDefault="00F02D2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 7.2),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Leur code complet figure en annexe § 12.5.</w:t>
      </w:r>
    </w:p>
    <w:p>
      <w:pPr>
        <w:numPr>
          <w:ilvl w:val="0"/>
          <w:numId w:val="2020"/>
        </w:numPr>
        <w:pStyle w:val="Compact"/>
      </w:pPr>
      <w:r>
        <w:t xml:space="preserve">La présentation d’éléments de sécurité de l’application</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 §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 §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durée 7 jours (§ 7.4)</w:t>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en § 8.</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p>
      <w:pPr>
        <w:numPr>
          <w:ilvl w:val="0"/>
          <w:numId w:val="2022"/>
        </w:numPr>
        <w:pStyle w:val="Compact"/>
      </w:pPr>
      <w:r>
        <w:t xml:space="preserve">La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Non-régression : le positionnement a dérivé une fois (§ 4).</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p>
      <w:pPr>
        <w:numPr>
          <w:ilvl w:val="0"/>
          <w:numId w:val="2023"/>
        </w:numPr>
        <w:pStyle w:val="Compact"/>
      </w:pPr>
      <w:r>
        <w:t xml:space="preserve">La présentation d’un jeu d’essai élaboré par le candidat</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bookmarkEnd w:id="132"/>
    <w:bookmarkStart w:id="133" w:name="X25212430a281d71bdc0386a3e3977d11c129f5b"/>
    <w:bookmarkEnd w:id="120"/>
    <w:bookmarkStart w:id="121" w:name="Xe17fac534b816f7c3d70e43b759f788955f726e"/>
    <w:bookmarkEnd w:id="108"/>
    <w:bookmarkEnd w:id="109"/>
    <w:bookmarkStart w:id="110" w:name="X8b64aa56fe23a9fa8389e2f8e03e21ba5ed39cb"/>
    <w:p w14:paraId="5BE996F0" w14:textId="7FF08B12" w:rsidR="003A2DEC" w:rsidRPr="00B1648B" w:rsidRDefault="00690DD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14:paraId="2B50691A" w14:textId="745C3B77" w:rsidR="003A2DEC" w:rsidRPr="00B1648B" w:rsidRDefault="00690DD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14:paraId="232BB653" w14:textId="3C66AF9E" w:rsidR="003A2DEC" w:rsidRPr="00B1648B" w:rsidRDefault="00690DDD" w:rsidP="00690DDD">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14:paraId="5BB568D2" w14:textId="21268EB6" w:rsidR="003A2DEC" w:rsidRPr="00B1648B" w:rsidRDefault="003A2DEC"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restant à réaliser (§ 5.1, § 9)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b/>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b/>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pgNumType w:start="0"/>
          <w:cols w:space="708"/>
          <w:titlePg/>
          <w:docGrid w:linePitch="360"/>
        </w:sectPr>
      </w:pPr>
    </w:p>
    <w:p w14:paraId="598335ED" w14:textId="7A402884" w:rsidR="003A2DEC" w:rsidRPr="003A2DEC" w:rsidRDefault="003A2DEC" w:rsidP="003A2DEC">
      <w:pPr>
        <w:pStyle w:val="Heading1"/>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8" name="Picture 8"/>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9" name="Picture 9"/>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0" name="Picture 10"/>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1" name="Picture 11"/>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2" name="Picture 12"/>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3" name="Picture 13"/>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4" name="Picture 14"/>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5" name="Picture 15"/>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6" name="Picture 16"/>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b/>
        </w:rPr>
        <w:t xml:space="preserve">migration</w:t>
      </w:r>
      <w:r>
        <w:t xml:space="preserve"> </w:t>
      </w:r>
      <w:r>
        <w:t>est reproduit ici intégralement, car l'ordre de ses opérations porte un raisonnement (§ 5.5).</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before="0" w:after="80"/>
    </w:pPr>
  </w:style>
  <w:style w:customStyle="1" w:styleId="Compact" w:type="paragraph">
    <w:name w:val="Compact"/>
    <w:basedOn w:val="BodyText"/>
    <w:qFormat/>
    <w:pPr>
      <w:spacing w:after="8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