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2893" w:type="dxa"/>
        <w:tblInd w:w="137" w:type="dxa"/>
        <w:tblLook w:val="04A0" w:firstRow="1" w:lastRow="0" w:firstColumn="1" w:lastColumn="0" w:noHBand="0" w:noVBand="1"/>
      </w:tblPr>
      <w:tblGrid>
        <w:gridCol w:w="1714"/>
        <w:gridCol w:w="3540"/>
        <w:gridCol w:w="3964"/>
        <w:gridCol w:w="3675"/>
      </w:tblGrid>
      <w:tr w:rsidR="00800884" w14:paraId="711FCABD" w14:textId="77777777" w:rsidTr="000703B7">
        <w:trPr>
          <w:trHeight w:val="699"/>
        </w:trPr>
        <w:tc>
          <w:tcPr>
            <w:tcW w:w="12893" w:type="dxa"/>
            <w:gridSpan w:val="4"/>
            <w:tcBorders>
              <w:top w:val="single" w:sz="4" w:space="0" w:color="516154"/>
              <w:left w:val="single" w:sz="4" w:space="0" w:color="516154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2BEE542B" w14:textId="593FC85C" w:rsidR="00800884" w:rsidRPr="00800884" w:rsidRDefault="00800884" w:rsidP="00800884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 xml:space="preserve">Quadro síntese – </w:t>
            </w:r>
            <w:r w:rsidR="00116629" w:rsidRPr="00116629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Atuação da APS diante de inundações graduais, secas e estiagens.</w:t>
            </w:r>
          </w:p>
        </w:tc>
      </w:tr>
      <w:tr w:rsidR="00800884" w14:paraId="0CC5F03D" w14:textId="77777777" w:rsidTr="000703B7">
        <w:trPr>
          <w:trHeight w:val="695"/>
        </w:trPr>
        <w:tc>
          <w:tcPr>
            <w:tcW w:w="1701" w:type="dxa"/>
            <w:tcBorders>
              <w:top w:val="single" w:sz="4" w:space="0" w:color="ECF7EE"/>
              <w:left w:val="single" w:sz="4" w:space="0" w:color="516154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6BB19BAF" w14:textId="5DB018DC" w:rsidR="00800884" w:rsidRPr="00800884" w:rsidRDefault="00E83577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Aspecto/Evento</w:t>
            </w:r>
          </w:p>
        </w:tc>
        <w:tc>
          <w:tcPr>
            <w:tcW w:w="3544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17AE7F7D" w14:textId="66D77AB7" w:rsidR="00800884" w:rsidRPr="00800884" w:rsidRDefault="00116629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116629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Inundações graduais</w:t>
            </w:r>
          </w:p>
        </w:tc>
        <w:tc>
          <w:tcPr>
            <w:tcW w:w="3969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1C5D9C14" w14:textId="125307E2" w:rsidR="00800884" w:rsidRPr="00800884" w:rsidRDefault="00116629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Secas</w:t>
            </w:r>
          </w:p>
        </w:tc>
        <w:tc>
          <w:tcPr>
            <w:tcW w:w="3679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4E39718C" w14:textId="0E4FCBA2" w:rsidR="00800884" w:rsidRPr="00800884" w:rsidRDefault="00116629" w:rsidP="00E83577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Estiagens</w:t>
            </w:r>
          </w:p>
        </w:tc>
      </w:tr>
      <w:tr w:rsidR="00800884" w14:paraId="3A760F92" w14:textId="77777777" w:rsidTr="000703B7">
        <w:trPr>
          <w:trHeight w:val="1303"/>
        </w:trPr>
        <w:tc>
          <w:tcPr>
            <w:tcW w:w="1701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209E089D" w14:textId="648EFCB6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Sinais de alerta para atuação no território</w:t>
            </w:r>
          </w:p>
        </w:tc>
        <w:tc>
          <w:tcPr>
            <w:tcW w:w="3544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69BD2834" w14:textId="20F49180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Previsões meteorológicas, elevação progressiva do nível de rios, igarapés e áreas alagáveis; dificuldade de acesso às comunidades; interrupção gradual de serviços; deslocamento de famílias; contaminação de fontes de água.</w:t>
            </w:r>
          </w:p>
        </w:tc>
        <w:tc>
          <w:tcPr>
            <w:tcW w:w="3969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18BC4370" w14:textId="3CC9CED3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Previsões meteorológicas, redução prolongada da disponibilidade hídrica; escassez de água para consumo humano e produção de alimentos; aumento da insegurança alimentar; perdas econômicas persistentes.</w:t>
            </w:r>
          </w:p>
        </w:tc>
        <w:tc>
          <w:tcPr>
            <w:tcW w:w="3679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973CC6C" w14:textId="2C6AE407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Previsões meteorológicas, diminuição das chuvas por períodos prolongados; redução de reservatórios, poços e nascentes; dificuldades de abastecimento de água; impactos sobre atividades produtivas locais.</w:t>
            </w:r>
          </w:p>
        </w:tc>
      </w:tr>
      <w:tr w:rsidR="00800884" w14:paraId="1B3B3973" w14:textId="77777777" w:rsidTr="000703B7">
        <w:trPr>
          <w:trHeight w:val="1704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5E4020B0" w14:textId="1BFD85B2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Ações prioritárias da APS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5D32F92C" w14:textId="5F1748F4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Atualizar cadastros das famílias; identificar situações de desassistência; orientar sobre armazenamento seguro da água e alimentos; monitorar doenças relacionadas à água contaminada; reorganizar fluxos assistenciais e garantir continuidade do cuidado.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078DE2C8" w14:textId="2827F1D6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Identificar grupos em insegurança alimentar e nutricional; monitorar acesso à água potável; intensificar vigilância nutricional; promover educação em saúde; articular acesso a programas sociais e benefícios de proteção social.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6941C54E" w14:textId="6E0D2F13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Monitorar condições de saúde relacionadas à escassez hídrica; orientar sobre uso seguro da água; acompanhar grupos vulneráveis; planejar ações de mitigação dos impactos sanitários e sociais; fortalecer a comunicação de riscos.</w:t>
            </w:r>
          </w:p>
        </w:tc>
      </w:tr>
      <w:tr w:rsidR="00800884" w14:paraId="2200BFDE" w14:textId="77777777" w:rsidTr="000703B7">
        <w:trPr>
          <w:trHeight w:val="1403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A17AAC6" w14:textId="49B0529B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Principais grupos e condições de risco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8FF380A" w14:textId="41F47B59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Famílias residentes em áreas sujeitas a alagamentos, desabrigados, idosos, gestantes, crianças, pessoas com deficiência, acamados e indivíduos com doenças crônicas.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2157D66" w14:textId="4373D186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Famílias em insegurança alimentar, trabalhadores rurais, agricultores familiares, populações rurais remotas, povos indígenas, quilombolas, ribeirinhos, idosos, crianças e pessoas com doenças crônicas.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D787A83" w14:textId="4F5EA148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Comunidades dependentes de abastecimento vulnerável, populações rurais, famílias em situação de pobreza, pessoas com mobilidade reduzida, gestantes, crianças, idosos, povos indígenas, quilombolas, ribeirinhos.</w:t>
            </w:r>
          </w:p>
        </w:tc>
      </w:tr>
      <w:tr w:rsidR="00800884" w14:paraId="4D6D9DC6" w14:textId="77777777" w:rsidTr="000703B7">
        <w:trPr>
          <w:trHeight w:val="1117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11CD7E0B" w14:textId="3ABBA046" w:rsidR="00800884" w:rsidRPr="00800884" w:rsidRDefault="0051763C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Articulação territorial e comunicação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13693009" w14:textId="036185C1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Integrar ações com Vigilância em Saúde, Defesa Civil, Assistência Social e lideranças comunitárias; divulgar orientações sobre prevenção de doenças e acesso aos serviços de saúde.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45647A0C" w14:textId="460469DC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Articular-se com Assistência Social, Educação, Agricultura, Defesa Civil; auxiliar no acesso a programas de transferência de renda; fortalecer redes comunitárias de apoio e estratégias de adaptação local.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3AAB01B7" w14:textId="0B736537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Compartilhar informações sobre riscos e medidas preventivas; fortalecer ações intersetoriais para abastecimento de água, segurança alimentar e proteção social.</w:t>
            </w:r>
          </w:p>
        </w:tc>
      </w:tr>
      <w:tr w:rsidR="00800884" w14:paraId="77B244FD" w14:textId="77777777" w:rsidTr="000703B7">
        <w:trPr>
          <w:trHeight w:val="1275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14A9C09" w14:textId="73982EFA" w:rsidR="00800884" w:rsidRPr="00800884" w:rsidRDefault="0051763C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Objetivo da atuação da APS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2650B659" w14:textId="462741F0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Garantir a continuidade do cuidado, reduzir agravos relacionados à água contaminada e minimizar os impactos das inundações sobre a saúde da população.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1704D34" w14:textId="78FE4305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Reduzir vulnerabilidades sociais e sanitárias, prevenir agravos relacionados à escassez hídrica e fortalecer a resiliência das comunidades.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C4E6CD7" w14:textId="3CB37D53" w:rsidR="00800884" w:rsidRPr="00800884" w:rsidRDefault="00116629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116629">
              <w:rPr>
                <w:rFonts w:ascii="Montserrat" w:hAnsi="Montserrat"/>
                <w:sz w:val="16"/>
                <w:szCs w:val="16"/>
              </w:rPr>
              <w:t>Minimizar os impactos da redução das chuvas sobre a saúde, prevenir situações de desassistência e apoiar a adaptação das populações afetadas.</w:t>
            </w:r>
          </w:p>
        </w:tc>
      </w:tr>
    </w:tbl>
    <w:p w14:paraId="6F5637A6" w14:textId="77777777" w:rsidR="00BD0DFD" w:rsidRDefault="00BD0DFD"/>
    <w:sectPr w:rsidR="00BD0DFD" w:rsidSect="00800884">
      <w:headerReference w:type="default" r:id="rId7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189FFA" w14:textId="77777777" w:rsidR="00812D53" w:rsidRDefault="00812D53" w:rsidP="00611D77">
      <w:pPr>
        <w:spacing w:after="0" w:line="240" w:lineRule="auto"/>
      </w:pPr>
      <w:r>
        <w:separator/>
      </w:r>
    </w:p>
  </w:endnote>
  <w:endnote w:type="continuationSeparator" w:id="0">
    <w:p w14:paraId="4BEDB615" w14:textId="77777777" w:rsidR="00812D53" w:rsidRDefault="00812D53" w:rsidP="00611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29380D" w14:textId="77777777" w:rsidR="00812D53" w:rsidRDefault="00812D53" w:rsidP="00611D77">
      <w:pPr>
        <w:spacing w:after="0" w:line="240" w:lineRule="auto"/>
      </w:pPr>
      <w:r>
        <w:separator/>
      </w:r>
    </w:p>
  </w:footnote>
  <w:footnote w:type="continuationSeparator" w:id="0">
    <w:p w14:paraId="746C08EE" w14:textId="77777777" w:rsidR="00812D53" w:rsidRDefault="00812D53" w:rsidP="00611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05"/>
      <w:gridCol w:w="1283"/>
      <w:gridCol w:w="1336"/>
      <w:gridCol w:w="1181"/>
      <w:gridCol w:w="7955"/>
    </w:tblGrid>
    <w:tr w:rsidR="00611D77" w14:paraId="0422652B" w14:textId="77777777" w:rsidTr="00F6120F">
      <w:tc>
        <w:tcPr>
          <w:tcW w:w="1133" w:type="dxa"/>
          <w:vAlign w:val="center"/>
        </w:tcPr>
        <w:p w14:paraId="4983F379" w14:textId="3D5F264A" w:rsidR="00611D77" w:rsidRDefault="00611D77" w:rsidP="00611D77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064CBC7A" wp14:editId="05C10125">
                <wp:extent cx="628328" cy="513471"/>
                <wp:effectExtent l="0" t="0" r="0" b="0"/>
                <wp:docPr id="9033117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31174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684" cy="522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Align w:val="center"/>
        </w:tcPr>
        <w:p w14:paraId="66205048" w14:textId="3E1E9313" w:rsidR="00611D77" w:rsidRDefault="00611D77" w:rsidP="00611D77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35FD1ACB" wp14:editId="2FF56B50">
                <wp:extent cx="677918" cy="302456"/>
                <wp:effectExtent l="0" t="0" r="0" b="2540"/>
                <wp:docPr id="511725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72550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823" cy="314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36" w:type="dxa"/>
          <w:vAlign w:val="center"/>
        </w:tcPr>
        <w:p w14:paraId="00B4C682" w14:textId="71EE717A" w:rsidR="00611D77" w:rsidRDefault="00611D77" w:rsidP="00611D77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63843E25" wp14:editId="519CF35E">
                <wp:extent cx="709930" cy="200115"/>
                <wp:effectExtent l="0" t="0" r="1270" b="3175"/>
                <wp:docPr id="4303331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33312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680" cy="221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75" w:type="dxa"/>
          <w:vAlign w:val="center"/>
        </w:tcPr>
        <w:p w14:paraId="32300F5E" w14:textId="66FD20B0" w:rsidR="00611D77" w:rsidRDefault="00611D77" w:rsidP="00611D77">
          <w:pPr>
            <w:pStyle w:val="Header"/>
            <w:jc w:val="center"/>
          </w:pPr>
          <w:r w:rsidRPr="00611D77">
            <w:rPr>
              <w:noProof/>
            </w:rPr>
            <w:drawing>
              <wp:inline distT="0" distB="0" distL="0" distR="0" wp14:anchorId="17DBE877" wp14:editId="7659DFDC">
                <wp:extent cx="613094" cy="330591"/>
                <wp:effectExtent l="0" t="0" r="0" b="0"/>
                <wp:docPr id="99660313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603131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995" cy="34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82" w:type="dxa"/>
          <w:vAlign w:val="center"/>
        </w:tcPr>
        <w:p w14:paraId="5CB9067A" w14:textId="1E257006" w:rsidR="00611D77" w:rsidRPr="00611D77" w:rsidRDefault="00611D77" w:rsidP="00611D77">
          <w:pPr>
            <w:pStyle w:val="Header"/>
            <w:rPr>
              <w:rFonts w:ascii="Montserrat" w:hAnsi="Montserrat"/>
              <w:b/>
              <w:bCs/>
              <w:sz w:val="20"/>
              <w:szCs w:val="20"/>
            </w:rPr>
          </w:pPr>
          <w:r w:rsidRPr="00611D77">
            <w:rPr>
              <w:rFonts w:ascii="Montserrat" w:hAnsi="Montserrat"/>
              <w:b/>
              <w:bCs/>
              <w:sz w:val="20"/>
              <w:szCs w:val="20"/>
            </w:rPr>
            <w:t>Curso Mudanças Climáticas e a atuação da Atenção Primária à Saúde</w:t>
          </w:r>
        </w:p>
        <w:p w14:paraId="78CA4E15" w14:textId="0AD698C9" w:rsidR="00611D77" w:rsidRPr="00611D77" w:rsidRDefault="00611D77" w:rsidP="00611D77">
          <w:pPr>
            <w:pStyle w:val="Header"/>
            <w:rPr>
              <w:rFonts w:ascii="Montserrat" w:hAnsi="Montserrat"/>
              <w:sz w:val="18"/>
              <w:szCs w:val="18"/>
            </w:rPr>
          </w:pPr>
          <w:r w:rsidRPr="00611D77">
            <w:rPr>
              <w:rFonts w:ascii="Montserrat" w:hAnsi="Montserrat"/>
              <w:sz w:val="18"/>
              <w:szCs w:val="18"/>
            </w:rPr>
            <w:t xml:space="preserve">Módulo </w:t>
          </w:r>
          <w:r w:rsidR="00116629">
            <w:rPr>
              <w:rFonts w:ascii="Montserrat" w:hAnsi="Montserrat"/>
              <w:sz w:val="18"/>
              <w:szCs w:val="18"/>
            </w:rPr>
            <w:t>3</w:t>
          </w:r>
          <w:r w:rsidRPr="00611D77">
            <w:rPr>
              <w:rFonts w:ascii="Montserrat" w:hAnsi="Montserrat"/>
              <w:sz w:val="18"/>
              <w:szCs w:val="18"/>
            </w:rPr>
            <w:t xml:space="preserve"> | Aula 3: </w:t>
          </w:r>
          <w:r w:rsidR="00116629" w:rsidRPr="00116629">
            <w:rPr>
              <w:rFonts w:ascii="Montserrat" w:hAnsi="Montserrat"/>
              <w:sz w:val="18"/>
              <w:szCs w:val="18"/>
            </w:rPr>
            <w:t>Atuação da APS em inundações graduais, secas e estiagens</w:t>
          </w:r>
        </w:p>
      </w:tc>
    </w:tr>
  </w:tbl>
  <w:p w14:paraId="1599363D" w14:textId="77777777" w:rsidR="00611D77" w:rsidRDefault="00611D77">
    <w:pPr>
      <w:pStyle w:val="Header"/>
    </w:pPr>
  </w:p>
  <w:p w14:paraId="49D62772" w14:textId="77777777" w:rsidR="00613D69" w:rsidRDefault="00613D69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84"/>
    <w:rsid w:val="000703B7"/>
    <w:rsid w:val="00116629"/>
    <w:rsid w:val="0028303B"/>
    <w:rsid w:val="002B587C"/>
    <w:rsid w:val="0051763C"/>
    <w:rsid w:val="005B7FEB"/>
    <w:rsid w:val="00611D77"/>
    <w:rsid w:val="00613D69"/>
    <w:rsid w:val="007348BD"/>
    <w:rsid w:val="00796DD7"/>
    <w:rsid w:val="007A4164"/>
    <w:rsid w:val="00800884"/>
    <w:rsid w:val="00812D53"/>
    <w:rsid w:val="008C1BA2"/>
    <w:rsid w:val="0093720A"/>
    <w:rsid w:val="00B46CD3"/>
    <w:rsid w:val="00BD0DFD"/>
    <w:rsid w:val="00D671C0"/>
    <w:rsid w:val="00E83577"/>
    <w:rsid w:val="00F451B9"/>
    <w:rsid w:val="00F6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D346A"/>
  <w15:chartTrackingRefBased/>
  <w15:docId w15:val="{B99D11A3-773F-E24A-9AF8-A563EEED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0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D77"/>
  </w:style>
  <w:style w:type="paragraph" w:styleId="Footer">
    <w:name w:val="footer"/>
    <w:basedOn w:val="Normal"/>
    <w:link w:val="Foot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625C2A-10E7-1D40-9DFF-182BD6587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420</Words>
  <Characters>2781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Nunes</dc:creator>
  <cp:keywords/>
  <dc:description/>
  <cp:lastModifiedBy>Luciana Nunes</cp:lastModifiedBy>
  <cp:revision>4</cp:revision>
  <cp:lastPrinted>2026-05-29T23:09:00Z</cp:lastPrinted>
  <dcterms:created xsi:type="dcterms:W3CDTF">2026-07-02T16:24:00Z</dcterms:created>
  <dcterms:modified xsi:type="dcterms:W3CDTF">2026-07-02T16:38:00Z</dcterms:modified>
</cp:coreProperties>
</file>