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3B57"/>
          <w:sz w:val="30"/>
          <w:szCs w:val="30"/>
        </w:rPr>
        <w:t xml:space="preserve">Universidade Maurício de Nassau</w:t>
      </w:r>
    </w:p>
    <w:p>
      <w:pPr>
        <w:spacing w:after="800"/>
        <w:jc w:val="center"/>
      </w:pPr>
      <w:r>
        <w:rPr>
          <w:color w:val="2E74B5"/>
          <w:sz w:val="24"/>
          <w:szCs w:val="24"/>
        </w:rPr>
        <w:t xml:space="preserve">Curso de Ciência da Computação</w:t>
      </w:r>
    </w:p>
    <w:p>
      <w:pPr>
        <w:spacing w:after="120" w:before="1600"/>
        <w:jc w:val="center"/>
      </w:pPr>
      <w:r>
        <w:rPr>
          <w:b/>
          <w:bCs/>
          <w:color w:val="1F3B57"/>
          <w:sz w:val="56"/>
          <w:szCs w:val="56"/>
        </w:rPr>
        <w:t xml:space="preserve">BuscaPet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Site de adoção e busca de animais perdidos</w:t>
      </w:r>
    </w:p>
    <w:p>
      <w:pPr>
        <w:spacing w:after="100"/>
        <w:jc w:val="center"/>
      </w:pPr>
      <w:r>
        <w:rPr>
          <w:b/>
          <w:bCs/>
          <w:color w:val="222222"/>
          <w:sz w:val="26"/>
          <w:szCs w:val="26"/>
        </w:rPr>
        <w:t xml:space="preserve">Documento da Sprint 2</w:t>
      </w:r>
    </w:p>
    <w:p>
      <w:pPr>
        <w:spacing w:after="40" w:before="1000"/>
        <w:jc w:val="center"/>
      </w:pPr>
      <w:r>
        <w:rPr>
          <w:color w:val="222222"/>
          <w:sz w:val="21"/>
          <w:szCs w:val="21"/>
        </w:rPr>
        <w:t xml:space="preserve">Kaian Guthierry da Silva — 01617843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Nivaldo José de Arruda Filho — 01486768</w:t>
      </w:r>
    </w:p>
    <w:p>
      <w:pPr>
        <w:spacing w:after="1000"/>
        <w:jc w:val="center"/>
      </w:pPr>
      <w:r>
        <w:rPr>
          <w:color w:val="222222"/>
          <w:sz w:val="21"/>
          <w:szCs w:val="21"/>
        </w:rPr>
        <w:t xml:space="preserve">Marlon Porto Torres — 01611478</w:t>
      </w:r>
    </w:p>
    <w:p>
      <w:pPr>
        <w:spacing w:before="1600"/>
        <w:jc w:val="center"/>
      </w:pPr>
      <w:r>
        <w:rPr>
          <w:color w:val="222222"/>
          <w:sz w:val="22"/>
          <w:szCs w:val="22"/>
        </w:rPr>
        <w:t xml:space="preserve">Recife —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Sumário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1. Arquitetura do sistema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2. Diagrama de classes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3. Modelo Entidade-Relacionamento (MER)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4. Modelo Relacional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5. Protótipo das telas principais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6. Banco de dados criado</w:t>
      </w:r>
    </w:p>
    <w:p>
      <w:pPr>
        <w:spacing w:after="120"/>
      </w:pPr>
      <w:r>
        <w:rPr>
          <w:color w:val="222222"/>
          <w:sz w:val="23"/>
          <w:szCs w:val="23"/>
        </w:rPr>
        <w:t xml:space="preserve">7. Projeto estruturado no GitHub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1. Arquitetura do sistema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1.1 Visão geral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A plataforma é dividida em quatro componentes que se comunicam por HTTP, e não em um monólito. A decisão mais importante da arquitetura é isolar o núcleo de similaridade visual — o componente que atende a disciplina de Tópicos Avançados — do backend web: eles são dois serviços separados, em linguagens diferentes, falando entre si por uma API HTTP interna enxuta.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1 — Diagrama de arquitetura do BuscaPet.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1.2 Componentes e tecnologias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50"/>
        <w:gridCol w:w="4300"/>
      </w:tblGrid>
      <w:tr>
        <w:trPr>
          <w:tblHeader/>
        </w:trPr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55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SPA (framework definido por Marlon — P3)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Interface das telas descritas no documento de fluxos</w:t>
            </w:r>
          </w:p>
        </w:tc>
      </w:tr>
      <w:tr>
        <w:tc>
          <w:tcPr>
            <w:tcW w:type="dxa" w:w="15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Python + FastAPI, SQLAlchemy 2.0 + Alembic, JWT</w:t>
            </w:r>
          </w:p>
        </w:tc>
        <w:tc>
          <w:tcPr>
            <w:tcW w:type="dxa" w:w="43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Autenticação e controle de acesso por perfil (RF-01 a RF-03), CRUDs de abrigo/animal/doação, orquestração das chamadas ao núcleo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nucleo-opencl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(cl.h) + PoCL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Extração de descritores visuais, comparação em massa e benchmark comparativo (RF-21 a RF-23, RF-27, RF-29)</w:t>
            </w:r>
          </w:p>
        </w:tc>
      </w:tr>
      <w:tr>
        <w:tc>
          <w:tcPr>
            <w:tcW w:type="dxa" w:w="15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Fila (redis + worker RQ)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Redis + RQ (Python)</w:t>
            </w:r>
          </w:p>
        </w:tc>
        <w:tc>
          <w:tcPr>
            <w:tcW w:type="dxa" w:w="43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Processa o lote de monitoramento contínuo (RF-24, RF-25) sem bloquear requisições da API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Postgres (Supabase, free tier, PostGIS disponível)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Persistência relacional</w:t>
            </w:r>
          </w:p>
        </w:tc>
      </w:tr>
      <w:tr>
        <w:tc>
          <w:tcPr>
            <w:tcW w:type="dxa" w:w="15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Storage de fotos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definir (Supabase Storage é o candidato natural)</w:t>
            </w:r>
          </w:p>
        </w:tc>
        <w:tc>
          <w:tcPr>
            <w:tcW w:type="dxa" w:w="43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Guarda arquivos com identificador aleatório, sem expor dados do autor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Mapa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OpenStreetMap + Leaflet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Gratuito e sem cota que ameace o projeto — resolve o ponto em aberto nº1 do escopo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1.3 Por que o núcleo é um serviço separado, e não uma função dentro do backend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Runtime isolado — o núcleo depende do PoCL, que precisa estar instalado no ambiente de execução. Isso não deve ser um requisito para quem só trabalha no backend web ou no frontend, por isso o Docker Compose isola esse componente em um container próprio.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Medição isolada — o benchmark comparativo com/sem OpenCL (RF-29, argumento central do projeto para Tópicos Avançados) precisa rodar sem ruído de outras partes da aplicação competindo por CPU.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Contrato fechado desde a Sprint 1 — a API do núcleo (POST /comparar, POST /extrair-descritor) foi definida como parte do contrato OpenAPI da Sprint 1, permitindo que frontend e backend avançassem com dados simulados antes do núcleo existir de fato (Sprint 3).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1.4 Dois caminhos de chamada ao núcleo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Sob demanda (RF-22, RF-23, RF-27): o usuário aciona uma busca no wizard “Perdi meu animal” / “Encontrei um animal” → a API chama o nucleo-opencl via httpx de forma síncrona → o resultado volta na mesma requisição.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Em lote, assíncrono (RF-24, RF-25, RF-26): todo novo registro (Animal ou Avistamento) dispara um job na fila Redis → um worker RQ consome o job, chama o núcleo comparando contra todas as buscas salvas ativas, grava o resultado em correspondencias e cria notificações quando há semelhança relevante. Rodar isso fora do ciclo de requisição é o que sustenta a carga N×M crescente sem travar a API.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2. Diagrama de classes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Modelo de domínio do backend. Usuario concentra a autenticação; os três perfis de conta (Tutor, Abrigo, Apoiador) e o Administrador herdam dele. No banco isso é implementado como tabelas separadas em relação 1:1 (table-per-type, ver seção 4), mas no código de domínio a herança é a forma natural de expressar que todo perfil é um usuário.</w:t>
      </w:r>
    </w:p>
    <w:p>
      <w:pPr>
        <w:spacing w:after="40" w:before="160"/>
        <w:jc w:val="center"/>
      </w:pPr>
      <w:r>
        <w:drawing>
          <wp:inline distT="0" distB="0" distL="0" distR="0">
            <wp:extent cx="6286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2 — Diagrama de classes do BuscaPet.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Notas sobre decisões de modelagem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NucleoComparacaoClient e MonitoramentoWorker são classes de serviço do backend Python, não do núcleo em C. Encapsulam a chamada HTTP (httpx) ao serviço nucleo-opencl, mantendo o resto do domínio (Tutor, Abrigo etc.) sem dependência direta de como o núcleo é implementado — se o núcleo mudar de linguagem no futuro, só essas duas classes precisam mudar.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Foto é compartilhada por três donos possíveis (Animal, AnimalPerdido, Avistamento) via associação polimórfica — mesmo trade-off explicado nas seções 3 e 4.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Correspondencia é o registro central do reencontro: toda vez que o núcleo encontra um match relevante — numa busca ativa do tutor, num alerta ao abrigo ou numa busca inversa — uma linha nasce aqui, evitando duplicar a lógica de “o que é um match” em três lugares do código.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3. Modelo Entidade-Relacionamento (MER)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Modelo conceitual completo, cobrindo RF-01 a RF-41. Correspondência 1:1 com docs/schema.sql (modelo relacional) e com api/app/models/ (SQLAlchemy).</w:t>
      </w:r>
    </w:p>
    <w:p>
      <w:pPr>
        <w:spacing w:after="40" w:before="16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3 — Modelo Entidade-Relacionamento do BuscaPet.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3.1 Decisões de modelagem que exigem explicação</w:t>
      </w:r>
    </w:p>
    <w:p>
      <w:pPr>
        <w:spacing w:after="100" w:before="220"/>
      </w:pPr>
      <w:r>
        <w:rPr>
          <w:b/>
          <w:bCs/>
          <w:i/>
          <w:iCs/>
          <w:color w:val="222222"/>
          <w:sz w:val="22"/>
          <w:szCs w:val="22"/>
        </w:rPr>
        <w:t xml:space="preserve">Contas por tipo (table-per-type), não uma tabela única com colunas opcionais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USUARIOS guarda só o que é comum a todo mundo (autenticação). TUTORES, ABRIGOS e APOIADORES têm PK = FK para usuarios.id. A alternativa descartada — uma tabela usuarios única com todas as colunas de todos os perfis — geraria dezenas de colunas NULL para quem não é abrigo, por exemplo, e dificultaria constraint de obrigatoriedade por perfil.</w:t>
      </w:r>
    </w:p>
    <w:p>
      <w:pPr>
        <w:spacing w:after="100" w:before="220"/>
      </w:pPr>
      <w:r>
        <w:rPr>
          <w:b/>
          <w:bCs/>
          <w:i/>
          <w:iCs/>
          <w:color w:val="222222"/>
          <w:sz w:val="22"/>
          <w:szCs w:val="22"/>
        </w:rPr>
        <w:t xml:space="preserve">FOTOS é uma associação polimórfica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Pertence a um ANIMAIS, um ANIMAIS_PERDIDOS ou um AVISTAMENTOS, indicado por entidade_tipo + entidade_id, sem chave estrangeira de banco de fato (não é possível uma FK apontar para “uma dentre três tabelas” em SQL padrão). A alternativa descartada — três tabelas quase idênticas (FOTOS_ANIMAL, FOTOS_PERDIDO, FOTOS_AVISTAMENTO) — foi rejeitada porque a extração de descritores (RF-21) processa foto por foto de forma idêntica não importa a origem, e triplicar a tabela obrigaria triplicar essa lógica ou fazer três JOINs onde um bastaria. A integridade referencial dessa coluna é garantida na camada de aplicação, não pelo banco — um trade-off assumido conscientemente.</w:t>
      </w:r>
    </w:p>
    <w:p>
      <w:pPr>
        <w:spacing w:after="100" w:before="220"/>
      </w:pPr>
      <w:r>
        <w:rPr>
          <w:b/>
          <w:bCs/>
          <w:i/>
          <w:iCs/>
          <w:color w:val="222222"/>
          <w:sz w:val="22"/>
          <w:szCs w:val="22"/>
        </w:rPr>
        <w:t xml:space="preserve">CORRESPONDENCIAS centraliza os três gatilhos de match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Busca do tutor, alerta ao abrigo e busca inversa, com as três FKs de destino opcionais (só uma é preenchida por linha, a depender de tipo). Isso evita reimplementar “o que é um grau de semelhança” três vezes.</w:t>
      </w:r>
    </w:p>
    <w:p>
      <w:pPr>
        <w:spacing w:after="100" w:before="220"/>
      </w:pPr>
      <w:r>
        <w:rPr>
          <w:b/>
          <w:bCs/>
          <w:i/>
          <w:iCs/>
          <w:color w:val="222222"/>
          <w:sz w:val="22"/>
          <w:szCs w:val="22"/>
        </w:rPr>
        <w:t xml:space="preserve">PONTUACOES_APOIADOR é uma tabela de cache/resumo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Não é a fonte de verdade (que são as linhas de DOACOES confirmadas). Existe para não recalcular o ranking inteiro a cada requisição — é recalculada a cada confirmação de doação, uma linha por apoiador por mês, permitindo os dois períodos do escopo (destaque do mês = uma linha; acumulado do ano = soma das linhas do ano).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4. Modelo Relacional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DDL completo em docs/schema.sql (roda direto no SQL Editor do Supabase), espelhado nos models SQLAlchemy em api/app/models/ e na migration Alembic api/alembic/versions/0001_initial_schema.py — é essa migration que efetivamente cria o banco (ver seção 6).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3550"/>
        <w:gridCol w:w="2700"/>
      </w:tblGrid>
      <w:tr>
        <w:trPr>
          <w:tblHeader/>
        </w:trPr>
        <w:tc>
          <w:tcPr>
            <w:tcW w:type="dxa" w:w="1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355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FKs</w:t>
            </w:r>
          </w:p>
        </w:tc>
        <w:tc>
          <w:tcPr>
            <w:tcW w:type="dxa" w:w="2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 de autenticação de todos os perfis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tutores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 → usuarios.id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 = FK (1:1 com usuarios)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abrigos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 → usuarios.id; validado_por_id → usuarios.id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status_validacao controla RF-06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membros_equipe_abrigo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abrigo_id → abrigos.usuario_id; usuario_id → usuarios.id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UNIQUE(abrigo_id, usuario_id)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apoiadores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 → usuarios.id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cnpj UNIQUE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animais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abrigo_id → abrigos.usuario_id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fotos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nenhuma FK real (entidade_tipo + entidade_id)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associação polimórfica — ver seção 3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interesses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animal_id → animais.id; tutor_id → tutores.usuario_id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RF-16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animais_perdidos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tutor_id → tutores.usuario_id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RF-19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avistamentos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 → usuarios.id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RF-20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descritores_visuais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foto_id → fotos.id (UNIQUE)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descritor por foto — RF-21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buscas_salvas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tutor_id → tutores.usuario_id; animal_perdido_id → animais_perdidos.id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RF-24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correspondencias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animal_perdido_id, animal_id, avistamento_id (nullable)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RF-23, 25, 26, 27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necessidades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abrigo_id → abrigos.usuario_id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RF-30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doacoes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apoiador_id, abrigo_id, necessidade_id (nullable)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RF-31, RF-32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pontuacoes_apoiador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apoiador_id → apoiadores.usuario_id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UNIQUE(apoiador_id, mes_referencia) — RF-33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notificacoes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 → usuarios.id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RF-36</w:t>
            </w:r>
          </w:p>
        </w:tc>
      </w:tr>
      <w:tr>
        <w:tc>
          <w:tcPr>
            <w:tcW w:type="dxa" w:w="19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denuncias</w:t>
            </w:r>
          </w:p>
        </w:tc>
        <w:tc>
          <w:tcPr>
            <w:tcW w:type="dxa" w:w="12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denunciante_id, animal_id, resolvido_por_id</w:t>
            </w:r>
          </w:p>
        </w:tc>
        <w:tc>
          <w:tcPr>
            <w:tcW w:type="dxa" w:w="27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RF-41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logs_auditoria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usuario_id → usuarios.id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RF-39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Normalização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O modelo está em 3FN: nenhuma coluna não-chave depende de outra coluna não-chave (ex.: pontuacoes_apoiador é uma tabela de cache separada, não colunas de “pontos” espalhadas em apoiadores, para não misturar um dado derivado/recalculável com o dado de cadastro). A única quebra deliberada de integridade referencial estrita é a de fotos.entidade_id, documentada na seção 3.1.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Índices além das chaves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ix_fotos_entidade em fotos (entidade_tipo, entidade_id) — toda leitura de fotos de um animal/perdido/avistamento filtra por essas duas colunas.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Índices de geolocalização (busca por raio no mapa, RF-07 a RF-11) ficam para quando o volume justificar — o Supabase já tem PostGIS disponível se for necessário migrar latitude/longitude para um tipo geography. Ponto em aberto, não bloqueia a Sprint 2.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5. Protótipo das telas principais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Protótipo em alta-fidelidade (Figma): </w:t>
      </w:r>
      <w:hyperlink w:history="1" r:id="rIdp79x39_f7evbqcjfnfz17">
        <w:r>
          <w:rPr>
            <w:rStyle w:val="Hyperlink"/>
            <w:color w:val="1155CC"/>
            <w:sz w:val="21"/>
            <w:szCs w:val="21"/>
            <w:u w:val="single"/>
          </w:rPr>
          <w:t xml:space="preserve">https://www.figma.com/design/hRa8GLWzc4vvVToGGQ4Zxe/Untitled?node-id=0-1</w:t>
        </w:r>
      </w:hyperlink>
    </w:p>
    <w:p>
      <w:pPr>
        <w:spacing w:after="160" w:line="288"/>
      </w:pPr>
      <w:r>
        <w:rPr>
          <w:color w:val="222222"/>
          <w:sz w:val="21"/>
          <w:szCs w:val="21"/>
        </w:rPr>
        <w:t xml:space="preserve">Wireframe original (base para a versão no Figma) também salvo em sprints/sprint-2/prototipo.html — abrir localmente no navegador funciona sem servidor. As sete telas principais estão reproduzidas abaixo; cada uma traz anotações marcadas DOC (já especificado no escopo), DOC parcial (existe mas incompleto) ou IDEIA (decisão da equipe, ainda não formalizada) — a mesma legenda usada no documento de descrição de páginas e fluxos, para manter rastreabilidade entre o que foi decidido e de onde veio a decisão.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Por que wireframe em vez de alta-fidelidade agora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Nesta Sprint o objetivo é validar fluxo e organização de informação, não identidade visual — decidir cor, tipografia e ilustração definitivas antes de fechar os fluxos (principalmente os pontos em aberto do reencontro e do perfil administrador, ainda os menos amadurecidos) seria retrabalho garantido. O wireframe usa caixas rotuladas e hachurado no lugar de fotos reais, mantendo o foco em: o que existe em cada tela, onde o usuário clica, e o que abre em seguida.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5.1 Autenticação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RF-02, escopo seção 2.1. Login único: o sistema identifica o perfil pelo e-mail cadastrado, sem botões separados por tipo de conta.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4 — Tela "Autenticação"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5.2 Cadastro — escolha de perfil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RF-01. Escolha entre tutor, abrigo/protetor ou apoiador no momento do cadastro.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5 — Tela "Cadastro — escolha de perfil"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5.3 Início — mapa e descoberta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RF-07, RF-08, RF-09. Mapa central com lista lateral sincronizada, abas por camada (abrigos, perdidos, avistados).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6 — Tela "Início — mapa e descoberta"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5.4 Perfil do Abrigo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RF-12, RF-13, RF-14. Informações do abrigo, catálogo de animais em grade e filtros de busca.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7 — Tela "Perfil do Abrigo"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5.5 Detalhe do Animal (modal)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RF-15, RF-16. Galeria de fotos, descrição completa e contato por WhatsApp com registro do interesse.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8 — Tela "Detalhe do Animal (modal)"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5.6 Perdi meu animal (wizard)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RF-19, RF-21 a RF-23. Etapas do wizard de registro de animal perdido e busca por similaridade visual.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9 — Tela "Perdi meu animal (wizard)"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5.7 Quem apoia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Requisitos: RF-30, RF-33, RF-35. Mural de necessidades dos abrigos e ranking de apoiadores.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10 — Tela "Quem apoia" do protótipo.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Próximo passo (fora da Sprint 2)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Quando os pontos em aberto de fluxo forem fechados pela equipe, refinar estas telas em alta-fidelidade — Figma ou outra ferramenta — já com identidade visual do BuscaPet.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6. Banco de dados criado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A estrutura inicial está implementada e pronta para ser aplicada — não com dados fictícios prontos ainda (isso é trabalho de “gerador de dados de teste”, já previsto no plano de sprints), mas o schema completo do modelo relacional da seção 4 já existe em duas formas equivalentes: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Migration Alembic (api/alembic/versions/0001_initial_schema.py) — a forma “de verdade” de criar o banco, com histórico versionado (cd api &amp;&amp; pip install -r requirements.txt &amp;&amp; alembic upgrade head).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DDL direto (docs/schema.sql) — mesma estrutura, para quem preferir colar direto no SQL Editor do Supabase sem passar por Python/Alembic.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Onde o banco está hospedado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Decisão de DevOps: Supabase free tier (Postgres com PostGIS disponível). O projeto Supabase free pausa após 1 semana de inatividade — reativar pelo painel antes de cada Sprint/apresentação é parte do checklist de entrega, não um imprevisto. A migration inicial já foi aplicada com sucesso no projeto do Supabase criado para a equipe: 19 tabelas de domínio mais a tabela de controle alembic_version foram confirmadas.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O que falta (não é escopo da Sprint 2)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Popular com dados de teste (abrigos, animais e fotos fictícias).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Índices de performance além dos mínimos de integridade — só quando o volume justificar.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A extração de descritores visuais em si (RF-21) não roda ainda — a coluna e a tabela descritores_visuais existem, o algoritmo é trabalho do núcleo OpenCL na Sprint 3.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80"/>
      </w:pPr>
      <w:r>
        <w:rPr>
          <w:b/>
          <w:bCs/>
          <w:color w:val="1F3B57"/>
          <w:sz w:val="30"/>
          <w:szCs w:val="30"/>
        </w:rPr>
        <w:t xml:space="preserve">7. Projeto estruturado no GitHub</w:t>
      </w:r>
    </w:p>
    <w:p>
      <w:pPr>
        <w:spacing w:after="160" w:line="288"/>
      </w:pPr>
      <w:r>
        <w:rPr>
          <w:color w:val="222222"/>
          <w:sz w:val="21"/>
          <w:szCs w:val="21"/>
        </w:rPr>
        <w:t xml:space="preserve">Organização: </w:t>
      </w:r>
      <w:hyperlink w:history="1" r:id="rIdm93y0g5hz9zrvidqs0pgw">
        <w:r>
          <w:rPr>
            <w:rStyle w:val="Hyperlink"/>
            <w:color w:val="1155CC"/>
            <w:sz w:val="21"/>
            <w:szCs w:val="21"/>
            <w:u w:val="single"/>
          </w:rPr>
          <w:t xml:space="preserve">https://github.com/Equipe-BuscaPet</w:t>
        </w:r>
      </w:hyperlink>
    </w:p>
    <w:p>
      <w:pPr>
        <w:spacing w:after="160" w:line="288"/>
      </w:pPr>
      <w:r>
        <w:rPr>
          <w:color w:val="222222"/>
          <w:sz w:val="21"/>
          <w:szCs w:val="21"/>
        </w:rPr>
        <w:t xml:space="preserve">O código do sistema (backend, núcleo OpenCL e frontend) vive no repositório BuscaPet-App; a documentação de escopo, sprints e diagramas vive em repositório separado (BuscaPet-Docs), para manter o histórico de decisões independente do histórico de código.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Estrutura entregue nesta Sprint (BuscaPet-App)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api/ — backend FastAPI: models, config, esqueleto de rotas, testes, Alembic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nucleo-opencl/ — serviço C/OpenCL: contrato de API definido, Dockerfile com PoCL, implementação na Sprint 3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frontend/ — a estruturar por Marlon (P3 — frontend/UX)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docker-compose.yml — orquestra os 5 serviços locais (frontend, api, nucleo-opencl, db, redis)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.github/workflows/ci.yml — lint (ruff) e testes (pytest) a cada Pull Request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CLAUDE.md — contexto do projeto para quem usa IA no desenvolvimento</w:t>
      </w:r>
    </w:p>
    <w:p>
      <w:pPr>
        <w:pStyle w:val="Heading2"/>
        <w:spacing w:after="140" w:before="320"/>
      </w:pPr>
      <w:r>
        <w:rPr>
          <w:b/>
          <w:bCs/>
          <w:color w:val="2E74B5"/>
          <w:sz w:val="24"/>
          <w:szCs w:val="24"/>
        </w:rPr>
        <w:t xml:space="preserve">Checklist de entrega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rPr>
          <w:tblHeader/>
        </w:trPr>
        <w:tc>
          <w:tcPr>
            <w:tcW w:type="dxa" w:w="735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Estrutura inicial de pastas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73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README.md com descrição do projeto</w:t>
            </w:r>
          </w:p>
        </w:tc>
        <w:tc>
          <w:tcPr>
            <w:tcW w:type="dxa" w:w="20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7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Modelos de banco, migration inicial e DDL versionados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73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Workflow de CI configurado (lint + testes a cada Pull Request)</w:t>
            </w:r>
          </w:p>
        </w:tc>
        <w:tc>
          <w:tcPr>
            <w:tcW w:type="dxa" w:w="20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7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Primeiro commit de cada integrante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735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Repositório criado na organização Equipe-BuscaPet</w:t>
            </w:r>
          </w:p>
        </w:tc>
        <w:tc>
          <w:tcPr>
            <w:tcW w:type="dxa" w:w="2000"/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7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Documentação técnica revisada e sem divergências entre diagramas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79x39_f7evbqcjfnfz17" Type="http://schemas.openxmlformats.org/officeDocument/2006/relationships/hyperlink" Target="https://www.figma.com/design/hRa8GLWzc4vvVToGGQ4Zxe/Untitled?node-id=0-1" TargetMode="External"/><Relationship Id="rIdm93y0g5hz9zrvidqs0pgw" Type="http://schemas.openxmlformats.org/officeDocument/2006/relationships/hyperlink" Target="https://github.com/Equipe-BuscaPet" TargetMode="External"/><Relationship Id="rId7" Type="http://schemas.openxmlformats.org/officeDocument/2006/relationships/image" Target="media/cddc529cadee206c08f1e37856e81a3aae644250.png"/><Relationship Id="rId8" Type="http://schemas.openxmlformats.org/officeDocument/2006/relationships/image" Target="media/fa9cf17acd88ec6cd403d2b19c9815094adb3882.png"/><Relationship Id="rId9" Type="http://schemas.openxmlformats.org/officeDocument/2006/relationships/image" Target="media/ed2ea52bda70f8fdda458523044ceb64b7678174.png"/><Relationship Id="rId10" Type="http://schemas.openxmlformats.org/officeDocument/2006/relationships/image" Target="media/6509e3774c95723ab24682b4e1cafd2ca7282b89.png"/><Relationship Id="rId11" Type="http://schemas.openxmlformats.org/officeDocument/2006/relationships/image" Target="media/5ebc6a682f79d269318b7965e171e582154beda4.png"/><Relationship Id="rId12" Type="http://schemas.openxmlformats.org/officeDocument/2006/relationships/image" Target="media/e4fbef1c386f5325a1e68074d09b7a3b4ee7f3be.png"/><Relationship Id="rId13" Type="http://schemas.openxmlformats.org/officeDocument/2006/relationships/image" Target="media/b699cb048b0b90f5efe30139dec07cfe189176c2.png"/><Relationship Id="rId14" Type="http://schemas.openxmlformats.org/officeDocument/2006/relationships/image" Target="media/5b6fcdf69a8c55ba9bba63ae0ecf6e8c0d6a9d38.png"/><Relationship Id="rId15" Type="http://schemas.openxmlformats.org/officeDocument/2006/relationships/image" Target="media/f7cdcb786e9776c96e9fded9ad5ce43c5bcefa13.png"/><Relationship Id="rId16" Type="http://schemas.openxmlformats.org/officeDocument/2006/relationships/image" Target="media/2e9347423895cc78ce077c2697e48c8a6b639ca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2026-09-19T16:01:07.077Z</dcterms:created>
  <dcterms:modified xsi:type="dcterms:W3CDTF">2026-09-19T16:01:07.087Z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