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Calibri" w:hAnsi="Calibri" w:cs="Calibri"/>
          <w:color w:themeColor="text1" w:val="000000"/>
          <w14:textFill>
            <w14:solidFill>
              <w14:schemeClr w14:val="tx1"/>
            </w14:solidFill>
          </w14:textFill>
        </w:rPr>
      </w:pPr>
      <w:r>
        <w:rPr/>
        <w:drawing>
          <wp:inline distT="0" distB="0" distL="0" distR="0">
            <wp:extent cx="760730" cy="840740"/>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rcRect l="-11" t="-10" r="-11" b="-10"/>
                    <a:stretch>
                      <a:fillRect/>
                    </a:stretch>
                  </pic:blipFill>
                  <pic:spPr bwMode="auto">
                    <a:xfrm>
                      <a:off x="0" y="0"/>
                      <a:ext cx="760730" cy="840740"/>
                    </a:xfrm>
                    <a:prstGeom prst="rect">
                      <a:avLst/>
                    </a:prstGeom>
                  </pic:spPr>
                </pic:pic>
              </a:graphicData>
            </a:graphic>
          </wp:inline>
        </w:drawing>
      </w:r>
    </w:p>
    <w:p>
      <w:pPr>
        <w:pStyle w:val="Normal"/>
        <w:snapToGrid w:val="false"/>
        <w:jc w:val="center"/>
        <w:rPr>
          <w:rFonts w:ascii="Calibri" w:hAnsi="Calibri" w:cs="Calibri"/>
          <w:b/>
          <w:color w:themeColor="text1" w:val="000000"/>
          <w:sz w:val="20"/>
          <w:szCs w:val="20"/>
          <w14:textFill>
            <w14:solidFill>
              <w14:schemeClr w14:val="tx1"/>
            </w14:solidFill>
          </w14:textFill>
        </w:rPr>
      </w:pPr>
      <w:r>
        <w:rPr>
          <w:rFonts w:cs="Calibri" w:ascii="Calibri" w:hAnsi="Calibri"/>
          <w:b/>
          <w:color w:themeColor="text1" w:val="000000"/>
          <w:sz w:val="20"/>
          <w:szCs w:val="20"/>
          <w14:textFill>
            <w14:solidFill>
              <w14:schemeClr w14:val="tx1"/>
            </w14:solidFill>
          </w14:textFill>
        </w:rPr>
        <w:t>MINISTÉRIO DA DEFESA</w:t>
      </w:r>
    </w:p>
    <w:p>
      <w:pPr>
        <w:pStyle w:val="Normal"/>
        <w:snapToGrid w:val="false"/>
        <w:jc w:val="center"/>
        <w:rPr>
          <w:rFonts w:ascii="Calibri" w:hAnsi="Calibri" w:cs="Calibri"/>
          <w:b/>
          <w:color w:themeColor="text1" w:val="000000"/>
          <w:sz w:val="20"/>
          <w:szCs w:val="20"/>
          <w14:textFill>
            <w14:solidFill>
              <w14:schemeClr w14:val="tx1"/>
            </w14:solidFill>
          </w14:textFill>
        </w:rPr>
      </w:pPr>
      <w:r>
        <w:rPr>
          <w:rFonts w:cs="Calibri" w:ascii="Calibri" w:hAnsi="Calibri"/>
          <w:b/>
          <w:color w:themeColor="text1" w:val="000000"/>
          <w:sz w:val="20"/>
          <w:szCs w:val="20"/>
          <w14:textFill>
            <w14:solidFill>
              <w14:schemeClr w14:val="tx1"/>
            </w14:solidFill>
          </w14:textFill>
        </w:rPr>
        <w:t>EXÉRCITO BRASILEIRO</w:t>
      </w:r>
    </w:p>
    <w:p>
      <w:pPr>
        <w:pStyle w:val="Normal"/>
        <w:snapToGrid w:val="false"/>
        <w:jc w:val="center"/>
        <w:rPr>
          <w:color w:val="000000"/>
        </w:rPr>
      </w:pPr>
      <w:r>
        <w:rPr>
          <w:rFonts w:cs="Calibri" w:ascii="Calibri" w:hAnsi="Calibri"/>
          <w:b/>
          <w:bCs/>
          <w:iCs/>
          <w:color w:val="000000"/>
          <w:sz w:val="20"/>
          <w:szCs w:val="20"/>
        </w:rPr>
        <w:t>BRIGADA DE INFANTARIA AEROMÓVEL</w:t>
      </w:r>
    </w:p>
    <w:p>
      <w:pPr>
        <w:pStyle w:val="Normal"/>
        <w:snapToGrid w:val="false"/>
        <w:jc w:val="center"/>
        <w:rPr>
          <w:color w:val="000000"/>
        </w:rPr>
      </w:pPr>
      <w:r>
        <w:rPr>
          <w:rFonts w:cs="Calibri" w:ascii="Calibri" w:hAnsi="Calibri"/>
          <w:b/>
          <w:bCs/>
          <w:iCs/>
          <w:color w:val="000000"/>
          <w:sz w:val="20"/>
          <w:szCs w:val="20"/>
        </w:rPr>
        <w:t>(5ª Brigada Estratégica/1908)</w:t>
      </w:r>
    </w:p>
    <w:p>
      <w:pPr>
        <w:pStyle w:val="Normal"/>
        <w:snapToGrid w:val="false"/>
        <w:jc w:val="center"/>
        <w:rPr>
          <w:color w:val="000000"/>
        </w:rPr>
      </w:pPr>
      <w:r>
        <w:rPr>
          <w:rFonts w:cs="Calibri" w:ascii="Calibri" w:hAnsi="Calibri"/>
          <w:b/>
          <w:bCs/>
          <w:iCs/>
          <w:color w:val="000000"/>
          <w:sz w:val="20"/>
          <w:szCs w:val="20"/>
        </w:rPr>
        <w:t>BRIGADA FORNOVO DI TARO</w:t>
      </w:r>
    </w:p>
    <w:p>
      <w:pPr>
        <w:pStyle w:val="Standard"/>
        <w:snapToGrid w:val="false"/>
        <w:spacing w:lineRule="auto" w:line="240" w:before="480" w:after="480"/>
        <w:jc w:val="center"/>
        <w:rPr>
          <w:color w:val="000000"/>
        </w:rPr>
      </w:pPr>
      <w:r>
        <w:rPr>
          <w:rFonts w:cs="Calibri" w:ascii="Calibri" w:hAnsi="Calibri"/>
          <w:color w:val="000000"/>
          <w:sz w:val="20"/>
          <w:szCs w:val="20"/>
        </w:rPr>
        <w:t xml:space="preserve">Número Único de Protocolo: </w:t>
      </w:r>
      <w:r>
        <w:rPr>
          <w:rFonts w:cs="Calibri" w:ascii="Calibri" w:hAnsi="Calibri"/>
          <w:bCs/>
          <w:color w:val="000000"/>
          <w:sz w:val="20"/>
          <w:szCs w:val="20"/>
          <w:highlight w:val="white"/>
          <w:shd w:fill="FFFFFF" w:val="clear"/>
        </w:rPr>
        <w:t>XXXX</w:t>
      </w:r>
    </w:p>
    <w:p>
      <w:pPr>
        <w:pStyle w:val="Normal"/>
        <w:spacing w:lineRule="auto" w:line="276" w:before="0" w:after="120"/>
        <w:jc w:val="center"/>
        <w:rPr>
          <w:color w:val="000000"/>
        </w:rPr>
      </w:pPr>
      <w:r>
        <w:rPr>
          <w:rFonts w:eastAsia="Arial" w:cs="Calibri" w:ascii="Calibri" w:hAnsi="Calibri"/>
          <w:b/>
          <w:color w:val="000000"/>
        </w:rPr>
        <w:t>PROJETO BÁSICO</w:t>
      </w:r>
    </w:p>
    <w:p>
      <w:pPr>
        <w:pStyle w:val="Normal"/>
        <w:snapToGrid w:val="false"/>
        <w:spacing w:before="240" w:after="480"/>
        <w:jc w:val="center"/>
        <w:rPr>
          <w:color w:val="000000"/>
        </w:rPr>
      </w:pPr>
      <w:r>
        <w:rPr>
          <w:rFonts w:eastAsia="Arial" w:cs="Calibri" w:ascii="Calibri" w:hAnsi="Calibri"/>
          <w:b/>
          <w:bCs/>
          <w:color w:val="000000"/>
          <w:lang w:val="pt-BR"/>
        </w:rPr>
        <w:t>Rede Elétrica Externa e SPDA</w:t>
      </w:r>
      <w:r>
        <w:rPr>
          <w:rFonts w:eastAsia="Arial" w:cs="Calibri" w:ascii="Calibri" w:hAnsi="Calibri"/>
          <w:b/>
          <w:bCs/>
          <w:color w:val="000000"/>
          <w:lang w:val="pt-BR"/>
        </w:rPr>
        <w:t xml:space="preserve"> de PNR ST/Sgt</w:t>
      </w:r>
    </w:p>
    <w:p>
      <w:pPr>
        <w:pStyle w:val="Normal"/>
        <w:numPr>
          <w:ilvl w:val="0"/>
          <w:numId w:val="1"/>
        </w:numPr>
        <w:snapToGrid w:val="false"/>
        <w:spacing w:before="240" w:after="120"/>
        <w:ind w:hanging="454" w:left="454"/>
        <w:jc w:val="both"/>
        <w:rPr>
          <w:rFonts w:ascii="Calibri" w:hAnsi="Calibri" w:eastAsia="Arial" w:cs="Calibri"/>
          <w:b/>
        </w:rPr>
      </w:pPr>
      <w:r>
        <w:rPr>
          <w:rFonts w:eastAsia="Arial" w:cs="Calibri" w:ascii="Calibri" w:hAnsi="Calibri"/>
          <w:b/>
          <w:color w:val="000000"/>
        </w:rPr>
        <w:t>OBJETO</w:t>
      </w:r>
    </w:p>
    <w:p>
      <w:pPr>
        <w:pStyle w:val="Normal"/>
        <w:spacing w:lineRule="auto" w:line="240"/>
        <w:rPr/>
      </w:pPr>
      <w:r>
        <w:rPr>
          <w:rFonts w:eastAsia="Arial" w:cs="Calibri" w:ascii="Calibri" w:hAnsi="Calibri"/>
          <w:color w:val="000000"/>
        </w:rPr>
        <w:t>Readequação das redes elétricas e do sistema de prevenção contra descargas atmosféricas (SPDA), dos PNR de ST/Sgt da Guarnição de Caçapava/SP</w:t>
      </w:r>
      <w:r>
        <w:rPr>
          <w:rFonts w:eastAsia="Arial" w:cs="Calibri" w:ascii="Calibri" w:hAnsi="Calibri"/>
          <w:color w:val="000000"/>
        </w:rPr>
        <w:t>.</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rPr>
        <w:t>JUSTIFICATIVA E OBJETIVO DA CONTRATAÇÃO</w:t>
      </w:r>
    </w:p>
    <w:p>
      <w:pPr>
        <w:pStyle w:val="Normal"/>
        <w:tabs>
          <w:tab w:val="clear" w:pos="720"/>
          <w:tab w:val="left" w:pos="620" w:leader="none"/>
        </w:tabs>
        <w:snapToGrid w:val="false"/>
        <w:spacing w:before="120" w:after="120"/>
        <w:jc w:val="both"/>
        <w:rPr>
          <w:color w:val="000000"/>
        </w:rPr>
      </w:pPr>
      <w:r>
        <w:rPr>
          <w:rFonts w:eastAsia="Arial" w:cs="Calibri" w:ascii="Calibri" w:hAnsi="Calibri"/>
          <w:color w:val="000000"/>
          <w:lang w:val="pt-BR"/>
        </w:rPr>
        <w:t>O poste auxiliar de entrada de energia elétrica do bloco 3 da Vila Militar Frei Galvão, destinada a PNR para ST/Sgt, rompeu, comprometendo o fornecimento de energia. O padrão de entrada dos três blocos são antigos e a concessionária local exige a atualização do mesmo para prestar o serviço de substituição de posteamento. Nesse ensejo, serão substituídos os outros dois postes e a renovação de todos os medidores.</w:t>
      </w:r>
    </w:p>
    <w:p>
      <w:pPr>
        <w:pStyle w:val="Normal"/>
        <w:tabs>
          <w:tab w:val="clear" w:pos="720"/>
          <w:tab w:val="left" w:pos="620" w:leader="none"/>
        </w:tabs>
        <w:snapToGrid w:val="false"/>
        <w:spacing w:before="120" w:after="120"/>
        <w:jc w:val="both"/>
        <w:rPr>
          <w:color w:val="000000"/>
        </w:rPr>
      </w:pPr>
      <w:r>
        <w:rPr>
          <w:rFonts w:eastAsia="Arial" w:cs="Calibri" w:ascii="Calibri" w:hAnsi="Calibri"/>
          <w:color w:val="000000"/>
          <w:lang w:val="pt-BR"/>
        </w:rPr>
        <w:t>O sistema de proteção contra descargas atmosféricas (SPDA) está inutilizado e desatualizado com as atuais normas, necessitando de substituição completa, para os três blocos.</w:t>
      </w:r>
    </w:p>
    <w:p>
      <w:pPr>
        <w:pStyle w:val="Normal"/>
        <w:tabs>
          <w:tab w:val="clear" w:pos="720"/>
          <w:tab w:val="left" w:pos="620" w:leader="none"/>
        </w:tabs>
        <w:snapToGrid w:val="false"/>
        <w:spacing w:before="120" w:after="120"/>
        <w:jc w:val="both"/>
        <w:rPr>
          <w:color w:val="000000"/>
        </w:rPr>
      </w:pPr>
      <w:r>
        <w:rPr>
          <w:rFonts w:cs="Calibri" w:ascii="Calibri" w:hAnsi="Calibri"/>
          <w:color w:val="000000"/>
        </w:rPr>
        <w:t xml:space="preserve">A intervenção visa </w:t>
      </w:r>
      <w:r>
        <w:rPr>
          <w:rFonts w:cs="Calibri" w:ascii="Calibri" w:hAnsi="Calibri"/>
          <w:color w:val="000000"/>
          <w:lang w:val="pt-BR"/>
        </w:rPr>
        <w:t>restabelecer o</w:t>
      </w:r>
      <w:r>
        <w:rPr>
          <w:rFonts w:cs="Calibri" w:ascii="Calibri" w:hAnsi="Calibri"/>
          <w:color w:val="000000"/>
          <w:lang w:val="pt-BR"/>
        </w:rPr>
        <w:t>s</w:t>
      </w:r>
      <w:r>
        <w:rPr>
          <w:rFonts w:cs="Calibri" w:ascii="Calibri" w:hAnsi="Calibri"/>
          <w:color w:val="000000"/>
          <w:lang w:val="pt-BR"/>
        </w:rPr>
        <w:t xml:space="preserve"> sistema</w:t>
      </w:r>
      <w:r>
        <w:rPr>
          <w:rFonts w:cs="Calibri" w:ascii="Calibri" w:hAnsi="Calibri"/>
          <w:color w:val="000000"/>
          <w:lang w:val="pt-BR"/>
        </w:rPr>
        <w:t>s</w:t>
      </w:r>
      <w:r>
        <w:rPr>
          <w:rFonts w:cs="Calibri" w:ascii="Calibri" w:hAnsi="Calibri"/>
          <w:color w:val="000000"/>
          <w:lang w:val="pt-BR"/>
        </w:rPr>
        <w:t xml:space="preserve"> </w:t>
      </w:r>
      <w:r>
        <w:rPr>
          <w:rFonts w:cs="Calibri" w:ascii="Calibri" w:hAnsi="Calibri"/>
          <w:color w:val="000000"/>
          <w:lang w:val="pt-BR"/>
        </w:rPr>
        <w:t>elétrico externo e de SPDA dos três blocos</w:t>
      </w:r>
      <w:r>
        <w:rPr>
          <w:rFonts w:eastAsia="Arial" w:cs="Calibri" w:ascii="Calibri" w:hAnsi="Calibri"/>
          <w:color w:val="000000"/>
        </w:rPr>
        <w:t>.</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rPr>
        <w:t>LOCAL DA OBRA</w:t>
      </w:r>
    </w:p>
    <w:p>
      <w:pPr>
        <w:pStyle w:val="Normal"/>
        <w:snapToGrid w:val="false"/>
        <w:spacing w:before="120" w:after="120"/>
        <w:jc w:val="both"/>
        <w:rPr>
          <w:color w:val="000000"/>
        </w:rPr>
      </w:pPr>
      <w:r>
        <w:rPr>
          <w:rFonts w:eastAsia="Arial" w:cs="Calibri" w:ascii="Calibri" w:hAnsi="Calibri"/>
          <w:bCs/>
          <w:color w:val="000000"/>
        </w:rPr>
        <w:t>Vila Militar Frei Galvão</w:t>
      </w:r>
      <w:r>
        <w:rPr>
          <w:rFonts w:eastAsia="Arial" w:cs="Calibri" w:ascii="Calibri" w:hAnsi="Calibri"/>
          <w:bCs/>
          <w:color w:val="000000"/>
        </w:rPr>
        <w:t>, estabelecid</w:t>
      </w:r>
      <w:r>
        <w:rPr>
          <w:rFonts w:eastAsia="Arial" w:cs="Calibri" w:ascii="Calibri" w:hAnsi="Calibri"/>
          <w:bCs/>
          <w:color w:val="000000"/>
          <w:lang w:val="pt-BR"/>
        </w:rPr>
        <w:t>o</w:t>
      </w:r>
      <w:r>
        <w:rPr>
          <w:rFonts w:eastAsia="Arial" w:cs="Calibri" w:ascii="Calibri" w:hAnsi="Calibri"/>
          <w:bCs/>
          <w:color w:val="000000"/>
        </w:rPr>
        <w:t xml:space="preserve"> à </w:t>
      </w:r>
      <w:r>
        <w:rPr>
          <w:rFonts w:eastAsia="Arial" w:cs="Calibri" w:ascii="Calibri" w:hAnsi="Calibri"/>
          <w:bCs/>
          <w:color w:val="000000"/>
          <w:lang w:val="pt-BR"/>
        </w:rPr>
        <w:t>rua Soldado José Alves de Abreu, 148, 152 e 184</w:t>
      </w:r>
      <w:r>
        <w:rPr>
          <w:rFonts w:cs="Calibri" w:ascii="Calibri" w:hAnsi="Calibri"/>
          <w:bCs/>
          <w:color w:val="000000"/>
        </w:rPr>
        <w:t xml:space="preserve">, bairro </w:t>
      </w:r>
      <w:r>
        <w:rPr>
          <w:rFonts w:cs="Calibri" w:ascii="Calibri" w:hAnsi="Calibri"/>
          <w:bCs/>
          <w:color w:val="000000"/>
          <w:lang w:val="pt-BR"/>
        </w:rPr>
        <w:t>Jardim Rafael</w:t>
      </w:r>
      <w:r>
        <w:rPr>
          <w:rFonts w:cs="Calibri" w:ascii="Calibri" w:hAnsi="Calibri"/>
          <w:bCs/>
          <w:color w:val="000000"/>
        </w:rPr>
        <w:t xml:space="preserve">, município de </w:t>
      </w:r>
      <w:r>
        <w:rPr>
          <w:rFonts w:cs="Calibri" w:ascii="Calibri" w:hAnsi="Calibri"/>
          <w:bCs/>
          <w:color w:val="000000"/>
        </w:rPr>
        <w:t>Caçapava</w:t>
      </w:r>
      <w:r>
        <w:rPr>
          <w:rFonts w:cs="Calibri" w:ascii="Calibri" w:hAnsi="Calibri"/>
          <w:bCs/>
          <w:color w:val="000000"/>
        </w:rPr>
        <w:t>/SP, CEP: 12.</w:t>
      </w:r>
      <w:r>
        <w:rPr>
          <w:rFonts w:cs="Calibri" w:ascii="Calibri" w:hAnsi="Calibri"/>
          <w:bCs/>
          <w:color w:val="000000"/>
        </w:rPr>
        <w:t>280-070</w:t>
      </w:r>
      <w:r>
        <w:rPr>
          <w:rFonts w:cs="Calibri" w:ascii="Calibri" w:hAnsi="Calibri"/>
          <w:bCs/>
          <w:color w:val="000000"/>
        </w:rPr>
        <w:t>.</w:t>
      </w:r>
    </w:p>
    <w:p>
      <w:pPr>
        <w:pStyle w:val="Normal"/>
        <w:snapToGrid w:val="false"/>
        <w:spacing w:before="120" w:after="120"/>
        <w:jc w:val="both"/>
        <w:rPr>
          <w:color w:val="000000"/>
        </w:rPr>
      </w:pPr>
      <w:r>
        <w:rPr>
          <w:rFonts w:eastAsia="SimSun" w:cs="Calibri" w:ascii="Calibri" w:hAnsi="Calibri"/>
          <w:color w:val="000000"/>
        </w:rPr>
        <w:t xml:space="preserve">Lote patrimonial – NOCAD </w:t>
      </w:r>
      <w:r>
        <w:rPr>
          <w:rFonts w:eastAsia="SimSun" w:cs="Calibri" w:ascii="Calibri" w:hAnsi="Calibri"/>
          <w:color w:val="000000"/>
        </w:rPr>
        <w:t xml:space="preserve">SP </w:t>
      </w:r>
      <w:r>
        <w:rPr>
          <w:rFonts w:eastAsia="SimSun" w:cs="Calibri" w:ascii="Calibri" w:hAnsi="Calibri"/>
          <w:color w:val="000000"/>
          <w:lang w:val="pt-BR"/>
        </w:rPr>
        <w:t>02-</w:t>
      </w:r>
      <w:r>
        <w:rPr>
          <w:rFonts w:eastAsia="SimSun" w:cs="Calibri" w:ascii="Calibri" w:hAnsi="Calibri"/>
          <w:color w:val="000000"/>
          <w:lang w:val="pt-BR"/>
        </w:rPr>
        <w:t>0018</w:t>
      </w:r>
      <w:r>
        <w:rPr>
          <w:rFonts w:eastAsia="SimSun" w:cs="Calibri" w:ascii="Calibri" w:hAnsi="Calibri"/>
          <w:color w:val="000000"/>
        </w:rPr>
        <w:t xml:space="preserve">; e RIP nº </w:t>
      </w:r>
      <w:r>
        <w:rPr>
          <w:rFonts w:eastAsia="SimSun" w:cs="Calibri" w:ascii="Calibri" w:hAnsi="Calibri"/>
          <w:color w:val="000000"/>
          <w:lang w:val="pt-BR"/>
        </w:rPr>
        <w:t>6271000205006</w:t>
      </w:r>
      <w:r>
        <w:rPr>
          <w:rFonts w:eastAsia="SimSun" w:cs="Calibri" w:ascii="Calibri" w:hAnsi="Calibri"/>
          <w:color w:val="000000"/>
        </w:rPr>
        <w:t>.</w:t>
      </w:r>
    </w:p>
    <w:p>
      <w:pPr>
        <w:pStyle w:val="Normal"/>
        <w:numPr>
          <w:ilvl w:val="0"/>
          <w:numId w:val="1"/>
        </w:numPr>
        <w:snapToGrid w:val="false"/>
        <w:spacing w:before="240" w:after="120"/>
        <w:jc w:val="both"/>
        <w:rPr>
          <w:color w:val="000000"/>
        </w:rPr>
      </w:pPr>
      <w:r>
        <w:rPr>
          <w:rFonts w:eastAsia="Arial" w:cs="Calibri" w:ascii="Calibri" w:hAnsi="Calibri"/>
          <w:b/>
          <w:color w:val="000000"/>
        </w:rPr>
        <w:t>PROPRIEDADE DO LOCAL DO OBJETO</w:t>
      </w:r>
    </w:p>
    <w:p>
      <w:pPr>
        <w:pStyle w:val="Normal"/>
        <w:snapToGrid w:val="false"/>
        <w:spacing w:before="240" w:after="120"/>
        <w:jc w:val="both"/>
        <w:rPr>
          <w:rFonts w:ascii="Calibri" w:hAnsi="Calibri" w:eastAsia="Arial" w:cs="Calibri"/>
          <w:bCs/>
          <w:color w:val="auto"/>
        </w:rPr>
      </w:pPr>
      <w:r>
        <w:rPr>
          <w:rFonts w:eastAsia="Arial" w:cs="Calibri" w:ascii="Calibri" w:hAnsi="Calibri"/>
          <w:bCs/>
          <w:color w:val="auto"/>
        </w:rPr>
        <w:t>O local do objeto referente a este Pro</w:t>
      </w:r>
      <w:r>
        <w:rPr>
          <w:rFonts w:eastAsia="Arial" w:cs="Calibri" w:ascii="Calibri" w:hAnsi="Calibri"/>
          <w:bCs/>
          <w:color w:val="000000"/>
        </w:rPr>
        <w:t xml:space="preserve">jeto Básico é de responsabilidade da Unidade Gestora </w:t>
      </w:r>
      <w:r>
        <w:rPr>
          <w:rFonts w:eastAsia="Arial" w:cs="Calibri" w:ascii="Calibri" w:hAnsi="Calibri"/>
          <w:bCs/>
          <w:color w:val="000000"/>
        </w:rPr>
        <w:t xml:space="preserve">Comando da Brigada </w:t>
      </w:r>
      <w:r>
        <w:rPr>
          <w:rFonts w:eastAsia="Arial" w:cs="Calibri" w:ascii="Calibri" w:hAnsi="Calibri"/>
          <w:color w:val="000000"/>
        </w:rPr>
        <w:t>de Infantaria Aeromóvel</w:t>
      </w:r>
      <w:r>
        <w:rPr>
          <w:rFonts w:eastAsia="Arial" w:cs="Calibri" w:ascii="Calibri" w:hAnsi="Calibri"/>
          <w:bCs/>
          <w:color w:val="000000"/>
        </w:rPr>
        <w:t xml:space="preserve">, de acordo com o Título de Propriedade do imóvel </w:t>
      </w:r>
      <w:r>
        <w:rPr>
          <w:rFonts w:eastAsia="SimSun" w:cs="Calibri" w:ascii="Calibri" w:hAnsi="Calibri"/>
          <w:color w:val="000000"/>
        </w:rPr>
        <w:t xml:space="preserve">nº </w:t>
      </w:r>
      <w:r>
        <w:rPr>
          <w:rFonts w:eastAsia="SimSun" w:cs="Calibri" w:ascii="Calibri" w:hAnsi="Calibri"/>
          <w:color w:val="000000"/>
        </w:rPr>
        <w:t>10.664</w:t>
      </w:r>
      <w:r>
        <w:rPr>
          <w:rFonts w:eastAsia="SimSun" w:cs="Calibri" w:ascii="Calibri" w:hAnsi="Calibri"/>
          <w:color w:val="000000"/>
          <w:lang w:val="pt-BR"/>
        </w:rPr>
        <w:t>, Livro</w:t>
      </w:r>
      <w:bookmarkStart w:id="0" w:name="_GoBack"/>
      <w:bookmarkEnd w:id="0"/>
      <w:r>
        <w:rPr>
          <w:rFonts w:eastAsia="SimSun" w:cs="Calibri" w:ascii="Calibri" w:hAnsi="Calibri"/>
          <w:color w:val="000000"/>
          <w:lang w:val="pt-BR"/>
        </w:rPr>
        <w:t xml:space="preserve"> 3</w:t>
      </w:r>
      <w:r>
        <w:rPr>
          <w:rFonts w:eastAsia="SimSun" w:cs="Calibri" w:ascii="Calibri" w:hAnsi="Calibri"/>
          <w:color w:val="000000"/>
          <w:lang w:val="pt-BR"/>
        </w:rPr>
        <w:t>K</w:t>
      </w:r>
      <w:r>
        <w:rPr>
          <w:rFonts w:eastAsia="SimSun" w:cs="Calibri" w:ascii="Calibri" w:hAnsi="Calibri"/>
          <w:color w:val="000000"/>
          <w:lang w:val="pt-BR"/>
        </w:rPr>
        <w:t>, Folha 1</w:t>
      </w:r>
      <w:r>
        <w:rPr>
          <w:rFonts w:eastAsia="SimSun" w:cs="Calibri" w:ascii="Calibri" w:hAnsi="Calibri"/>
          <w:color w:val="000000"/>
          <w:lang w:val="pt-BR"/>
        </w:rPr>
        <w:t>60</w:t>
      </w:r>
      <w:r>
        <w:rPr>
          <w:rFonts w:eastAsia="SimSun" w:cs="Calibri" w:ascii="Calibri" w:hAnsi="Calibri"/>
          <w:color w:val="000000"/>
          <w:lang w:val="pt-BR"/>
        </w:rPr>
        <w:t xml:space="preserve">, Cartório de Registro de Imóveis da Comarca de </w:t>
      </w:r>
      <w:r>
        <w:rPr>
          <w:rFonts w:eastAsia="SimSun" w:cs="Calibri" w:ascii="Calibri" w:hAnsi="Calibri"/>
          <w:color w:val="000000"/>
          <w:lang w:val="pt-BR"/>
        </w:rPr>
        <w:t>Caçapava</w:t>
      </w:r>
      <w:r>
        <w:rPr>
          <w:rFonts w:eastAsia="SimSun" w:cs="Calibri" w:ascii="Calibri" w:hAnsi="Calibri"/>
          <w:color w:val="000000"/>
          <w:lang w:val="pt-BR"/>
        </w:rPr>
        <w:t xml:space="preserve">/SP, de </w:t>
      </w:r>
      <w:r>
        <w:rPr>
          <w:rFonts w:eastAsia="SimSun" w:cs="Calibri" w:ascii="Calibri" w:hAnsi="Calibri"/>
          <w:color w:val="000000"/>
          <w:lang w:val="pt-BR"/>
        </w:rPr>
        <w:t>1º</w:t>
      </w:r>
      <w:r>
        <w:rPr>
          <w:rFonts w:eastAsia="SimSun" w:cs="Calibri" w:ascii="Calibri" w:hAnsi="Calibri"/>
          <w:color w:val="000000"/>
          <w:lang w:val="pt-BR"/>
        </w:rPr>
        <w:t xml:space="preserve"> de </w:t>
      </w:r>
      <w:r>
        <w:rPr>
          <w:rFonts w:eastAsia="SimSun" w:cs="Calibri" w:ascii="Calibri" w:hAnsi="Calibri"/>
          <w:color w:val="000000"/>
          <w:lang w:val="pt-BR"/>
        </w:rPr>
        <w:t>setembro</w:t>
      </w:r>
      <w:r>
        <w:rPr>
          <w:rFonts w:eastAsia="SimSun" w:cs="Calibri" w:ascii="Calibri" w:hAnsi="Calibri"/>
          <w:color w:val="000000"/>
          <w:lang w:val="pt-BR"/>
        </w:rPr>
        <w:t xml:space="preserve"> de 196</w:t>
      </w:r>
      <w:r>
        <w:rPr>
          <w:rFonts w:eastAsia="SimSun" w:cs="Calibri" w:ascii="Calibri" w:hAnsi="Calibri"/>
          <w:color w:val="000000"/>
          <w:lang w:val="pt-BR"/>
        </w:rPr>
        <w:t>6</w:t>
      </w:r>
      <w:r>
        <w:rPr>
          <w:rFonts w:eastAsia="Arial" w:cs="Calibri" w:ascii="Calibri" w:hAnsi="Calibri"/>
          <w:bCs/>
          <w:color w:val="000000"/>
        </w:rPr>
        <w:t>.</w:t>
      </w:r>
    </w:p>
    <w:p>
      <w:pPr>
        <w:pStyle w:val="Normal"/>
        <w:numPr>
          <w:ilvl w:val="0"/>
          <w:numId w:val="1"/>
        </w:numPr>
        <w:snapToGrid w:val="false"/>
        <w:spacing w:before="240" w:after="120"/>
        <w:jc w:val="both"/>
        <w:rPr>
          <w:color w:val="000000"/>
        </w:rPr>
      </w:pPr>
      <w:r>
        <w:rPr>
          <w:rFonts w:eastAsia="Arial" w:cs="Calibri" w:ascii="Calibri" w:hAnsi="Calibri"/>
          <w:b/>
          <w:color w:val="000000"/>
        </w:rPr>
        <w:t>DESCRIÇÃO DA SOLUÇÃO</w:t>
      </w:r>
    </w:p>
    <w:p>
      <w:pPr>
        <w:pStyle w:val="Normal"/>
        <w:tabs>
          <w:tab w:val="clear" w:pos="720"/>
          <w:tab w:val="left" w:pos="629" w:leader="none"/>
        </w:tabs>
        <w:snapToGrid w:val="false"/>
        <w:spacing w:before="120" w:after="120"/>
        <w:jc w:val="both"/>
        <w:rPr>
          <w:color w:val="FF0000"/>
        </w:rPr>
      </w:pPr>
      <w:r>
        <w:rPr>
          <w:rFonts w:cs="Calibri" w:ascii="Calibri" w:hAnsi="Calibri"/>
          <w:color w:val="000000"/>
        </w:rPr>
        <w:t xml:space="preserve">A proposta de execução compreende os seguintes serviços: </w:t>
      </w:r>
      <w:r>
        <w:rPr>
          <w:rFonts w:eastAsia="Arial" w:cs="Calibri" w:ascii="Calibri" w:hAnsi="Calibri"/>
          <w:color w:val="000000"/>
          <w:lang w:val="pt-BR"/>
        </w:rPr>
        <w:t>demolição d</w:t>
      </w:r>
      <w:r>
        <w:rPr>
          <w:rFonts w:eastAsia="Arial" w:cs="Calibri" w:ascii="Calibri" w:hAnsi="Calibri"/>
          <w:color w:val="000000"/>
          <w:lang w:val="pt-BR"/>
        </w:rPr>
        <w:t>e</w:t>
      </w:r>
      <w:r>
        <w:rPr>
          <w:rFonts w:eastAsia="Arial" w:cs="Calibri" w:ascii="Calibri" w:hAnsi="Calibri"/>
          <w:color w:val="000000"/>
          <w:lang w:val="pt-BR"/>
        </w:rPr>
        <w:t xml:space="preserve"> </w:t>
      </w:r>
      <w:r>
        <w:rPr>
          <w:rFonts w:eastAsia="Arial" w:cs="Calibri" w:ascii="Calibri" w:hAnsi="Calibri"/>
          <w:color w:val="000000"/>
          <w:lang w:val="pt-BR"/>
        </w:rPr>
        <w:t>posteamento</w:t>
      </w:r>
      <w:r>
        <w:rPr>
          <w:rFonts w:eastAsia="Arial" w:cs="Calibri" w:ascii="Calibri" w:hAnsi="Calibri"/>
          <w:color w:val="000000"/>
          <w:lang w:val="pt-BR"/>
        </w:rPr>
        <w:t xml:space="preserve">, </w:t>
      </w:r>
      <w:r>
        <w:rPr>
          <w:rFonts w:eastAsia="Arial" w:cs="Calibri" w:ascii="Calibri" w:hAnsi="Calibri"/>
          <w:color w:val="000000"/>
          <w:lang w:val="pt-BR"/>
        </w:rPr>
        <w:t>construção de um centro de medição e dos SPDA dos Blocos</w:t>
      </w:r>
      <w:r>
        <w:rPr>
          <w:rFonts w:eastAsia="Arial" w:cs="Calibri" w:ascii="Calibri" w:hAnsi="Calibri"/>
          <w:color w:val="000000"/>
        </w:rPr>
        <w:t>.</w:t>
      </w:r>
    </w:p>
    <w:p>
      <w:pPr>
        <w:pStyle w:val="Normal"/>
        <w:tabs>
          <w:tab w:val="clear" w:pos="720"/>
          <w:tab w:val="left" w:pos="629" w:leader="none"/>
        </w:tabs>
        <w:snapToGrid w:val="false"/>
        <w:spacing w:before="120" w:after="120"/>
        <w:jc w:val="both"/>
        <w:rPr>
          <w:rFonts w:ascii="Calibri" w:hAnsi="Calibri" w:eastAsia="Arial" w:cs="Calibri"/>
        </w:rPr>
      </w:pPr>
      <w:r>
        <w:rPr>
          <w:rFonts w:eastAsia="Arial" w:cs="Calibri" w:ascii="Calibri" w:hAnsi="Calibri"/>
        </w:rPr>
        <w:t>A descrição completa da solução, encontra-se pormenorizada no anexo - Especificações Técnicas, a este Projeto Básico.</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rPr>
        <w:t>CLASSIFICAÇÃO DO OBJETO E FORMA DE SELEÇÃO DO FORNECEDOR</w:t>
      </w:r>
    </w:p>
    <w:p>
      <w:pPr>
        <w:pStyle w:val="Normal"/>
        <w:tabs>
          <w:tab w:val="clear" w:pos="720"/>
          <w:tab w:val="left" w:pos="629" w:leader="none"/>
        </w:tabs>
        <w:snapToGrid w:val="false"/>
        <w:spacing w:before="120" w:after="120"/>
        <w:jc w:val="both"/>
        <w:rPr>
          <w:rFonts w:ascii="Calibri" w:hAnsi="Calibri" w:eastAsia="Arial" w:cs="Calibri"/>
          <w:color w:val="auto"/>
        </w:rPr>
      </w:pPr>
      <w:r>
        <w:rPr>
          <w:rFonts w:eastAsia="Arial" w:cs="Calibri" w:ascii="Calibri" w:hAnsi="Calibri"/>
          <w:color w:val="auto"/>
        </w:rPr>
        <w:t>Trata-se</w:t>
      </w:r>
      <w:r>
        <w:rPr>
          <w:rFonts w:eastAsia="Arial" w:cs="Calibri" w:ascii="Calibri" w:hAnsi="Calibri"/>
          <w:color w:val="000000"/>
        </w:rPr>
        <w:t xml:space="preserve"> de </w:t>
      </w:r>
      <w:r>
        <w:rPr>
          <w:rFonts w:cs="Calibri" w:ascii="Calibri" w:hAnsi="Calibri"/>
          <w:color w:val="000000"/>
        </w:rPr>
        <w:t>serviço comum</w:t>
      </w:r>
      <w:r>
        <w:rPr>
          <w:rFonts w:cs="Calibri" w:ascii="Calibri" w:hAnsi="Calibri"/>
          <w:color w:val="000000"/>
          <w:lang w:val="pt-BR"/>
        </w:rPr>
        <w:t xml:space="preserve"> </w:t>
      </w:r>
      <w:r>
        <w:rPr>
          <w:rFonts w:cs="Calibri" w:ascii="Calibri" w:hAnsi="Calibri"/>
          <w:color w:val="000000"/>
        </w:rPr>
        <w:t>de enge</w:t>
      </w:r>
      <w:r>
        <w:rPr>
          <w:rFonts w:cs="Calibri" w:ascii="Calibri" w:hAnsi="Calibri"/>
          <w:color w:val="000000"/>
        </w:rPr>
        <w:t>nharia</w:t>
      </w:r>
      <w:r>
        <w:rPr>
          <w:rFonts w:eastAsia="Arial" w:cs="Calibri" w:ascii="Calibri" w:hAnsi="Calibri"/>
          <w:color w:val="000000"/>
        </w:rPr>
        <w:t>, a ser contratado mediante processo licitatório, na modalidade</w:t>
      </w:r>
      <w:r>
        <w:rPr>
          <w:rFonts w:eastAsia="Arial" w:cs="Calibri" w:ascii="Calibri" w:hAnsi="Calibri"/>
          <w:color w:val="000000"/>
        </w:rPr>
        <w:t xml:space="preserve"> </w:t>
      </w:r>
      <w:r>
        <w:rPr>
          <w:rFonts w:cs="Calibri" w:ascii="Calibri" w:hAnsi="Calibri"/>
          <w:color w:val="000000"/>
        </w:rPr>
        <w:t>pregão, em sua forma eletrônica</w:t>
      </w:r>
      <w:r>
        <w:rPr>
          <w:rFonts w:eastAsia="Arial" w:cs="Calibri" w:ascii="Calibri" w:hAnsi="Calibri"/>
          <w:color w:val="000000"/>
        </w:rPr>
        <w:t xml:space="preserve">, conforme enquadramento do </w:t>
      </w:r>
      <w:r>
        <w:rPr>
          <w:rFonts w:eastAsia="Arial" w:cs="Arial" w:ascii="Calibri" w:hAnsi="Calibri" w:cstheme="minorHAnsi"/>
          <w:color w:val="000000"/>
        </w:rPr>
        <w:t xml:space="preserve">engenheiro </w:t>
      </w:r>
      <w:r>
        <w:rPr>
          <w:rFonts w:eastAsia="Arial" w:cs="Arial" w:ascii="Calibri" w:hAnsi="Calibri" w:cstheme="minorHAnsi"/>
          <w:color w:val="000000"/>
        </w:rPr>
        <w:t>Saumo Josino Cardoso Baggini Azevedo</w:t>
      </w:r>
      <w:r>
        <w:rPr>
          <w:rFonts w:eastAsia="Arial" w:cs="Arial" w:ascii="Calibri" w:hAnsi="Calibri" w:cstheme="minorHAnsi"/>
          <w:color w:val="000000"/>
          <w:lang w:eastAsia="zh-CN"/>
        </w:rPr>
        <w:t xml:space="preserve"> – 2º Ten OTT,</w:t>
      </w:r>
      <w:r>
        <w:rPr>
          <w:rFonts w:eastAsia="Arial" w:cs="Arial" w:ascii="Calibri" w:hAnsi="Calibri" w:cstheme="minorHAnsi"/>
          <w:color w:val="000000"/>
        </w:rPr>
        <w:t xml:space="preserve"> inscrito no CREA sob nº </w:t>
      </w:r>
      <w:r>
        <w:rPr>
          <w:rFonts w:eastAsia="Arial" w:cs="Arial" w:ascii="Calibri" w:hAnsi="Calibri" w:cstheme="minorHAnsi"/>
          <w:color w:val="000000"/>
        </w:rPr>
        <w:t>507042900</w:t>
      </w:r>
      <w:r>
        <w:rPr>
          <w:rFonts w:eastAsia="Arial" w:cs="Arial" w:ascii="Calibri" w:hAnsi="Calibri" w:cstheme="minorHAnsi"/>
          <w:color w:val="000000"/>
        </w:rPr>
        <w:t>, conforme justificativa apresentada no item 1.1 do Termo de Justificativas Técnicas Rele</w:t>
      </w:r>
      <w:r>
        <w:rPr>
          <w:rFonts w:eastAsia="Arial" w:cs="Arial" w:ascii="Calibri" w:hAnsi="Calibri" w:cstheme="minorHAnsi"/>
          <w:color w:val="auto"/>
        </w:rPr>
        <w:t>vantes, anexo a este Projeto Básico.</w:t>
      </w:r>
    </w:p>
    <w:p>
      <w:pPr>
        <w:pStyle w:val="Normal"/>
        <w:tabs>
          <w:tab w:val="clear" w:pos="720"/>
          <w:tab w:val="left" w:pos="629" w:leader="none"/>
        </w:tabs>
        <w:snapToGrid w:val="false"/>
        <w:spacing w:before="120" w:after="120"/>
        <w:jc w:val="both"/>
        <w:rPr>
          <w:rFonts w:ascii="Calibri" w:hAnsi="Calibri" w:eastAsia="Arial" w:cs="Calibri"/>
        </w:rPr>
      </w:pPr>
      <w:r>
        <w:rPr>
          <w:rFonts w:eastAsia="Arial" w:cs="Calibri" w:ascii="Calibri" w:hAnsi="Calibri"/>
        </w:rPr>
        <w:t>Os serviços a serem contratados enquadram-se nos pressupostos do Decreto n° 9.507, de 21 de setembro de 2018, não se constituindo em quaisquer das atividades, previstas no artigo 3º do aludido Decreto, cuja execução indireta é vedada.</w:t>
      </w:r>
    </w:p>
    <w:p>
      <w:pPr>
        <w:pStyle w:val="Normal"/>
        <w:tabs>
          <w:tab w:val="clear" w:pos="720"/>
          <w:tab w:val="left" w:pos="629" w:leader="none"/>
        </w:tabs>
        <w:snapToGrid w:val="false"/>
        <w:spacing w:before="120" w:after="120"/>
        <w:jc w:val="both"/>
        <w:rPr>
          <w:rFonts w:ascii="Calibri" w:hAnsi="Calibri" w:eastAsia="Arial" w:cs="Calibri"/>
        </w:rPr>
      </w:pPr>
      <w:r>
        <w:rPr>
          <w:rFonts w:eastAsia="Arial" w:cs="Calibri" w:ascii="Calibri" w:hAnsi="Calibri"/>
        </w:rPr>
        <w:t>A execução do contrato não gerará vínculo empregatício entre os empregados da Contratada e a Administração, vedando-se qualquer relação entre estes, que caracterize pessoalidade e subordinação direta.</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rPr>
        <w:t>REQUISITOS DA CONTRATAÇÃO</w:t>
      </w:r>
    </w:p>
    <w:p>
      <w:pPr>
        <w:pStyle w:val="ListParagraph"/>
        <w:numPr>
          <w:ilvl w:val="0"/>
          <w:numId w:val="2"/>
        </w:numPr>
        <w:tabs>
          <w:tab w:val="clear" w:pos="720"/>
          <w:tab w:val="left" w:pos="480" w:leader="none"/>
        </w:tabs>
        <w:snapToGrid w:val="false"/>
        <w:spacing w:before="120" w:after="120"/>
        <w:jc w:val="both"/>
        <w:rPr>
          <w:rFonts w:ascii="Calibri" w:hAnsi="Calibri" w:cs="Calibri"/>
        </w:rPr>
      </w:pPr>
      <w:r>
        <w:rPr>
          <w:rFonts w:cs="Calibri" w:ascii="Calibri" w:hAnsi="Calibri"/>
        </w:rPr>
        <w:t>Requisitos necessários ao atendimento da necessidade</w:t>
      </w:r>
    </w:p>
    <w:p>
      <w:pPr>
        <w:pStyle w:val="ListParagraph"/>
        <w:tabs>
          <w:tab w:val="clear" w:pos="720"/>
          <w:tab w:val="left" w:pos="425" w:leader="none"/>
          <w:tab w:val="left" w:pos="840" w:leader="none"/>
        </w:tabs>
        <w:suppressAutoHyphens w:val="true"/>
        <w:snapToGrid w:val="false"/>
        <w:spacing w:before="120" w:after="120"/>
        <w:ind w:left="5"/>
        <w:contextualSpacing/>
        <w:jc w:val="both"/>
        <w:rPr>
          <w:rFonts w:ascii="Calibri" w:hAnsi="Calibri" w:cs="Calibri"/>
          <w:color w:themeColor="text1" w:val="000000"/>
          <w14:textFill>
            <w14:solidFill>
              <w14:schemeClr w14:val="tx1"/>
            </w14:solidFill>
          </w14:textFill>
        </w:rPr>
      </w:pPr>
      <w:r>
        <w:rPr>
          <w:rFonts w:cs="Calibri" w:ascii="Calibri" w:hAnsi="Calibri"/>
        </w:rPr>
        <w:t>A comprovação da capacitação técnico-operacional será feita mediante apresentação de um ou mais atestados fornecidos por pessoa jurídica de direito público ou privado, em nome do licitante, relativos à execução dos serviços que compõem as parcelas de maior relevância técnica e valor significativo da contratação.</w:t>
      </w:r>
    </w:p>
    <w:p>
      <w:pPr>
        <w:pStyle w:val="Normal"/>
        <w:tabs>
          <w:tab w:val="clear" w:pos="720"/>
          <w:tab w:val="left" w:pos="425" w:leader="none"/>
          <w:tab w:val="left" w:pos="851" w:leader="none"/>
        </w:tabs>
        <w:suppressAutoHyphens w:val="true"/>
        <w:snapToGrid w:val="false"/>
        <w:spacing w:before="120" w:after="120"/>
        <w:ind w:left="5"/>
        <w:jc w:val="both"/>
        <w:rPr>
          <w:rFonts w:ascii="Calibri" w:hAnsi="Calibri" w:cs="Calibri"/>
        </w:rPr>
      </w:pPr>
      <w:r>
        <w:rPr>
          <w:rFonts w:cs="Calibri" w:ascii="Calibri" w:hAnsi="Calibri"/>
        </w:rPr>
        <w:t xml:space="preserve">Os atestados exigidos no subitem anterior, para serem aceitos, deverão ter as seguintes informações: descrição das características técnicas dos serviços; atestar a execução parcial ou total do objeto do contrato; firmado por representante legal do contratante; </w:t>
      </w:r>
      <w:r>
        <w:rPr>
          <w:rFonts w:cs="Calibri" w:ascii="Calibri" w:hAnsi="Calibri"/>
          <w:bCs/>
        </w:rPr>
        <w:t>com dat</w:t>
      </w:r>
      <w:r>
        <w:rPr>
          <w:rFonts w:cs="Calibri" w:ascii="Calibri" w:hAnsi="Calibri"/>
        </w:rPr>
        <w:t xml:space="preserve">a de emissão; e declaração da licitante que tem ciência de que todos os serviços necessários à completa execução do empreendimento, ainda que omitidos ou subestimados na planilha orçamentária, deverão ser realizados, sem que tenha direito a alteração do valor contratado. Além disso, os serviços que não constaram da planilha orçamentária do </w:t>
      </w:r>
      <w:r>
        <w:rPr>
          <w:rFonts w:cs="Calibri" w:ascii="Calibri" w:hAnsi="Calibri"/>
          <w:color w:val="auto"/>
        </w:rPr>
        <w:t>serviço comum</w:t>
      </w:r>
      <w:r>
        <w:rPr>
          <w:rFonts w:cs="Calibri" w:ascii="Calibri" w:hAnsi="Calibri"/>
          <w:color w:val="auto"/>
          <w:lang w:val="pt-BR"/>
        </w:rPr>
        <w:t xml:space="preserve"> </w:t>
      </w:r>
      <w:r>
        <w:rPr>
          <w:rFonts w:cs="Calibri" w:ascii="Calibri" w:hAnsi="Calibri"/>
          <w:color w:val="auto"/>
        </w:rPr>
        <w:t>de engenharia</w:t>
      </w:r>
      <w:r>
        <w:rPr>
          <w:rFonts w:cs="Calibri" w:ascii="Calibri" w:hAnsi="Calibri"/>
        </w:rPr>
        <w:t xml:space="preserve"> foram incluídos como custos ou despesas indiretas na taxa de BDI apresentada.</w:t>
      </w:r>
    </w:p>
    <w:p>
      <w:pPr>
        <w:pStyle w:val="Normal"/>
        <w:tabs>
          <w:tab w:val="clear" w:pos="720"/>
          <w:tab w:val="left" w:pos="425" w:leader="none"/>
          <w:tab w:val="left" w:pos="840" w:leader="none"/>
        </w:tabs>
        <w:snapToGrid w:val="false"/>
        <w:spacing w:before="120" w:after="120"/>
        <w:ind w:left="5"/>
        <w:jc w:val="both"/>
        <w:rPr>
          <w:rFonts w:ascii="Calibri" w:hAnsi="Calibri" w:cs="Calibri"/>
        </w:rPr>
      </w:pPr>
      <w:r>
        <w:rPr>
          <w:rFonts w:cs="Calibri" w:ascii="Calibri" w:hAnsi="Calibri"/>
        </w:rPr>
        <w:t>Será admitida, para fins de comprovação de quantitativo mínimo do serviço, a apresentação de diferentes atestados de serviços executados de forma concomitante.</w:t>
      </w:r>
    </w:p>
    <w:p>
      <w:pPr>
        <w:pStyle w:val="Normal"/>
        <w:tabs>
          <w:tab w:val="clear" w:pos="720"/>
          <w:tab w:val="left" w:pos="425" w:leader="none"/>
          <w:tab w:val="left" w:pos="840" w:leader="none"/>
        </w:tabs>
        <w:snapToGrid w:val="false"/>
        <w:spacing w:before="120" w:after="120"/>
        <w:ind w:left="5"/>
        <w:jc w:val="both"/>
        <w:rPr>
          <w:rFonts w:ascii="Calibri" w:hAnsi="Calibri" w:eastAsia="Arial" w:cs="Calibri"/>
        </w:rPr>
      </w:pPr>
      <w:r>
        <w:rPr>
          <w:rFonts w:cs="Calibri" w:ascii="Calibri" w:hAnsi="Calibri"/>
        </w:rPr>
        <w:t xml:space="preserve">A comprovação da capacitação </w:t>
      </w:r>
      <w:r>
        <w:rPr>
          <w:rFonts w:cs="Calibri" w:ascii="Calibri" w:hAnsi="Calibri"/>
          <w:bCs/>
        </w:rPr>
        <w:t xml:space="preserve">técnico-profissional será feita </w:t>
      </w:r>
      <w:r>
        <w:rPr>
          <w:rFonts w:cs="Calibri" w:ascii="Calibri" w:hAnsi="Calibri"/>
        </w:rPr>
        <w:t>mediante apresentação de Certidão de Acervo Técnico (CAT), expedida pelo CREA ou CAU da região pertinente, nos termos da legislação aplicável, em nome do responsável técnico e membros da equipe técnica que participarão do serviço, que demonstre a Anotação de Responsabilidade Técnica (ART) ou o Registro de Responsabilidade Técnica (RRT), relativo à execução dos serviços que compõem as parcelas de maior relevância técnica e valor significativo da contratação e d</w:t>
      </w:r>
      <w:r>
        <w:rPr>
          <w:rFonts w:eastAsia="Arial" w:cs="Calibri" w:ascii="Calibri" w:hAnsi="Calibri"/>
          <w:color w:val="000000"/>
        </w:rPr>
        <w:t>eclaração do licitante de que tem pleno conhecimento das condições necessárias para o cumprimento do contrato.</w:t>
      </w:r>
    </w:p>
    <w:p>
      <w:pPr>
        <w:pStyle w:val="Normal"/>
        <w:numPr>
          <w:ilvl w:val="0"/>
          <w:numId w:val="2"/>
        </w:numPr>
        <w:tabs>
          <w:tab w:val="clear" w:pos="720"/>
          <w:tab w:val="left" w:pos="0" w:leader="none"/>
          <w:tab w:val="left" w:pos="620" w:leader="none"/>
        </w:tabs>
        <w:snapToGrid w:val="false"/>
        <w:spacing w:before="120" w:after="120"/>
        <w:ind w:hanging="5" w:left="5"/>
        <w:jc w:val="both"/>
        <w:rPr>
          <w:rFonts w:ascii="Calibri" w:hAnsi="Calibri" w:eastAsia="Arial" w:cs="Calibri"/>
        </w:rPr>
      </w:pPr>
      <w:r>
        <w:rPr>
          <w:rFonts w:eastAsia="Arial" w:cs="Calibri" w:ascii="Calibri" w:hAnsi="Calibri"/>
        </w:rPr>
        <w:t>As obrigações da área técnica da contratada e da contratante estão previstas neste Projeto Básico.</w:t>
      </w:r>
    </w:p>
    <w:p>
      <w:pPr>
        <w:pStyle w:val="Normal"/>
        <w:keepNext w:val="true"/>
        <w:keepLines/>
        <w:numPr>
          <w:ilvl w:val="0"/>
          <w:numId w:val="2"/>
        </w:numPr>
        <w:tabs>
          <w:tab w:val="clear" w:pos="720"/>
          <w:tab w:val="left" w:pos="0" w:leader="none"/>
          <w:tab w:val="left" w:pos="620" w:leader="none"/>
        </w:tabs>
        <w:snapToGrid w:val="false"/>
        <w:spacing w:before="120" w:after="120"/>
        <w:ind w:hanging="5" w:left="5"/>
        <w:jc w:val="both"/>
        <w:rPr>
          <w:rFonts w:ascii="Calibri" w:hAnsi="Calibri" w:eastAsia="Arial" w:cs="Calibri"/>
        </w:rPr>
      </w:pPr>
      <w:r>
        <w:rPr>
          <w:rFonts w:eastAsia="Arial" w:cs="Calibri" w:ascii="Calibri" w:hAnsi="Calibri"/>
        </w:rPr>
        <w:t xml:space="preserve">Para o correto dimensionamento e elaboração de sua proposta, o licitante deverá realizar vistoria </w:t>
      </w:r>
      <w:r>
        <w:rPr>
          <w:rFonts w:eastAsia="Arial" w:cs="Calibri" w:ascii="Calibri" w:hAnsi="Calibri"/>
          <w:color w:val="000000"/>
        </w:rPr>
        <w:t xml:space="preserve">nas instalações do local de execução dos serviços, acompanhado por servidor designado para esse fim, de </w:t>
      </w:r>
      <w:r>
        <w:rPr>
          <w:rFonts w:eastAsia="Arial" w:cs="Calibri" w:ascii="Calibri" w:hAnsi="Calibri"/>
          <w:color w:val="000000"/>
        </w:rPr>
        <w:t xml:space="preserve">terça a quinta-feira, das </w:t>
      </w:r>
      <w:r>
        <w:rPr>
          <w:rFonts w:eastAsia="Arial" w:cs="Calibri" w:ascii="Calibri" w:hAnsi="Calibri"/>
          <w:color w:val="000000"/>
        </w:rPr>
        <w:t>09:30</w:t>
      </w:r>
      <w:r>
        <w:rPr>
          <w:rFonts w:eastAsia="Arial" w:cs="Calibri" w:ascii="Calibri" w:hAnsi="Calibri"/>
          <w:color w:val="000000"/>
        </w:rPr>
        <w:t xml:space="preserve"> horas às </w:t>
      </w:r>
      <w:r>
        <w:rPr>
          <w:rFonts w:eastAsia="Arial" w:cs="Calibri" w:ascii="Calibri" w:hAnsi="Calibri"/>
          <w:color w:val="000000"/>
        </w:rPr>
        <w:t>16:30</w:t>
      </w:r>
      <w:r>
        <w:rPr>
          <w:rFonts w:eastAsia="Arial" w:cs="Calibri" w:ascii="Calibri" w:hAnsi="Calibri"/>
          <w:color w:val="000000"/>
        </w:rPr>
        <w:t xml:space="preserve"> horas, </w:t>
      </w:r>
      <w:r>
        <w:rPr>
          <w:rFonts w:eastAsia="Arial" w:cs="Calibri" w:ascii="Calibri" w:hAnsi="Calibri"/>
          <w:color w:val="000000"/>
        </w:rPr>
        <w:t xml:space="preserve">devendo o agendamento ser efetuado previamente pelo </w:t>
      </w:r>
      <w:r>
        <w:rPr>
          <w:rFonts w:eastAsia="Arial" w:cs="Calibri" w:ascii="Calibri" w:hAnsi="Calibri"/>
          <w:color w:val="000000"/>
        </w:rPr>
        <w:t>e-mail baggini.saumo@eb.mil.br</w:t>
      </w:r>
      <w:r>
        <w:rPr>
          <w:rFonts w:eastAsia="Arial" w:cs="Calibri" w:ascii="Calibri" w:hAnsi="Calibri"/>
          <w:color w:val="000000"/>
        </w:rPr>
        <w:t>.</w:t>
      </w:r>
    </w:p>
    <w:p>
      <w:pPr>
        <w:pStyle w:val="Normal"/>
        <w:numPr>
          <w:ilvl w:val="0"/>
          <w:numId w:val="2"/>
        </w:numPr>
        <w:tabs>
          <w:tab w:val="clear" w:pos="720"/>
          <w:tab w:val="left" w:pos="0" w:leader="none"/>
          <w:tab w:val="left" w:pos="620" w:leader="none"/>
        </w:tabs>
        <w:snapToGrid w:val="false"/>
        <w:spacing w:before="120" w:after="120"/>
        <w:ind w:hanging="5" w:left="5"/>
        <w:jc w:val="both"/>
        <w:rPr>
          <w:rFonts w:ascii="Calibri" w:hAnsi="Calibri" w:eastAsia="Arial" w:cs="Calibri"/>
        </w:rPr>
      </w:pPr>
      <w:r>
        <w:rPr>
          <w:rFonts w:eastAsia="Arial" w:cs="Calibri" w:ascii="Calibri" w:hAnsi="Calibri"/>
        </w:rPr>
        <w:t>O prazo para vistoria iniciar-se-á no dia útil seguinte ao da publicação do Edital, estendendo-se até o dia útil anterior à data prevista para a abertura da sessão pública.</w:t>
      </w:r>
    </w:p>
    <w:p>
      <w:pPr>
        <w:pStyle w:val="Normal"/>
        <w:numPr>
          <w:ilvl w:val="0"/>
          <w:numId w:val="2"/>
        </w:numPr>
        <w:tabs>
          <w:tab w:val="clear" w:pos="720"/>
          <w:tab w:val="left" w:pos="0" w:leader="none"/>
          <w:tab w:val="left" w:pos="620" w:leader="none"/>
        </w:tabs>
        <w:snapToGrid w:val="false"/>
        <w:spacing w:before="120" w:after="120"/>
        <w:ind w:hanging="5" w:left="5"/>
        <w:jc w:val="both"/>
        <w:rPr>
          <w:rFonts w:ascii="Calibri" w:hAnsi="Calibri" w:eastAsia="Arial" w:cs="Calibri"/>
        </w:rPr>
      </w:pPr>
      <w:r>
        <w:rPr>
          <w:rFonts w:eastAsia="Arial" w:cs="Calibri" w:ascii="Calibri" w:hAnsi="Calibri"/>
        </w:rPr>
        <w:t>Para a vistoria o licitante, ou o seu representante legal, deverá estar devidamente identificado, apresentando documento de identidade e documento expedido pela empresa comprovando sua habilitação para a realização da vistoria.</w:t>
      </w:r>
    </w:p>
    <w:p>
      <w:pPr>
        <w:pStyle w:val="Normal"/>
        <w:numPr>
          <w:ilvl w:val="0"/>
          <w:numId w:val="2"/>
        </w:numPr>
        <w:tabs>
          <w:tab w:val="clear" w:pos="720"/>
          <w:tab w:val="left" w:pos="0" w:leader="none"/>
          <w:tab w:val="left" w:pos="620" w:leader="none"/>
        </w:tabs>
        <w:snapToGrid w:val="false"/>
        <w:spacing w:before="120" w:after="120"/>
        <w:ind w:hanging="5" w:left="5"/>
        <w:jc w:val="both"/>
        <w:rPr>
          <w:rFonts w:ascii="Calibri" w:hAnsi="Calibri" w:eastAsia="Arial" w:cs="Calibri"/>
        </w:rPr>
      </w:pPr>
      <w:r>
        <w:rPr>
          <w:rFonts w:eastAsia="Arial" w:cs="Calibri" w:ascii="Calibri" w:hAnsi="Calibri"/>
        </w:rPr>
        <w:t>Por ocasião da vistoria, a organização militar poderá entregar ao licitante, ou ao seu representante legal, 1 (uma) mídia ou outra forma compatível de reprodução, contendo as informações relativas ao objeto da licitação, para que a empresa tenha condições de bem elaborar sua proposta.</w:t>
      </w:r>
    </w:p>
    <w:p>
      <w:pPr>
        <w:pStyle w:val="Normal"/>
        <w:numPr>
          <w:ilvl w:val="0"/>
          <w:numId w:val="2"/>
        </w:numPr>
        <w:tabs>
          <w:tab w:val="clear" w:pos="720"/>
          <w:tab w:val="left" w:pos="0" w:leader="none"/>
          <w:tab w:val="left" w:pos="620" w:leader="none"/>
        </w:tabs>
        <w:snapToGrid w:val="false"/>
        <w:spacing w:before="120" w:after="120"/>
        <w:ind w:hanging="5" w:left="5"/>
        <w:jc w:val="both"/>
        <w:rPr>
          <w:rFonts w:ascii="Calibri" w:hAnsi="Calibri" w:eastAsia="Arial" w:cs="Calibri"/>
        </w:rPr>
      </w:pPr>
      <w:r>
        <w:rPr>
          <w:rFonts w:eastAsia="Arial" w:cs="Calibri" w:ascii="Calibri" w:hAnsi="Calibri"/>
        </w:rPr>
        <w:t>A não realização da vistoria não poderá embasar posteriores alegações de desconhecimento das instalações, dúvidas ou esquecimentos de quaisquer detalhes dos locais da prestação dos serviços, devendo a licitante vencedora assumir os ônus dos serviços decorrentes.</w:t>
      </w:r>
    </w:p>
    <w:p>
      <w:pPr>
        <w:pStyle w:val="Normal"/>
        <w:numPr>
          <w:ilvl w:val="0"/>
          <w:numId w:val="2"/>
        </w:numPr>
        <w:tabs>
          <w:tab w:val="clear" w:pos="720"/>
          <w:tab w:val="left" w:pos="0" w:leader="none"/>
          <w:tab w:val="left" w:pos="620" w:leader="none"/>
        </w:tabs>
        <w:snapToGrid w:val="false"/>
        <w:spacing w:before="120" w:after="120"/>
        <w:ind w:hanging="5" w:left="5"/>
        <w:jc w:val="both"/>
        <w:rPr>
          <w:rFonts w:ascii="Calibri" w:hAnsi="Calibri" w:eastAsia="Arial" w:cs="Calibri"/>
        </w:rPr>
      </w:pPr>
      <w:r>
        <w:rPr>
          <w:rFonts w:eastAsia="Arial" w:cs="Calibri" w:ascii="Calibri" w:hAnsi="Calibri"/>
        </w:rPr>
        <w:t>A licitante deverá declarar que tomou conhecimento de todas as informações e das condições locais para o cumprimento das obrigações do objeto da licitação.</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rPr>
        <w:t>MODELO DE EXECUÇÃO DO OBJETO</w:t>
      </w:r>
    </w:p>
    <w:p>
      <w:pPr>
        <w:pStyle w:val="Normal"/>
        <w:tabs>
          <w:tab w:val="clear" w:pos="720"/>
          <w:tab w:val="left" w:pos="620" w:leader="none"/>
        </w:tabs>
        <w:snapToGrid w:val="false"/>
        <w:spacing w:before="120" w:after="120"/>
        <w:jc w:val="both"/>
        <w:rPr>
          <w:rFonts w:ascii="Calibri" w:hAnsi="Calibri" w:eastAsia="Arial" w:cs="Calibri"/>
          <w:color w:val="auto"/>
        </w:rPr>
      </w:pPr>
      <w:r>
        <w:rPr>
          <w:rFonts w:cs="Calibri" w:ascii="Calibri" w:hAnsi="Calibri"/>
        </w:rPr>
        <w:t xml:space="preserve">O projeto </w:t>
      </w:r>
      <w:r>
        <w:rPr>
          <w:rFonts w:eastAsia="Arial" w:cs="Calibri" w:ascii="Calibri" w:hAnsi="Calibri"/>
          <w:color w:val="auto"/>
        </w:rPr>
        <w:t xml:space="preserve">de </w:t>
      </w:r>
      <w:r>
        <w:rPr>
          <w:rFonts w:cs="Calibri" w:ascii="Calibri" w:hAnsi="Calibri"/>
          <w:color w:val="auto"/>
          <w:lang w:val="pt-BR"/>
        </w:rPr>
        <w:t>re</w:t>
      </w:r>
      <w:r>
        <w:rPr>
          <w:rFonts w:cs="Calibri" w:ascii="Calibri" w:hAnsi="Calibri"/>
          <w:color w:val="auto"/>
        </w:rPr>
        <w:t xml:space="preserve">adequação </w:t>
      </w:r>
      <w:r>
        <w:rPr>
          <w:rFonts w:cs="Calibri" w:ascii="Calibri" w:hAnsi="Calibri"/>
          <w:color w:val="auto"/>
          <w:lang w:val="pt-BR"/>
        </w:rPr>
        <w:t>do</w:t>
      </w:r>
      <w:r>
        <w:rPr>
          <w:rFonts w:cs="Calibri" w:ascii="Calibri" w:hAnsi="Calibri"/>
          <w:color w:val="auto"/>
          <w:lang w:val="pt-BR"/>
        </w:rPr>
        <w:t>s</w:t>
      </w:r>
      <w:r>
        <w:rPr>
          <w:rFonts w:cs="Calibri" w:ascii="Calibri" w:hAnsi="Calibri"/>
          <w:color w:val="auto"/>
          <w:lang w:val="pt-BR"/>
        </w:rPr>
        <w:t xml:space="preserve"> sistema</w:t>
      </w:r>
      <w:r>
        <w:rPr>
          <w:rFonts w:cs="Calibri" w:ascii="Calibri" w:hAnsi="Calibri"/>
          <w:color w:val="auto"/>
          <w:lang w:val="pt-BR"/>
        </w:rPr>
        <w:t>s</w:t>
      </w:r>
      <w:r>
        <w:rPr>
          <w:rFonts w:cs="Calibri" w:ascii="Calibri" w:hAnsi="Calibri"/>
          <w:color w:val="auto"/>
          <w:lang w:val="pt-BR"/>
        </w:rPr>
        <w:t xml:space="preserve"> </w:t>
      </w:r>
      <w:r>
        <w:rPr>
          <w:rFonts w:eastAsia="Arial" w:cs="Calibri" w:ascii="Calibri" w:hAnsi="Calibri"/>
          <w:color w:val="auto"/>
        </w:rPr>
        <w:t>está dis</w:t>
      </w:r>
      <w:r>
        <w:rPr>
          <w:rFonts w:eastAsia="Arial" w:cs="Calibri" w:ascii="Calibri" w:hAnsi="Calibri"/>
        </w:rPr>
        <w:t>tribu</w:t>
      </w:r>
      <w:r>
        <w:rPr>
          <w:rFonts w:eastAsia="Arial" w:cs="Calibri" w:ascii="Calibri" w:hAnsi="Calibri"/>
          <w:color w:val="000000"/>
        </w:rPr>
        <w:t xml:space="preserve">ído em </w:t>
      </w:r>
      <w:r>
        <w:rPr>
          <w:rFonts w:eastAsia="Arial" w:cs="Calibri" w:ascii="Calibri" w:hAnsi="Calibri"/>
          <w:color w:val="000000"/>
          <w:lang w:val="pt-BR"/>
        </w:rPr>
        <w:t>3</w:t>
      </w:r>
      <w:r>
        <w:rPr>
          <w:rFonts w:eastAsia="Arial" w:cs="Calibri" w:ascii="Calibri" w:hAnsi="Calibri"/>
          <w:color w:val="000000"/>
        </w:rPr>
        <w:t xml:space="preserve"> (</w:t>
      </w:r>
      <w:r>
        <w:rPr>
          <w:rFonts w:eastAsia="Arial" w:cs="Calibri" w:ascii="Calibri" w:hAnsi="Calibri"/>
          <w:color w:val="000000"/>
          <w:lang w:val="pt-BR"/>
        </w:rPr>
        <w:t>três</w:t>
      </w:r>
      <w:r>
        <w:rPr>
          <w:rFonts w:eastAsia="Arial" w:cs="Calibri" w:ascii="Calibri" w:hAnsi="Calibri"/>
          <w:color w:val="000000"/>
        </w:rPr>
        <w:t>)</w:t>
      </w:r>
      <w:r>
        <w:rPr>
          <w:rFonts w:eastAsia="Arial" w:cs="Calibri" w:ascii="Calibri" w:hAnsi="Calibri"/>
          <w:color w:val="000000"/>
        </w:rPr>
        <w:t xml:space="preserve"> fases,</w:t>
      </w:r>
      <w:r>
        <w:rPr>
          <w:rFonts w:eastAsia="Arial" w:cs="Calibri" w:ascii="Calibri" w:hAnsi="Calibri"/>
          <w:color w:val="000000"/>
        </w:rPr>
        <w:t xml:space="preserve"> a primei</w:t>
      </w:r>
      <w:r>
        <w:rPr>
          <w:rFonts w:eastAsia="Arial" w:cs="Calibri" w:ascii="Calibri" w:hAnsi="Calibri"/>
          <w:color w:val="auto"/>
        </w:rPr>
        <w:t>ra consistindo dos serviços preliminares, a segunda, da reforma propriamente dita e a última relativa às vistorias, testes e entrega do objeto licitado.</w:t>
      </w:r>
    </w:p>
    <w:p>
      <w:pPr>
        <w:pStyle w:val="Normal"/>
        <w:tabs>
          <w:tab w:val="clear" w:pos="720"/>
          <w:tab w:val="left" w:pos="620" w:leader="none"/>
        </w:tabs>
        <w:snapToGrid w:val="false"/>
        <w:spacing w:before="120" w:after="120"/>
        <w:jc w:val="both"/>
        <w:rPr>
          <w:rFonts w:ascii="Calibri" w:hAnsi="Calibri" w:eastAsia="Arial" w:cs="Calibri"/>
        </w:rPr>
      </w:pPr>
      <w:r>
        <w:rPr>
          <w:rFonts w:eastAsia="Arial" w:cs="Calibri" w:ascii="Calibri" w:hAnsi="Calibri"/>
        </w:rPr>
        <w:t>Todas as intervenções de obras deverão obedecer estritamente às indicações de projeto, às normas, e às especificações da ABNT e dos fabricantes, em suas versões mais recentes. Caso haja conflito entre as legislações normativas, será consultado a contratante, antes de sua execução.</w:t>
      </w:r>
    </w:p>
    <w:p>
      <w:pPr>
        <w:pStyle w:val="Normal"/>
        <w:tabs>
          <w:tab w:val="clear" w:pos="720"/>
          <w:tab w:val="left" w:pos="620" w:leader="none"/>
        </w:tabs>
        <w:snapToGrid w:val="false"/>
        <w:spacing w:before="120" w:after="120"/>
        <w:jc w:val="both"/>
        <w:rPr>
          <w:rFonts w:ascii="Calibri" w:hAnsi="Calibri" w:eastAsia="Arial" w:cs="Calibri"/>
        </w:rPr>
      </w:pPr>
      <w:r>
        <w:rPr>
          <w:rFonts w:eastAsia="Arial" w:cs="Calibri" w:ascii="Calibri" w:hAnsi="Calibri"/>
        </w:rPr>
        <w:t>A execução do objeto seguirá a dinâmica a seguir: vistoria inicial do local de intervenção; segurança e proteção das instalações e materiais; instalação do canteiro de o</w:t>
      </w:r>
      <w:r>
        <w:rPr>
          <w:rFonts w:eastAsia="Arial" w:cs="Calibri" w:ascii="Calibri" w:hAnsi="Calibri"/>
          <w:color w:val="auto"/>
        </w:rPr>
        <w:t xml:space="preserve">bras; </w:t>
      </w:r>
      <w:r>
        <w:rPr>
          <w:rFonts w:cs="Calibri" w:ascii="Calibri" w:hAnsi="Calibri"/>
          <w:color w:val="auto"/>
          <w:lang w:val="pt-BR"/>
        </w:rPr>
        <w:t>readequação</w:t>
      </w:r>
      <w:r>
        <w:rPr>
          <w:rFonts w:eastAsia="Arial" w:cs="Calibri" w:ascii="Calibri" w:hAnsi="Calibri"/>
          <w:color w:val="auto"/>
        </w:rPr>
        <w:t xml:space="preserve"> propriamente dita; </w:t>
      </w:r>
      <w:r>
        <w:rPr>
          <w:rFonts w:eastAsia="Arial" w:cs="Calibri" w:ascii="Calibri" w:hAnsi="Calibri"/>
        </w:rPr>
        <w:t>entrega da obra; e aceitação da obra.</w:t>
      </w:r>
    </w:p>
    <w:p>
      <w:pPr>
        <w:pStyle w:val="Normal"/>
        <w:tabs>
          <w:tab w:val="clear" w:pos="720"/>
          <w:tab w:val="left" w:pos="620" w:leader="none"/>
        </w:tabs>
        <w:snapToGrid w:val="false"/>
        <w:spacing w:before="120" w:after="120"/>
        <w:jc w:val="both"/>
        <w:rPr>
          <w:rFonts w:ascii="Calibri" w:hAnsi="Calibri" w:eastAsia="Arial" w:cs="Calibri"/>
        </w:rPr>
      </w:pPr>
      <w:r>
        <w:rPr>
          <w:rFonts w:eastAsia="Arial" w:cs="Calibri" w:ascii="Calibri" w:hAnsi="Calibri"/>
        </w:rPr>
        <w:t>A execução dos serviços observará o Cronograma Físico-Financeiro, anexo a este Projeto Básico.</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rPr>
        <w:t>MODELO DE GESTÃO DO CONTRATO E CRITÉRIOS DE MEDIÇÃO</w:t>
      </w:r>
    </w:p>
    <w:p>
      <w:pPr>
        <w:pStyle w:val="Normal"/>
        <w:tabs>
          <w:tab w:val="clear" w:pos="720"/>
          <w:tab w:val="left" w:pos="420" w:leader="none"/>
        </w:tabs>
        <w:snapToGrid w:val="false"/>
        <w:spacing w:before="120" w:after="120"/>
        <w:ind w:left="-6"/>
        <w:jc w:val="both"/>
        <w:rPr>
          <w:rFonts w:ascii="Calibri" w:hAnsi="Calibri" w:eastAsia="Arial" w:cs="Calibri"/>
        </w:rPr>
      </w:pPr>
      <w:r>
        <w:rPr>
          <w:rFonts w:eastAsia="Arial" w:cs="Calibri" w:ascii="Calibri" w:hAnsi="Calibri"/>
        </w:rPr>
        <w:t>O modelo de gestão adotado compreenderá os seguintes itens: indicação e formalização do fiscal de contrato e do fiscal técnico; estabelecimento de protocolo de comunicação entre a contratante e a contratada; forma de pagamento do serviço; método de avaliação da conformidade dos produtos e dos serviços; procedimentos de verificação do cumprimento da obrigação da contratada; sanções, glosas e rescisão contratual; e garantias de execução contratual.</w:t>
      </w:r>
    </w:p>
    <w:p>
      <w:pPr>
        <w:pStyle w:val="Normal"/>
        <w:tabs>
          <w:tab w:val="clear" w:pos="720"/>
          <w:tab w:val="left" w:pos="420" w:leader="none"/>
        </w:tabs>
        <w:snapToGrid w:val="false"/>
        <w:spacing w:before="120" w:after="120"/>
        <w:ind w:left="-6"/>
        <w:jc w:val="both"/>
        <w:rPr>
          <w:rFonts w:ascii="Calibri" w:hAnsi="Calibri" w:eastAsia="Arial" w:cs="Calibri"/>
        </w:rPr>
      </w:pPr>
      <w:r>
        <w:rPr>
          <w:rFonts w:eastAsia="Arial" w:cs="Calibri" w:ascii="Calibri" w:hAnsi="Calibri"/>
        </w:rPr>
        <w:t>O critério de medição será pelo Instrumento de Medição de Resultado (IMR), previsto na Instrução Normativa nº 5 de 26 de maio de 2017, do Ministério do Planejamento, Desenvolvimento e Gestão, anexo a este Projeto Básico.</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rPr>
        <w:t>MATERIAIS E EQUIPAMENTOS A SEREM DISPONIBILIZADOS</w:t>
      </w:r>
    </w:p>
    <w:p>
      <w:pPr>
        <w:pStyle w:val="Normal"/>
        <w:snapToGrid w:val="false"/>
        <w:spacing w:before="120" w:after="120"/>
        <w:jc w:val="both"/>
        <w:rPr>
          <w:rFonts w:ascii="Calibri" w:hAnsi="Calibri" w:eastAsia="Arial" w:cs="Calibri"/>
        </w:rPr>
      </w:pPr>
      <w:r>
        <w:rPr>
          <w:rFonts w:eastAsia="Arial" w:cs="Calibri" w:ascii="Calibri" w:hAnsi="Calibri"/>
        </w:rPr>
        <w:t>A contratan</w:t>
      </w:r>
      <w:r>
        <w:rPr>
          <w:rFonts w:eastAsia="Arial" w:cs="Calibri" w:ascii="Calibri" w:hAnsi="Calibri"/>
          <w:color w:val="auto"/>
        </w:rPr>
        <w:t>te não dis</w:t>
      </w:r>
      <w:r>
        <w:rPr>
          <w:rFonts w:eastAsia="Arial" w:cs="Calibri" w:ascii="Calibri" w:hAnsi="Calibri"/>
        </w:rPr>
        <w:t>ponibilizará qualquer material para a execução do objeto. A contratação contempla a composição orçamentária de serviços, materiais e insumos.</w:t>
      </w:r>
    </w:p>
    <w:p>
      <w:pPr>
        <w:pStyle w:val="Normal"/>
        <w:snapToGrid w:val="false"/>
        <w:spacing w:before="120" w:after="120"/>
        <w:jc w:val="both"/>
        <w:rPr>
          <w:rFonts w:ascii="Calibri" w:hAnsi="Calibri" w:eastAsia="Arial" w:cs="Calibri"/>
        </w:rPr>
      </w:pPr>
      <w:r>
        <w:rPr>
          <w:rFonts w:eastAsia="Arial" w:cs="Calibri" w:ascii="Calibri" w:hAnsi="Calibri"/>
        </w:rPr>
        <w:t>Os equipamentos porventura necessários serão disponibilizados pela contratada e seu custo de operação, depreciação ou contratação deverá constar do valor global apresentado no certame licitatório.</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color w:val="000000"/>
        </w:rPr>
        <w:t>OBRIGAÇÕES DA CONTRATANTE RELATIVAS À ÁREA TÉCNICA</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Exigir o cumprimento de todas as obrigações assumidas pela contratada, de acordo com as cláusulas contratuais e os termos de sua proposta.</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color w:val="000000"/>
        </w:rPr>
        <w:t xml:space="preserve">Exercer o acompanhamento e a fiscalização dos serviços, por servidor ou </w:t>
      </w:r>
      <w:r>
        <w:rPr>
          <w:rFonts w:eastAsia="Arial" w:cs="Calibri" w:ascii="Calibri" w:hAnsi="Calibri"/>
        </w:rPr>
        <w:t>comissão especialmente designada,</w:t>
      </w:r>
      <w:r>
        <w:rPr>
          <w:rFonts w:eastAsia="Arial" w:cs="Calibri" w:ascii="Calibri" w:hAnsi="Calibri"/>
          <w:color w:val="000000"/>
        </w:rPr>
        <w:t xml:space="preserve"> anotando em registro próprio as falhas detectadas, indicando dia, mês e ano, bem como o nome dos empregados eventualmente envolvidos, encaminhando os apontamentos à autoridade competente para as providências cabíveis.</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color w:val="000000"/>
        </w:rPr>
        <w:t xml:space="preserve">Notificar a contratada por escrito da ocorrência de eventuais imperfeições, falhas ou irregularidades constatadas no curso da execução dos serviços, fixando prazo para a sua correção, </w:t>
      </w:r>
      <w:r>
        <w:rPr>
          <w:rFonts w:eastAsia="Arial" w:cs="Calibri" w:ascii="Calibri" w:hAnsi="Calibri"/>
        </w:rPr>
        <w:t>certificando-se de que as soluções por ela propostas sejam as mais adequadas.</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color w:val="000000"/>
        </w:rPr>
        <w:t>Pagar à contratada o valor resultante da prestação do serviço, conforme cronograma físico-financeiro.</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Efetuar as retenções tributárias devidas sobre o valor da fatura de serviços da Contratada, em conformidade com o Anexo XI, Item 6 da Instrução Normativa SEGES/MP nº 5, de 26 de maio de 2017.</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Não praticar atos de ingerência na administração da contratada, tais como:</w:t>
      </w:r>
    </w:p>
    <w:p>
      <w:pPr>
        <w:pStyle w:val="Normal"/>
        <w:numPr>
          <w:ilvl w:val="0"/>
          <w:numId w:val="4"/>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exercer o poder de mando sobre os empregados da contratada, devendo reportar-se somente aos prepostos ou responsáveis por ela indicados, exceto quando o objeto da contratação previr o atendimento direto;</w:t>
      </w:r>
    </w:p>
    <w:p>
      <w:pPr>
        <w:pStyle w:val="Normal"/>
        <w:numPr>
          <w:ilvl w:val="0"/>
          <w:numId w:val="4"/>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direcionar a contratação de pessoas para trabalhar nas empresas contratadas;</w:t>
      </w:r>
    </w:p>
    <w:p>
      <w:pPr>
        <w:pStyle w:val="Normal"/>
        <w:numPr>
          <w:ilvl w:val="0"/>
          <w:numId w:val="4"/>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promover ou aceitar o desvio de funções dos trabalhadores da contratada, mediante a utilização destes em atividades distintas daquelas previstas no objeto da contratação e em relação à função específica para a qual o trabalhador foi contratado; e</w:t>
      </w:r>
    </w:p>
    <w:p>
      <w:pPr>
        <w:pStyle w:val="Normal"/>
        <w:numPr>
          <w:ilvl w:val="0"/>
          <w:numId w:val="4"/>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considerar os trabalhadores da contratada como colaboradores eventuais do próprio órgão ou entidade responsável pela contratação, especialmente para efeito de concessão de diárias e passagens.</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Fornecer por escrito as informações necessárias para o desenvolvimento dos serviços objeto do contrato.</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Realizar avaliações periódicas da qualidade dos serviços, após seu recebimento.</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Cientificar o órgão de representação judicial da Advocacia-Geral da União para adoção das medidas cabíveis quando do descumprimento das obrigações pela contratada.</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Arquivar, entre outros documentos, os projetos, especificações técnicas, orçamentos, termos de recebimento, contratos e aditamentos, relatórios de inspeções técnicas após o recebimento do serviço e notificações expedidas.</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Exigir da contratada que providencie a reparação dos vícios verificados dentro do prazo de garantia do serviço, tendo em vista o direito assegurado no artigo 69 da Lei</w:t>
      </w:r>
      <w:r>
        <w:rPr>
          <w:rFonts w:cs="Calibri" w:ascii="Calibri" w:hAnsi="Calibri"/>
        </w:rPr>
        <w:t xml:space="preserve"> nº 14.133, de 1º de abril de 2021</w:t>
      </w:r>
      <w:r>
        <w:rPr>
          <w:rFonts w:eastAsia="Arial" w:cs="Calibri" w:ascii="Calibri" w:hAnsi="Calibri"/>
        </w:rPr>
        <w:t xml:space="preserve"> e no artigo 12 da Lei nº 8.078, de 11 de setembro de 1990 (Código de Defesa do Consumidor).</w:t>
      </w:r>
    </w:p>
    <w:p>
      <w:pPr>
        <w:pStyle w:val="Normal"/>
        <w:numPr>
          <w:ilvl w:val="0"/>
          <w:numId w:val="3"/>
        </w:numPr>
        <w:tabs>
          <w:tab w:val="clear" w:pos="720"/>
          <w:tab w:val="left" w:pos="629" w:leader="none"/>
        </w:tabs>
        <w:snapToGrid w:val="false"/>
        <w:spacing w:before="120" w:after="120"/>
        <w:ind w:hanging="0" w:left="0"/>
        <w:jc w:val="both"/>
        <w:rPr>
          <w:rFonts w:ascii="Calibri" w:hAnsi="Calibri" w:eastAsia="Arial" w:cs="Calibri"/>
        </w:rPr>
      </w:pPr>
      <w:r>
        <w:rPr>
          <w:rFonts w:eastAsia="Arial" w:cs="Calibri" w:ascii="Calibri" w:hAnsi="Calibri"/>
        </w:rPr>
        <w:t>Fiscalizar o cumprimento dos requisitos legais, quando a contratada houver se beneficiado da preferência estabelecida pelo artigo 3º, § 5º, da Lei</w:t>
      </w:r>
      <w:r>
        <w:rPr>
          <w:rFonts w:cs="Calibri" w:ascii="Calibri" w:hAnsi="Calibri"/>
        </w:rPr>
        <w:t xml:space="preserve"> nº 14.133, de 1º de abril de 2021</w:t>
      </w:r>
      <w:r>
        <w:rPr>
          <w:rFonts w:eastAsia="Arial" w:cs="Calibri" w:ascii="Calibri" w:hAnsi="Calibri"/>
        </w:rPr>
        <w:t>.</w:t>
      </w:r>
    </w:p>
    <w:p>
      <w:pPr>
        <w:pStyle w:val="Normal"/>
        <w:numPr>
          <w:ilvl w:val="0"/>
          <w:numId w:val="1"/>
        </w:numPr>
        <w:snapToGrid w:val="false"/>
        <w:spacing w:before="240" w:after="120"/>
        <w:jc w:val="both"/>
        <w:rPr>
          <w:rFonts w:ascii="Calibri" w:hAnsi="Calibri" w:eastAsia="Arial" w:cs="Calibri"/>
          <w:b/>
        </w:rPr>
      </w:pPr>
      <w:r>
        <w:rPr>
          <w:rFonts w:eastAsia="Arial" w:cs="Calibri" w:ascii="Calibri" w:hAnsi="Calibri"/>
          <w:b/>
        </w:rPr>
        <w:t xml:space="preserve">OBRIGAÇÕES DA CONTRATADA </w:t>
      </w:r>
      <w:r>
        <w:rPr>
          <w:rFonts w:eastAsia="Arial" w:cs="Calibri" w:ascii="Calibri" w:hAnsi="Calibri"/>
          <w:b/>
          <w:color w:val="000000"/>
        </w:rPr>
        <w:t>RELATIVAS À ÁREA TÉCNICA</w:t>
      </w:r>
    </w:p>
    <w:p>
      <w:pPr>
        <w:pStyle w:val="Normal"/>
        <w:numPr>
          <w:ilvl w:val="0"/>
          <w:numId w:val="5"/>
        </w:numPr>
        <w:snapToGrid w:val="false"/>
        <w:spacing w:before="120" w:after="120"/>
        <w:ind w:hanging="0" w:left="0"/>
        <w:jc w:val="both"/>
        <w:rPr>
          <w:rFonts w:ascii="Calibri" w:hAnsi="Calibri" w:eastAsia="Arial" w:cs="Calibri"/>
        </w:rPr>
      </w:pPr>
      <w:r>
        <w:rPr>
          <w:rFonts w:eastAsia="Arial" w:cs="Calibri" w:ascii="Calibri" w:hAnsi="Calibri"/>
          <w:color w:val="000000"/>
        </w:rPr>
        <w:t xml:space="preserve">Executar o contrato conforme especificações deste Projeto Básico e de sua proposta, com a alocação dos empregados necessários ao perfeito cumprimento das cláusulas contratuais, </w:t>
      </w:r>
      <w:r>
        <w:rPr>
          <w:rFonts w:eastAsia="Arial" w:cs="Calibri" w:ascii="Calibri" w:hAnsi="Calibri"/>
        </w:rPr>
        <w:t>além de fornecer e utilizar os materiais e equipamentos, ferramentas e utensílios necessários, na qualidade e quantidade mínimas especificadas neste Projeto Básico e em sua proposta.</w:t>
      </w:r>
    </w:p>
    <w:p>
      <w:pPr>
        <w:pStyle w:val="Normal"/>
        <w:numPr>
          <w:ilvl w:val="0"/>
          <w:numId w:val="5"/>
        </w:numPr>
        <w:snapToGrid w:val="false"/>
        <w:spacing w:before="120" w:after="120"/>
        <w:ind w:hanging="0" w:left="0"/>
        <w:jc w:val="both"/>
        <w:rPr>
          <w:rFonts w:ascii="Calibri" w:hAnsi="Calibri" w:eastAsia="Arial" w:cs="Calibri"/>
        </w:rPr>
      </w:pPr>
      <w:r>
        <w:rPr>
          <w:rFonts w:eastAsia="Arial" w:cs="Calibri" w:ascii="Calibri" w:hAnsi="Calibri"/>
        </w:rPr>
        <w:t>Reparar, corrigir, remover ou substituir, às suas expensas, no total ou em parte, no prazo fixado pelo fiscal do contrato, os serviços/obras efetuados em que se verificarem vícios, defeitos ou incorreções resultantes da execução ou dos materiais empregados.</w:t>
      </w:r>
    </w:p>
    <w:p>
      <w:pPr>
        <w:pStyle w:val="Normal"/>
        <w:numPr>
          <w:ilvl w:val="0"/>
          <w:numId w:val="5"/>
        </w:numPr>
        <w:snapToGrid w:val="false"/>
        <w:spacing w:before="120" w:after="120"/>
        <w:ind w:hanging="0" w:left="0"/>
        <w:jc w:val="both"/>
        <w:rPr>
          <w:rFonts w:ascii="Calibri" w:hAnsi="Calibri" w:eastAsia="Arial" w:cs="Calibri"/>
        </w:rPr>
      </w:pPr>
      <w:r>
        <w:rPr>
          <w:rFonts w:eastAsia="Arial" w:cs="Calibri" w:ascii="Calibri" w:hAnsi="Calibri"/>
          <w:color w:val="000000"/>
        </w:rPr>
        <w:t xml:space="preserve">Responsabilizar-se pelos vícios e danos decorrentes da execução do objeto, de acordo com os artigos 14 e 17 a 27 da </w:t>
      </w:r>
      <w:r>
        <w:rPr>
          <w:rFonts w:eastAsia="Arial" w:cs="Calibri" w:ascii="Calibri" w:hAnsi="Calibri"/>
        </w:rPr>
        <w:t>Lei nº 8.078, de 11 de setembro de 1990 (Código de Defesa do Consumidor)</w:t>
      </w:r>
      <w:r>
        <w:rPr>
          <w:rFonts w:eastAsia="Arial" w:cs="Calibri" w:ascii="Calibri" w:hAnsi="Calibri"/>
          <w:color w:val="000000"/>
        </w:rPr>
        <w:t>, ficando a contratante autorizada a descontar da garantia prestada, caso exigida no edital, ou dos pagamentos devidos à contratada, o valor correspondente aos danos sofridos.</w:t>
      </w:r>
    </w:p>
    <w:p>
      <w:pPr>
        <w:pStyle w:val="Normal"/>
        <w:numPr>
          <w:ilvl w:val="0"/>
          <w:numId w:val="5"/>
        </w:numPr>
        <w:snapToGrid w:val="false"/>
        <w:spacing w:before="120" w:after="120"/>
        <w:ind w:hanging="0" w:left="0"/>
        <w:jc w:val="both"/>
        <w:rPr>
          <w:rFonts w:ascii="Calibri" w:hAnsi="Calibri" w:eastAsia="Arial" w:cs="Calibri"/>
        </w:rPr>
      </w:pPr>
      <w:r>
        <w:rPr>
          <w:rFonts w:eastAsia="Arial" w:cs="Calibri" w:ascii="Calibri" w:hAnsi="Calibri"/>
          <w:color w:val="000000"/>
        </w:rPr>
        <w:t>Utilizar empregados habilitados e com conhecimentos básicos do objeto a ser executado, em conformidade com as normas e determinações em vigor.</w:t>
      </w:r>
    </w:p>
    <w:p>
      <w:pPr>
        <w:pStyle w:val="Normal"/>
        <w:numPr>
          <w:ilvl w:val="0"/>
          <w:numId w:val="5"/>
        </w:numPr>
        <w:snapToGrid w:val="false"/>
        <w:spacing w:before="120" w:after="120"/>
        <w:ind w:hanging="0" w:left="0"/>
        <w:jc w:val="both"/>
        <w:rPr>
          <w:rFonts w:ascii="Calibri" w:hAnsi="Calibri" w:eastAsia="Arial" w:cs="Calibri"/>
        </w:rPr>
      </w:pPr>
      <w:r>
        <w:rPr>
          <w:rFonts w:eastAsia="Arial" w:cs="Calibri" w:ascii="Calibri" w:hAnsi="Calibri"/>
          <w:color w:val="000000"/>
        </w:rPr>
        <w:t xml:space="preserve">Vedar a utilização, na execução dos serviços, de empregado que seja familiar de agente público ocupante de cargo em comissão ou função de confiança no órgão contratante, nos termos do artigo 7° do </w:t>
      </w:r>
      <w:r>
        <w:rPr>
          <w:rFonts w:eastAsia="Arial" w:cs="Calibri" w:ascii="Calibri" w:hAnsi="Calibri"/>
        </w:rPr>
        <w:t>Decreto n° 7.203, de 4 de junho de 2010.</w:t>
      </w:r>
    </w:p>
    <w:p>
      <w:pPr>
        <w:pStyle w:val="Normal"/>
        <w:numPr>
          <w:ilvl w:val="0"/>
          <w:numId w:val="5"/>
        </w:numPr>
        <w:snapToGrid w:val="false"/>
        <w:spacing w:before="120" w:after="120"/>
        <w:ind w:hanging="0" w:left="0"/>
        <w:jc w:val="both"/>
        <w:rPr>
          <w:rFonts w:ascii="Calibri" w:hAnsi="Calibri" w:eastAsia="Arial" w:cs="Calibri"/>
        </w:rPr>
      </w:pPr>
      <w:r>
        <w:rPr>
          <w:rFonts w:eastAsia="Arial" w:cs="Calibri" w:ascii="Calibri" w:hAnsi="Calibri"/>
          <w:color w:val="000000"/>
        </w:rPr>
        <w:t xml:space="preserve">Quando não for possível a verificação da regularidade no Sistema de Cadastro de Fornecedores (SICAF), a empresa contratada deverá entregar ao setor responsável pela fiscalização do contrato, até o dia trinta do mês seguinte ao da prestação dos serviços, os seguintes documentos: prova de regularidade relativa à Seguridade Social; certidão conjunta relativa aos tributos federais e à Dívida Ativa da União; certidões que comprovem a regularidade perante as Fazendas Estadual, Distrital e Municipal do domicílio ou sede do contratado; Certidão de Regularidade do FGTS (CRF); e Certidão Negativa de Débitos Trabalhistas (CNDT), conforme alínea "c" do item 10.2 do Anexo VIII-B da </w:t>
      </w:r>
      <w:r>
        <w:rPr>
          <w:rFonts w:eastAsia="Arial" w:cs="Calibri" w:ascii="Calibri" w:hAnsi="Calibri"/>
        </w:rPr>
        <w:t>Instrução Normativa nº 5 de 26 de maio de 2017</w:t>
      </w:r>
      <w:r>
        <w:rPr>
          <w:rFonts w:eastAsia="Arial" w:cs="Calibri" w:ascii="Calibri" w:hAnsi="Calibri"/>
          <w:color w:val="000000"/>
        </w:rPr>
        <w:t>;</w:t>
      </w:r>
    </w:p>
    <w:p>
      <w:pPr>
        <w:pStyle w:val="Normal"/>
        <w:numPr>
          <w:ilvl w:val="0"/>
          <w:numId w:val="5"/>
        </w:numPr>
        <w:snapToGrid w:val="false"/>
        <w:spacing w:before="120" w:after="120"/>
        <w:ind w:hanging="0" w:left="0"/>
        <w:jc w:val="both"/>
        <w:rPr>
          <w:rFonts w:ascii="Calibri" w:hAnsi="Calibri" w:eastAsia="Arial" w:cs="Calibri"/>
        </w:rPr>
      </w:pPr>
      <w:r>
        <w:rPr>
          <w:rFonts w:eastAsia="Arial" w:cs="Calibri" w:ascii="Calibri" w:hAnsi="Calibri"/>
          <w:color w:val="000000"/>
        </w:rPr>
        <w:t>Comunicar ao fiscal de obra e fiscal de contrato, no prazo de 24 (vinte e quatro) horas, qualquer ocorrência anormal ou acidente que se verifique no local dos serviços.</w:t>
      </w:r>
    </w:p>
    <w:p>
      <w:pPr>
        <w:pStyle w:val="Normal"/>
        <w:numPr>
          <w:ilvl w:val="0"/>
          <w:numId w:val="5"/>
        </w:numPr>
        <w:snapToGrid w:val="false"/>
        <w:spacing w:before="120" w:after="120"/>
        <w:ind w:hanging="0" w:left="0"/>
        <w:jc w:val="both"/>
        <w:rPr>
          <w:rFonts w:ascii="Calibri" w:hAnsi="Calibri" w:eastAsia="Arial" w:cs="Calibri"/>
        </w:rPr>
      </w:pPr>
      <w:r>
        <w:rPr>
          <w:rFonts w:eastAsia="Arial" w:cs="Calibri" w:ascii="Calibri" w:hAnsi="Calibri"/>
        </w:rPr>
        <w:t>Assegurar aos seus trabalhadores ambiente de trabalho, inclusive equipamentos e instalações, em condições adequadas ao cumprimento das normas de saúde, segurança e bem-estar no trabalho.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Prestar todo esclarecimento ou informação solicitada pela contratante ou por seus prepostos, garantindo-lhes o acesso, a qualquer tempo, ao local dos trabalhos, bem como aos documentos relativos à execução do empreendimento.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Paralisar, por determinação da contratante, qualquer atividade que não esteja sendo executada de acordo com a boa técnica ou que ponha em risco a segurança de pessoas ou bens de terceiros.</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Promover a guarda, manutenção e vigilância de materiais, ferramentas, e tudo o que for necessário à execução dos serviços, durante a vigência do contrato.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Promover a organização técnica e administrativa dos serviços, de modo a conduzi-los eficaz e eficientemente, de acordo com os documentos e especificações que integram este Projeto Básico, no prazo determinado.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Conduzir os trabalhos com estrita observância às normas da legislação pertinente, cumprindo as determinações dos poderes públicos, mantendo sempre limpo o local dos serviços e nas melhores condições de segurança, higiene e disciplina.</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Submeter previamente, por escrito à contratante para análise e aprovação, quaisquer mudanças nos métodos executivos que fujam às especificações do memorial descritivo.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Manter durante toda a vigência do contrato, em compatibilidade com as obrigações assumidas, todas as condições de habilitação e qualificação exigidas na licitação.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Guardar sigilo sobre todas as informações obtidas em decorrência do cumprimento do contrato.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 xml:space="preserve">Arcar com o ônus decorrente de eventual equívoco no dimensionamento dos quantitativos de sua proposta, inclusive quanto aos custos variáveis decorrentes de fatores futuros e incertos, tais como os valores providos com o quantitativo de vale transporte, devendo complementá-los, caso o previsto inicialmente em sua proposta não seja satisfatório para o atendimento do objeto da licitação, exceto quando ocorrer algum dos eventos arrolados nos incisos do § 1º do artigo 57 da </w:t>
      </w:r>
      <w:r>
        <w:rPr>
          <w:rFonts w:eastAsia="Arial" w:cs="Calibri" w:ascii="Calibri" w:hAnsi="Calibri"/>
        </w:rPr>
        <w:t>Lei</w:t>
      </w:r>
      <w:r>
        <w:rPr>
          <w:rFonts w:cs="Calibri" w:ascii="Calibri" w:hAnsi="Calibri"/>
        </w:rPr>
        <w:t xml:space="preserve"> nº 14.133, de 1º de abril de 2021</w:t>
      </w:r>
      <w:r>
        <w:rPr>
          <w:rFonts w:cs="Calibri" w:ascii="Calibri" w:hAnsi="Calibri"/>
          <w:shd w:fill="FFFFFF" w:val="clear"/>
        </w:rPr>
        <w:t>.</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Cumprir, além dos postulados legais vigentes de âmbito federal, estadual ou municipal, as normas de segurança da contratante.</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Prestar os serviços dentro dos parâmetros e rotinas estabelecidos, fornecendo todos os materiais, equipamentos e utensílios em quantidade, qualidade e tecnologia adequadas, com a observância às recomendações aceitas pela boa técnica, normas e legislação.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 xml:space="preserve">Assegurar à contratante, em conformidade com o previsto no subitem 6.1, </w:t>
      </w:r>
      <w:r>
        <w:rPr>
          <w:rFonts w:eastAsia="Arial" w:cs="Calibri" w:ascii="Calibri" w:hAnsi="Calibri"/>
        </w:rPr>
        <w:t>“a”e “b”, do Anexo VII – F da Instrução Normativa SEGES/MP nº 5, de 26 de maio de 2017:</w:t>
      </w:r>
    </w:p>
    <w:p>
      <w:pPr>
        <w:pStyle w:val="Normal"/>
        <w:numPr>
          <w:ilvl w:val="0"/>
          <w:numId w:val="6"/>
        </w:numPr>
        <w:tabs>
          <w:tab w:val="clear" w:pos="720"/>
          <w:tab w:val="left" w:pos="1049" w:leader="none"/>
        </w:tabs>
        <w:snapToGrid w:val="false"/>
        <w:spacing w:before="120" w:after="120"/>
        <w:ind w:hanging="0" w:left="0"/>
        <w:jc w:val="both"/>
        <w:rPr>
          <w:rFonts w:ascii="Calibri" w:hAnsi="Calibri" w:eastAsia="Arial" w:cs="Calibri"/>
        </w:rPr>
      </w:pPr>
      <w:r>
        <w:rPr>
          <w:rFonts w:eastAsia="Arial" w:cs="Calibri" w:ascii="Calibri" w:hAnsi="Calibri"/>
          <w:color w:val="000000"/>
        </w:rPr>
        <w:t>o direito de propriedade intelectual dos produtos desenvolvidos, inclusive sobre as eventuais adequações e atualizações que vierem a ser realizadas, logo após o recebimento de cada parcela, de forma permanente, permitindo à contratante distribuir, alterar e utilizar os mesmos sem limitações; e</w:t>
      </w:r>
    </w:p>
    <w:p>
      <w:pPr>
        <w:pStyle w:val="Normal"/>
        <w:numPr>
          <w:ilvl w:val="0"/>
          <w:numId w:val="6"/>
        </w:numPr>
        <w:tabs>
          <w:tab w:val="clear" w:pos="720"/>
          <w:tab w:val="left" w:pos="1049" w:leader="none"/>
        </w:tabs>
        <w:snapToGrid w:val="false"/>
        <w:spacing w:before="120" w:after="120"/>
        <w:ind w:hanging="0" w:left="0"/>
        <w:jc w:val="both"/>
        <w:rPr>
          <w:rFonts w:ascii="Calibri" w:hAnsi="Calibri" w:eastAsia="Arial" w:cs="Calibri"/>
        </w:rPr>
      </w:pPr>
      <w:r>
        <w:rPr>
          <w:rFonts w:eastAsia="Arial" w:cs="Calibri" w:ascii="Calibri" w:hAnsi="Calibri"/>
          <w:color w:val="000000"/>
        </w:rPr>
        <w:t>os direitos autorais da solução, do projeto, de suas especificações técnicas, da documentação produzida e congêneres, e os demais produtos gerados na execução do contrato, inclusive aqueles produzidos por terceiros subcontratados, ficando proibida a sua utilização sem que exista autorização expressa da contratante, sob pena de multa, sem prejuízo das sanções civis e penais cabíveis.</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Manter os empregados nos horários predeterminados pela contratante.</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Apresentar os empregados devidamente identificados por meio de crachá;</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Apresentar à Contratante, quando for o caso, a relação nominal dos empregados que adentrarão no órgão para a execução do serviço;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Atender às solicitações da Contratante quanto à substituição dos empregados alocados, no prazo fixado pela fiscalização do contrato, nos casos em que ficar constatado descumprimento das obrigações relativas à execução do serviço, conforme descrito neste Projeto Básico;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Manter preposto aceito pela Contratante nos horários e locais de prestação de serviço para representá-la na execução do contrato com capacidade para tomar decisões compatíveis com os compromissos assumidos;</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color w:val="000000"/>
        </w:rPr>
        <w:t>Instruir os seus empregados, quanto à prevenção de incêndios nas áreas da Contratante;</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Adotar as providências e precauções necessárias, inclusive consulta nos respectivos órgãos, se necessário for, a fim de que não venham a ser danificadas as redes hidrossanitárias, elétricas e de comunicação.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Providenciar junto ao CREA ou ao CAU as anotações e registros de responsabilidade técnica referentes ao objeto do contrato e especialidades pertinentes, nos termos das normas pertinentes (Leis nº 6.496, de 7 de dezembro de 1977 e nº 12.378, de 31 de dezembro de 2010).</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Obter junto aos órgãos competentes, conforme o caso, as licenças necessárias e demais documentos e autorizações exigíveis, na forma da legislação aplicável.</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 xml:space="preserve">Refazer, às suas expensas, os trabalhos executados em desacordo com o estabelecido no instrumento contratual, neste </w:t>
      </w:r>
      <w:r>
        <w:rPr>
          <w:rFonts w:eastAsia="Arial" w:cs="Calibri" w:ascii="Calibri" w:hAnsi="Calibri"/>
          <w:color w:val="000000"/>
        </w:rPr>
        <w:t xml:space="preserve">Projeto Básico </w:t>
      </w:r>
      <w:r>
        <w:rPr>
          <w:rFonts w:eastAsia="Arial" w:cs="Calibri" w:ascii="Calibri" w:hAnsi="Calibri"/>
        </w:rPr>
        <w:t>e seus apêndices, bem como substituir aqueles realizados com materiais defeituosos ou com vício de construção, pelo prazo de 5 (cinco) anos, contado da data de emissão do Termo de Recebimento Definitivo.</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Utilizar somente matéria-prima florestal procedente, nos termos do artigo 11 do Decreto n° 5.975, de 30 de novembro de 2006, de: (a) manejo florestal, realizado por meio de Plano de Manejo Florestal Sustentável (PMFS) devidamente aprovado pelo órgão competente do Sistema Nacional do Meio Ambiente (SISNAMA); (b) supressão da vegetação natural, devidamente autorizada pelo órgão competente do Sistema Nacional do Meio Ambiente (SISNAMA); (c) florestas plantadas; e (d) outras fontes de biomassa florestal, definidas em normas específicas do órgão ambiental competente.</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Comprovar a procedência legal dos produtos ou subprodutos florestais utilizados em cada etapa da execução contratual, nos termos do artigo 4°, inciso IX, da Instrução Normativa SLTI/MP n° 1, de 19 de janeiro de 2010, por ocasião da respectiva medição, mediante a apresentação dos seguintes documentos, conforme o caso:</w:t>
      </w:r>
    </w:p>
    <w:p>
      <w:pPr>
        <w:pStyle w:val="Normal"/>
        <w:numPr>
          <w:ilvl w:val="0"/>
          <w:numId w:val="7"/>
        </w:numPr>
        <w:tabs>
          <w:tab w:val="clear" w:pos="720"/>
          <w:tab w:val="left" w:pos="1049" w:leader="none"/>
        </w:tabs>
        <w:snapToGrid w:val="false"/>
        <w:spacing w:before="120" w:after="120"/>
        <w:ind w:hanging="0" w:left="0"/>
        <w:jc w:val="both"/>
        <w:rPr>
          <w:rFonts w:ascii="Calibri" w:hAnsi="Calibri" w:eastAsia="Arial" w:cs="Calibri"/>
        </w:rPr>
      </w:pPr>
      <w:r>
        <w:rPr>
          <w:rFonts w:eastAsia="Arial" w:cs="Calibri" w:ascii="Calibri" w:hAnsi="Calibri"/>
        </w:rPr>
        <w:t xml:space="preserve">cópias autenticadas das notas fiscais de aquisição dos produtos ou subprodutos florestais; </w:t>
      </w:r>
    </w:p>
    <w:p>
      <w:pPr>
        <w:pStyle w:val="Normal"/>
        <w:numPr>
          <w:ilvl w:val="0"/>
          <w:numId w:val="7"/>
        </w:numPr>
        <w:tabs>
          <w:tab w:val="clear" w:pos="720"/>
          <w:tab w:val="left" w:pos="1049" w:leader="none"/>
        </w:tabs>
        <w:snapToGrid w:val="false"/>
        <w:spacing w:before="120" w:after="120"/>
        <w:ind w:hanging="0" w:left="0"/>
        <w:jc w:val="both"/>
        <w:rPr>
          <w:rFonts w:ascii="Calibri" w:hAnsi="Calibri" w:eastAsia="Arial" w:cs="Calibri"/>
        </w:rPr>
      </w:pPr>
      <w:r>
        <w:rPr>
          <w:rFonts w:eastAsia="Arial" w:cs="Calibri" w:ascii="Calibri" w:hAnsi="Calibri"/>
        </w:rPr>
        <w:t>cópia dos Comprovantes de Registro do fornecedor e do transportador dos produtos ou subprodutos florestais junto ao Cadastro Técnico Federal de Atividades Potencialmente Poluidoras ou Utilizadoras de Recursos Ambientais (CTF), mantido pelo IBAMA, quando tal inscrição for obrigatória, acompanhados dos respectivos Certificados de Regularidade válidos, conforme artigo 17, inciso II, da Lei n° 6.938, de 1981, e Instrução Normativa IBAMA n° 5, de 15 de março de 2014, e legislação correlata;</w:t>
      </w:r>
    </w:p>
    <w:p>
      <w:pPr>
        <w:pStyle w:val="Normal"/>
        <w:numPr>
          <w:ilvl w:val="0"/>
          <w:numId w:val="7"/>
        </w:numPr>
        <w:tabs>
          <w:tab w:val="clear" w:pos="720"/>
          <w:tab w:val="left" w:pos="1049" w:leader="none"/>
        </w:tabs>
        <w:snapToGrid w:val="false"/>
        <w:spacing w:before="120" w:after="120"/>
        <w:ind w:hanging="0" w:left="0"/>
        <w:jc w:val="both"/>
        <w:rPr>
          <w:rFonts w:ascii="Calibri" w:hAnsi="Calibri" w:eastAsia="Arial" w:cs="Calibri"/>
        </w:rPr>
      </w:pPr>
      <w:r>
        <w:rPr>
          <w:rFonts w:eastAsia="Arial" w:cs="Calibri" w:ascii="Calibri" w:hAnsi="Calibri"/>
          <w:color w:val="000000"/>
        </w:rPr>
        <w:t>documento de Origem Florestal (DOF), instituído pela Portaria n° 253, de 18 de agosto de 2006, do Ministério do Meio Ambiente, e Instrução Normativa IBAMA n° 21, de 24 de dezembro de 2014, quando se tratar de produtos ou subprodutos florestais de origem nativa cujo transporte e armazenamento exijam a emissão de tal licença obrigatória.</w:t>
      </w:r>
    </w:p>
    <w:p>
      <w:pPr>
        <w:pStyle w:val="Normal"/>
        <w:numPr>
          <w:ilvl w:val="0"/>
          <w:numId w:val="7"/>
        </w:numPr>
        <w:tabs>
          <w:tab w:val="clear" w:pos="720"/>
          <w:tab w:val="left" w:pos="1040" w:leader="none"/>
        </w:tabs>
        <w:snapToGrid w:val="false"/>
        <w:spacing w:before="120" w:after="120"/>
        <w:ind w:hanging="0" w:left="0"/>
        <w:jc w:val="both"/>
        <w:rPr>
          <w:rFonts w:ascii="Calibri" w:hAnsi="Calibri" w:eastAsia="Arial" w:cs="Calibri"/>
          <w:color w:val="000000"/>
        </w:rPr>
      </w:pPr>
      <w:r>
        <w:rPr>
          <w:rFonts w:eastAsia="Arial" w:cs="Calibri" w:ascii="Calibri" w:hAnsi="Calibri"/>
        </w:rPr>
        <w:t>caso os produtos ou subprodutos florestais utilizados na execução contratual tenham origem em Estado que possua documento de controle próprio, a contratada deverá apresentá-lo, em complementação ao DOF, a fim de demonstrar a regularidade do transporte e armazenamento nos limites do território estadual.</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Observar as diretrizes, critérios e procedimentos para a gestão dos resíduos da construção civil estabelecidos na Resolução nº 307, de 5 de julho de 2002, com as alterações posteriores, do Conselho Nacional de Meio Ambiente (CONAMA), conforme artigo 4°, §§ 2° e 3°, da Instrução Normativa SLTI/MP n° 1, de 19 de janeiro de 2010, nos seguintes termos:</w:t>
      </w:r>
    </w:p>
    <w:p>
      <w:pPr>
        <w:pStyle w:val="Normal"/>
        <w:numPr>
          <w:ilvl w:val="0"/>
          <w:numId w:val="8"/>
        </w:numPr>
        <w:tabs>
          <w:tab w:val="clear" w:pos="720"/>
          <w:tab w:val="left" w:pos="1040" w:leader="none"/>
        </w:tabs>
        <w:snapToGrid w:val="false"/>
        <w:spacing w:before="120" w:after="120"/>
        <w:ind w:hanging="0" w:left="0"/>
        <w:jc w:val="both"/>
        <w:rPr>
          <w:rFonts w:ascii="Calibri" w:hAnsi="Calibri" w:eastAsia="Arial" w:cs="Calibri"/>
        </w:rPr>
      </w:pPr>
      <w:r>
        <w:rPr>
          <w:rFonts w:eastAsia="Arial" w:cs="Calibri" w:ascii="Calibri" w:hAnsi="Calibri"/>
        </w:rPr>
        <w:t>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pPr>
        <w:pStyle w:val="Normal"/>
        <w:numPr>
          <w:ilvl w:val="0"/>
          <w:numId w:val="8"/>
        </w:numPr>
        <w:tabs>
          <w:tab w:val="clear" w:pos="720"/>
          <w:tab w:val="left" w:pos="1040" w:leader="none"/>
        </w:tabs>
        <w:snapToGrid w:val="false"/>
        <w:spacing w:before="120" w:after="120"/>
        <w:ind w:hanging="0" w:left="0"/>
        <w:jc w:val="both"/>
        <w:rPr>
          <w:rFonts w:ascii="Calibri" w:hAnsi="Calibri" w:eastAsia="Arial" w:cs="Calibri"/>
        </w:rPr>
      </w:pPr>
      <w:r>
        <w:rPr>
          <w:rFonts w:eastAsia="Arial" w:cs="Calibri" w:ascii="Calibri" w:hAnsi="Calibri"/>
        </w:rPr>
        <w:t>Nos termos dos artigos 3° e 10° da Resolução CONAMA n° 307, de 5 de julho de 2002, a CONTRATADA deverá providenciar a destinação ambientalmente adequada dos resíduos da construção civil originários da contratação.</w:t>
      </w:r>
    </w:p>
    <w:p>
      <w:pPr>
        <w:pStyle w:val="Normal"/>
        <w:numPr>
          <w:ilvl w:val="0"/>
          <w:numId w:val="8"/>
        </w:numPr>
        <w:tabs>
          <w:tab w:val="clear" w:pos="720"/>
          <w:tab w:val="left" w:pos="1040" w:leader="none"/>
        </w:tabs>
        <w:snapToGrid w:val="false"/>
        <w:spacing w:before="120" w:after="120"/>
        <w:ind w:hanging="0" w:left="0"/>
        <w:jc w:val="both"/>
        <w:rPr>
          <w:rFonts w:ascii="Calibri" w:hAnsi="Calibri" w:eastAsia="Arial" w:cs="Calibri"/>
        </w:rPr>
      </w:pPr>
      <w:r>
        <w:rPr>
          <w:rFonts w:eastAsia="Arial" w:cs="Calibri" w:ascii="Calibri" w:hAnsi="Calibri"/>
        </w:rPr>
        <w:t>Em nenhuma hipótese a Contratada poderá dispor os resíduos originários da contratação em aterros de resíduos sólidos urbanos, áreas de “bota fora”, encostas, corpos d´água, lotes vagos e áreas protegidas por Lei, bem como em áreas não licenciadas;</w:t>
      </w:r>
    </w:p>
    <w:p>
      <w:pPr>
        <w:pStyle w:val="Normal"/>
        <w:numPr>
          <w:ilvl w:val="0"/>
          <w:numId w:val="8"/>
        </w:numPr>
        <w:tabs>
          <w:tab w:val="clear" w:pos="720"/>
          <w:tab w:val="left" w:pos="1040" w:leader="none"/>
        </w:tabs>
        <w:snapToGrid w:val="false"/>
        <w:spacing w:before="120" w:after="120"/>
        <w:ind w:hanging="0" w:left="0"/>
        <w:jc w:val="both"/>
        <w:rPr>
          <w:rFonts w:ascii="Calibri" w:hAnsi="Calibri" w:eastAsia="Arial" w:cs="Calibri"/>
        </w:rPr>
      </w:pPr>
      <w:r>
        <w:rPr>
          <w:rFonts w:eastAsia="Arial" w:cs="Calibri" w:ascii="Calibri" w:hAnsi="Calibri"/>
        </w:rPr>
        <w:t>Para fins de fiscalização do fiel cumprimento do Programa Municipal de Gerenciamento de Resíduos da Construção Civil, ou do Projeto de Gerenciamento de Resíduos da Construção Civil, conforme o caso, a contratada comprovará, sob pena de multa, que todos os resíduos removidos estão acompanhados de Controle de Transporte de Resíduos, em conformidade com as normas da Agência Brasileira de Normas Técnicas, ABNT NBR n° 15.112; 15.113; 15.114; 15.115; e 15.116, todas de 2004.</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Observar as seguintes diretrizes de caráter ambiental:</w:t>
      </w:r>
    </w:p>
    <w:p>
      <w:pPr>
        <w:pStyle w:val="Normal"/>
        <w:numPr>
          <w:ilvl w:val="0"/>
          <w:numId w:val="9"/>
        </w:numPr>
        <w:tabs>
          <w:tab w:val="clear" w:pos="720"/>
          <w:tab w:val="left" w:pos="1040" w:leader="none"/>
        </w:tabs>
        <w:snapToGrid w:val="false"/>
        <w:spacing w:before="120" w:after="120"/>
        <w:ind w:hanging="0" w:left="0"/>
        <w:jc w:val="both"/>
        <w:rPr>
          <w:rFonts w:ascii="Calibri" w:hAnsi="Calibri" w:eastAsia="Arial" w:cs="Calibri"/>
        </w:rPr>
      </w:pPr>
      <w:r>
        <w:rPr>
          <w:rFonts w:eastAsia="Arial" w:cs="Calibri" w:ascii="Calibri" w:hAnsi="Calibri"/>
        </w:rPr>
        <w:t>qualquer instalação, equipamento ou processo, situado em local fixo, que libere ou emita matéria para a atmosfera, por emissão pontual ou fugitiva, utilizado na execução contratual, deverá respeitar os limites máximos de emissão de poluentes admitidos na Resolução CONAMA n° 382, de 26 de dezembro de 2006, e legislação correlata, de acordo com o poluente e o tipo de fonte;</w:t>
      </w:r>
    </w:p>
    <w:p>
      <w:pPr>
        <w:pStyle w:val="Normal"/>
        <w:numPr>
          <w:ilvl w:val="0"/>
          <w:numId w:val="9"/>
        </w:numPr>
        <w:tabs>
          <w:tab w:val="clear" w:pos="720"/>
          <w:tab w:val="left" w:pos="1040" w:leader="none"/>
        </w:tabs>
        <w:snapToGrid w:val="false"/>
        <w:spacing w:before="120" w:after="120"/>
        <w:ind w:hanging="0" w:left="0"/>
        <w:jc w:val="both"/>
        <w:rPr>
          <w:rFonts w:ascii="Calibri" w:hAnsi="Calibri" w:eastAsia="Arial" w:cs="Calibri"/>
        </w:rPr>
      </w:pPr>
      <w:r>
        <w:rPr>
          <w:rFonts w:eastAsia="Arial" w:cs="Calibri" w:ascii="Calibri" w:hAnsi="Calibri"/>
        </w:rPr>
        <w:t>na execução contratual, conforme o caso, a emissão de ruídos não poderá ultrapassar os níveis considerados aceitáveis pela Norma NBR 10.151 - Avaliação do Ruído em Áreas Habitadas visando o conforto da comunidade, da ABNT, ou aqueles estabelecidos na NBR 10.152 - Níveis de Ruído para conforto acústico, nos termos da Resolução CONAMA n° 01, de 8 de março de 1990, e legislação correlata;</w:t>
      </w:r>
    </w:p>
    <w:p>
      <w:pPr>
        <w:pStyle w:val="Normal"/>
        <w:numPr>
          <w:ilvl w:val="0"/>
          <w:numId w:val="9"/>
        </w:numPr>
        <w:tabs>
          <w:tab w:val="clear" w:pos="720"/>
          <w:tab w:val="left" w:pos="1040" w:leader="none"/>
        </w:tabs>
        <w:snapToGrid w:val="false"/>
        <w:spacing w:before="120" w:after="120"/>
        <w:ind w:hanging="0" w:left="0"/>
        <w:jc w:val="both"/>
        <w:rPr>
          <w:rFonts w:ascii="Calibri" w:hAnsi="Calibri" w:eastAsia="Arial" w:cs="Calibri"/>
        </w:rPr>
      </w:pPr>
      <w:r>
        <w:rPr>
          <w:rFonts w:eastAsia="Arial" w:cs="Calibri" w:ascii="Calibri" w:hAnsi="Calibri"/>
        </w:rPr>
        <w:t>nos termos do artigo 4°, § 3°, da Instrução Normativa SLTI/MPOG n° 1, de 19 de janeiro de 2010, deverão ser utilizados, na execução contratual, agregados reciclados, sempre que existir a oferta de tais materiais, capacidade de suprimento e custo inferior em relação aos agregados naturais, inserindo-se na planilha de formação de preços os custos correspondentes;</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Responder por qualquer acidente de trabalho na execução dos serviços, por uso indevido de patentes registradas em nome de terceiros, por qualquer causa de destruição, danificação, defeitos ou incorreções dos serviços ou dos bens da Contratante, de seus funcionários ou de terceiros, ainda que ocorridos em via pública junto à obra.</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 xml:space="preserve">Realizar, conforme o caso, por meio de laboratórios previamente aprovados pela fiscalização e sob suas custas, os testes, ensaios, exames e provas necessárias ao controle de qualidade dos materiais, serviços e equipamentos a serem aplicados nos trabalhos, conforme procedimento previsto neste </w:t>
      </w:r>
      <w:r>
        <w:rPr>
          <w:rFonts w:eastAsia="Arial" w:cs="Calibri" w:ascii="Calibri" w:hAnsi="Calibri"/>
          <w:color w:val="000000"/>
        </w:rPr>
        <w:t>Projeto Básico</w:t>
      </w:r>
      <w:r>
        <w:rPr>
          <w:rFonts w:eastAsia="Arial" w:cs="Calibri" w:ascii="Calibri" w:hAnsi="Calibri"/>
        </w:rPr>
        <w:t xml:space="preserve"> e demais documentos anexos;</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Providenciar, conforme o caso, as ligações definitivas das utilidades previstas no projeto (água, esgoto, gás, energia elétrica, telefone, etc.), bem como atuar junto aos órgãos federais, estaduais e municipais e concessionárias de serviços públicos para a obtenção de licenças e regularização dos serviços e atividades concluídas (ex.: Habite-se, Licença Ambiental de Operação, etc.);</w:t>
      </w:r>
    </w:p>
    <w:p>
      <w:pPr>
        <w:pStyle w:val="Normal"/>
        <w:numPr>
          <w:ilvl w:val="0"/>
          <w:numId w:val="5"/>
        </w:numPr>
        <w:tabs>
          <w:tab w:val="clear" w:pos="720"/>
          <w:tab w:val="left" w:pos="840" w:leader="none"/>
        </w:tabs>
        <w:snapToGrid w:val="false"/>
        <w:spacing w:before="120" w:after="120"/>
        <w:ind w:hanging="0" w:left="0"/>
        <w:jc w:val="both"/>
        <w:rPr>
          <w:rFonts w:ascii="Calibri" w:hAnsi="Calibri" w:eastAsia="Arial" w:cs="Calibri"/>
        </w:rPr>
      </w:pPr>
      <w:r>
        <w:rPr>
          <w:rFonts w:eastAsia="Arial" w:cs="Calibri" w:ascii="Calibri" w:hAnsi="Calibri"/>
        </w:rPr>
        <w:t>Responsabilizar-se pela padronização, pela compatibilidade, pelo gerenciamento centralizado e pela qualidade da subcontratação.</w:t>
      </w:r>
    </w:p>
    <w:p>
      <w:pPr>
        <w:pStyle w:val="Normal"/>
        <w:keepNext w:val="true"/>
        <w:keepLines/>
        <w:numPr>
          <w:ilvl w:val="0"/>
          <w:numId w:val="1"/>
        </w:numPr>
        <w:snapToGrid w:val="false"/>
        <w:spacing w:before="240" w:after="120"/>
        <w:jc w:val="both"/>
        <w:rPr>
          <w:rFonts w:ascii="Calibri" w:hAnsi="Calibri" w:eastAsia="Arial" w:cs="Calibri"/>
          <w:b/>
          <w:color w:val="000000"/>
        </w:rPr>
      </w:pPr>
      <w:r>
        <w:rPr>
          <w:rFonts w:eastAsia="Arial" w:cs="Calibri" w:ascii="Calibri" w:hAnsi="Calibri"/>
          <w:b/>
          <w:color w:val="000000"/>
        </w:rPr>
        <w:t>DA SUBCONTRATAÇÃO</w:t>
      </w:r>
    </w:p>
    <w:p>
      <w:pPr>
        <w:pStyle w:val="Normal"/>
        <w:keepNext w:val="true"/>
        <w:keepLines/>
        <w:snapToGrid w:val="false"/>
        <w:spacing w:before="120" w:after="120"/>
        <w:jc w:val="both"/>
        <w:rPr>
          <w:rFonts w:ascii="Calibri" w:hAnsi="Calibri" w:eastAsia="Arial" w:cs="Calibri"/>
        </w:rPr>
      </w:pPr>
      <w:r>
        <w:rPr>
          <w:rFonts w:eastAsia="Arial" w:cs="Calibri" w:ascii="Calibri" w:hAnsi="Calibri"/>
          <w:color w:val="auto"/>
        </w:rPr>
        <w:t xml:space="preserve">Não será </w:t>
      </w:r>
      <w:r>
        <w:rPr>
          <w:rFonts w:eastAsia="Arial" w:cs="Calibri" w:ascii="Calibri" w:hAnsi="Calibri"/>
        </w:rPr>
        <w:t>admitida a subcontratação do objeto licitatório.</w:t>
      </w:r>
    </w:p>
    <w:p>
      <w:pPr>
        <w:pStyle w:val="Normal"/>
        <w:keepNext w:val="true"/>
        <w:keepLines/>
        <w:numPr>
          <w:ilvl w:val="0"/>
          <w:numId w:val="1"/>
        </w:numPr>
        <w:tabs>
          <w:tab w:val="clear" w:pos="720"/>
          <w:tab w:val="left" w:pos="0" w:leader="none"/>
        </w:tabs>
        <w:snapToGrid w:val="false"/>
        <w:spacing w:before="240" w:after="120"/>
        <w:jc w:val="both"/>
        <w:rPr>
          <w:rFonts w:ascii="Calibri" w:hAnsi="Calibri" w:eastAsia="Arial" w:cs="Calibri"/>
          <w:b/>
          <w:color w:val="000000"/>
        </w:rPr>
      </w:pPr>
      <w:r>
        <w:rPr>
          <w:rFonts w:eastAsia="Arial" w:cs="Calibri" w:ascii="Calibri" w:hAnsi="Calibri"/>
          <w:b/>
          <w:color w:val="000000"/>
        </w:rPr>
        <w:t>ALTERAÇÃO SUBJETIVA</w:t>
      </w:r>
    </w:p>
    <w:p>
      <w:pPr>
        <w:pStyle w:val="Normal"/>
        <w:tabs>
          <w:tab w:val="clear" w:pos="720"/>
          <w:tab w:val="left" w:pos="840" w:leader="none"/>
        </w:tabs>
        <w:snapToGrid w:val="false"/>
        <w:spacing w:before="120" w:after="120"/>
        <w:jc w:val="both"/>
        <w:rPr>
          <w:rFonts w:ascii="Calibri" w:hAnsi="Calibri" w:eastAsia="Arial" w:cs="Calibri"/>
        </w:rPr>
      </w:pPr>
      <w:r>
        <w:rPr>
          <w:rFonts w:eastAsia="Arial" w:cs="Calibri" w:ascii="Calibri" w:hAnsi="Calibri"/>
          <w:color w:val="000000"/>
        </w:rPr>
        <w:t xml:space="preserve">Não é </w:t>
      </w:r>
      <w:r>
        <w:rPr>
          <w:rFonts w:eastAsia="Arial" w:cs="Calibri" w:ascii="Calibri" w:hAnsi="Calibri"/>
          <w:color w:val="000000"/>
        </w:rPr>
        <w:t>admissível a fusão, cisão ou incorporação da contratada com/em outra pessoa jurídica.</w:t>
      </w:r>
    </w:p>
    <w:p>
      <w:pPr>
        <w:pStyle w:val="Normal"/>
        <w:keepNext w:val="true"/>
        <w:keepLines/>
        <w:numPr>
          <w:ilvl w:val="0"/>
          <w:numId w:val="1"/>
        </w:numPr>
        <w:snapToGrid w:val="false"/>
        <w:spacing w:before="240" w:after="120"/>
        <w:jc w:val="both"/>
        <w:rPr>
          <w:rFonts w:ascii="Calibri" w:hAnsi="Calibri" w:eastAsia="Arial" w:cs="Calibri"/>
          <w:color w:val="000000"/>
        </w:rPr>
      </w:pPr>
      <w:r>
        <w:rPr>
          <w:rFonts w:eastAsia="Arial" w:cs="Calibri" w:ascii="Calibri" w:hAnsi="Calibri"/>
          <w:b/>
          <w:color w:val="000000"/>
        </w:rPr>
        <w:t>CONTROLE E FISCALIZAÇÃO DA EXECUÇÃO</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O acompanhamento e a fiscalização da execução do contrato consistem na verificação da conformidade da prestação dos serviços, dos materiais, técnicas e equipamentos empregados, de forma a assegurar o perfeito cumprimento do ajuste, que serão exercidos por um ou mais representantes da Contratante, especialmente designados, na forma da Lei</w:t>
      </w:r>
      <w:r>
        <w:rPr>
          <w:rFonts w:cs="Calibri" w:ascii="Calibri" w:hAnsi="Calibri"/>
        </w:rPr>
        <w:t xml:space="preserve"> nº 14.133, de 1º de abril de 2021</w:t>
      </w:r>
      <w:r>
        <w:rPr>
          <w:rFonts w:eastAsia="Arial" w:cs="Calibri" w:ascii="Calibri" w:hAnsi="Calibri"/>
        </w:rPr>
        <w:t>.</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O representante da contratante deverá ter a qualificação necessária para o acompanhamento e controle da execução dos serviços e do contrato.</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A verificação da adequação da prestação do serviço deverá ser realizada com base nos critérios previstos neste Projeto Básico.</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A fiscalização do contrato, ao verificar que houve subdimensionamento da produtividade pactuada, sem perda da qualidade na execução do serviço, deverá comunicar à autoridade responsável para que esta promova a adequação contratual à produtividade efetivamente realizada, respeitando-se os limites de alteração dos valores contratuais previstos no § 1º do artigo 65 da Lei</w:t>
      </w:r>
      <w:r>
        <w:rPr>
          <w:rFonts w:cs="Calibri" w:ascii="Calibri" w:hAnsi="Calibri"/>
        </w:rPr>
        <w:t xml:space="preserve"> nº 14.133, de 1º de abril de 2021</w:t>
      </w:r>
      <w:r>
        <w:rPr>
          <w:rFonts w:eastAsia="Arial" w:cs="Calibri" w:ascii="Calibri" w:hAnsi="Calibri"/>
        </w:rPr>
        <w:t>.</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A conformidade do material/técnica/equipamento a ser utilizado na execução dos serviços deverá ser verificada com o documento da Contratada que contenha a relação detalhada dos mesmos, de acordo com o estabelecido neste Projeto Básico, informando as respectivas quantidades e especificações técnicas, tais como: marca, qualidade e forma de uso.</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O representante da contratante deverá promover o registro das ocorrências verificadas, adotando as providências necessárias ao fiel cumprimento das cláusulas contratuais, conforme o disposto na Lei</w:t>
      </w:r>
      <w:r>
        <w:rPr>
          <w:rFonts w:cs="Calibri" w:ascii="Calibri" w:hAnsi="Calibri"/>
        </w:rPr>
        <w:t xml:space="preserve"> nº 14.133, de 1º de abril de 2021</w:t>
      </w:r>
      <w:r>
        <w:rPr>
          <w:rFonts w:eastAsia="Arial" w:cs="Calibri" w:ascii="Calibri" w:hAnsi="Calibri"/>
        </w:rPr>
        <w:t>.</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O descumprimento total ou parcial das obrigações e responsabilidades assumidas pela contratada, sobretudo quanto às obrigações e encargos sociais e trabalhistas, ensejará a aplicação de sanções administrativas, previstas neste Projeto Básico e na legislação vigente, podendo culminar em rescisão contratual, conforme disposto na Lei</w:t>
      </w:r>
      <w:r>
        <w:rPr>
          <w:rFonts w:cs="Calibri" w:ascii="Calibri" w:hAnsi="Calibri"/>
        </w:rPr>
        <w:t xml:space="preserve"> nº 14.133, de 1º de abril de 2021</w:t>
      </w:r>
      <w:r>
        <w:rPr>
          <w:rFonts w:eastAsia="Arial" w:cs="Calibri" w:ascii="Calibri" w:hAnsi="Calibri"/>
        </w:rPr>
        <w:t>.</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 xml:space="preserve">As atividades de gestão e fiscalização da execução contratual devem ser realizadas de forma preventiva, rotineira e sistemática, podendo ser exercidas por servidores, equipe de fiscalização ou único servidor, desde que, no exercício dessas atribuições, fique assegurada a distinção dessas atividades e, em razão do volume de trabalho, não comprometa o desempenho de todas as ações relacionadas à gestão do contrato. </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No caso de serviços de engenharia, a fiscalização técnica dos contratos avaliará constantemente a execução do objeto e utilizará o IMR, conforme previsto no anexo a este Projeto Básico, ou outro instrumento substituto para aferição da qualidade da prestação dos serviços, devendo haver o redimensionamento no pagamento com base nos indicadores estabelecidos, sempre que a contratada: não produzir os resultados, deixar de executar, ou não executar com a qualidade mínima exigida as atividades contratadas; ou deixar de utilizar materiais e recursos humanos exigidos para a execução do serviço, ou utilizá-los com qualidade ou quantidade inferior à demandada.</w:t>
      </w:r>
    </w:p>
    <w:p>
      <w:pPr>
        <w:pStyle w:val="Normal"/>
        <w:tabs>
          <w:tab w:val="clear" w:pos="720"/>
          <w:tab w:val="left" w:pos="1134" w:leader="none"/>
        </w:tabs>
        <w:snapToGrid w:val="false"/>
        <w:spacing w:before="120" w:after="120"/>
        <w:jc w:val="both"/>
        <w:rPr>
          <w:rFonts w:ascii="Calibri" w:hAnsi="Calibri" w:eastAsia="Arial" w:cs="Calibri"/>
        </w:rPr>
      </w:pPr>
      <w:r>
        <w:rPr>
          <w:rFonts w:eastAsia="Arial" w:cs="Calibri" w:ascii="Calibri" w:hAnsi="Calibri"/>
        </w:rPr>
        <w:t>A utilização do IMR não impede a aplicação concomitante de outros mecanismos para a avaliação da prestação dos serviços.</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Durante a execução do objeto, o fiscal técnico deverá monitorar constantemente o nível de qualidade dos serviços para evitar a sua degeneração, devendo intervir para requerer à contratada a correção das faltas, falhas e irregularidades constatadas.</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O fiscal técnico deverá apresentar ao preposto da contratada a avaliação da execução do objeto ou, se for o caso, a avaliação de desempenho e qualidade da prestação dos serviços realizada.</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Em hipótese alguma, será admitido que a própria contratada materialize a avaliação de desempenho e qualidade da prestação dos serviços realizada.</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A contratada poderá apresentar justificativa para a prestação do serviço com menor nível de conformidade, que poderá ser aceita pelo fiscal técnico, desde que comprovada a excepcionalidade da ocorrência, resultante exclusivamente de fatores imprevisíveis e alheios ao controle do prestador.</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Na hipótese de comportamento contínuo de desconformidade da prestação do serviço em relação à qualidade exigida, bem como quando esta ultrapassar os níveis mínimos toleráveis previstos nos indicadores, além dos fatores redutores, devem ser aplicadas as sanções à contratada de acordo com as regras previstas no ato convocatório.</w:t>
      </w:r>
    </w:p>
    <w:p>
      <w:pPr>
        <w:pStyle w:val="Normal"/>
        <w:tabs>
          <w:tab w:val="clear" w:pos="720"/>
          <w:tab w:val="left" w:pos="709" w:leader="none"/>
        </w:tabs>
        <w:snapToGrid w:val="false"/>
        <w:spacing w:before="120" w:after="120"/>
        <w:jc w:val="both"/>
        <w:rPr>
          <w:rFonts w:ascii="Calibri" w:hAnsi="Calibri" w:eastAsia="Arial" w:cs="Calibri"/>
        </w:rPr>
      </w:pPr>
      <w:r>
        <w:rPr>
          <w:rFonts w:eastAsia="Arial" w:cs="Calibri" w:ascii="Calibri" w:hAnsi="Calibri"/>
        </w:rPr>
        <w:t>O fiscal de obra poderá realizar avaliação diária, semanal ou mensal, desde que o período escolhido seja suficiente para avaliar ou, se for o caso, aferir o desempenho e qualidade da prestação dos serviços.</w:t>
      </w:r>
    </w:p>
    <w:p>
      <w:pPr>
        <w:pStyle w:val="Normal"/>
        <w:tabs>
          <w:tab w:val="clear" w:pos="720"/>
          <w:tab w:val="left" w:pos="709" w:leader="none"/>
        </w:tabs>
        <w:snapToGrid w:val="false"/>
        <w:spacing w:before="120" w:after="120"/>
        <w:jc w:val="both"/>
        <w:rPr>
          <w:rFonts w:ascii="Calibri" w:hAnsi="Calibri" w:eastAsia="Arial" w:cs="Calibri"/>
          <w:color w:val="000000"/>
        </w:rPr>
      </w:pPr>
      <w:r>
        <w:rPr>
          <w:rFonts w:eastAsia="Arial" w:cs="Calibri" w:ascii="Calibri" w:hAnsi="Calibri"/>
          <w:color w:val="000000"/>
        </w:rPr>
        <w:t>As disposições previstas nesta cláusula não excluem o disposto no Anexo VIII da Instrução Normativa SEGES/MP nº 05, de 26 de maio de 2017, aplicável no que for pertinente à contratação.</w:t>
      </w:r>
    </w:p>
    <w:p>
      <w:pPr>
        <w:pStyle w:val="ListParagraph"/>
        <w:keepNext w:val="true"/>
        <w:keepLines/>
        <w:numPr>
          <w:ilvl w:val="0"/>
          <w:numId w:val="1"/>
        </w:numPr>
        <w:tabs>
          <w:tab w:val="clear" w:pos="720"/>
          <w:tab w:val="left" w:pos="850" w:leader="none"/>
        </w:tabs>
        <w:snapToGrid w:val="false"/>
        <w:spacing w:before="240" w:after="120"/>
        <w:jc w:val="both"/>
        <w:rPr>
          <w:rFonts w:ascii="Calibri" w:hAnsi="Calibri" w:eastAsia="Arial" w:cs="Calibri"/>
          <w:b/>
          <w:color w:val="000000"/>
        </w:rPr>
      </w:pPr>
      <w:r>
        <w:rPr>
          <w:rFonts w:eastAsia="Arial" w:cs="Calibri" w:ascii="Calibri" w:hAnsi="Calibri"/>
          <w:b/>
          <w:color w:val="000000"/>
        </w:rPr>
        <w:t>RECEBIMENTO E ACEITAÇÃO DO OBJETO</w:t>
      </w:r>
    </w:p>
    <w:p>
      <w:pPr>
        <w:pStyle w:val="Normal"/>
        <w:snapToGrid w:val="false"/>
        <w:spacing w:before="120" w:after="120"/>
        <w:jc w:val="both"/>
        <w:rPr>
          <w:rFonts w:ascii="Calibri" w:hAnsi="Calibri" w:eastAsia="Arial" w:cs="Calibri"/>
        </w:rPr>
      </w:pPr>
      <w:r>
        <w:rPr>
          <w:rFonts w:eastAsia="Arial" w:cs="Calibri" w:ascii="Calibri" w:hAnsi="Calibri"/>
        </w:rPr>
        <w:t>A emissão da nota fiscal ou fatura deve ser precedida do recebimento definitivo dos serviços, nos termos abaixo.</w:t>
      </w:r>
    </w:p>
    <w:p>
      <w:pPr>
        <w:pStyle w:val="Normal"/>
        <w:snapToGrid w:val="false"/>
        <w:spacing w:before="120" w:after="120"/>
        <w:jc w:val="both"/>
        <w:rPr>
          <w:rFonts w:ascii="Calibri" w:hAnsi="Calibri" w:eastAsia="Arial" w:cs="Calibri"/>
          <w:color w:val="000000"/>
        </w:rPr>
      </w:pPr>
      <w:r>
        <w:rPr>
          <w:rFonts w:eastAsia="Arial" w:cs="Calibri" w:ascii="Calibri" w:hAnsi="Calibri"/>
          <w:color w:val="000000"/>
        </w:rPr>
        <w:t>Ao final de cada etapa da execução contratual, conforme previsto no cronograma físico-financeiro, a contratada apresentará a medição prévia dos serviços executados no período, através de planilha e memória de cálculo detalhada.</w:t>
      </w:r>
    </w:p>
    <w:p>
      <w:pPr>
        <w:pStyle w:val="Normal"/>
        <w:snapToGrid w:val="false"/>
        <w:spacing w:before="120" w:after="120"/>
        <w:jc w:val="both"/>
        <w:rPr>
          <w:rFonts w:ascii="Calibri" w:hAnsi="Calibri" w:eastAsia="Arial" w:cs="Calibri"/>
          <w:color w:val="000000"/>
        </w:rPr>
      </w:pPr>
      <w:r>
        <w:rPr>
          <w:rFonts w:eastAsia="Arial" w:cs="Calibri" w:ascii="Calibri" w:hAnsi="Calibri"/>
          <w:color w:val="000000"/>
        </w:rPr>
        <w:t>Uma etapa será considerada efetivamente concluída quando os serviços previstos para aquela etapa, no cronograma físico-financeiro, estiverem executados em sua totalidade.</w:t>
      </w:r>
    </w:p>
    <w:p>
      <w:pPr>
        <w:pStyle w:val="Normal"/>
        <w:snapToGrid w:val="false"/>
        <w:spacing w:before="120" w:after="120"/>
        <w:jc w:val="both"/>
        <w:rPr>
          <w:rFonts w:ascii="Calibri" w:hAnsi="Calibri" w:eastAsia="Arial" w:cs="Calibri"/>
          <w:color w:val="000000"/>
        </w:rPr>
      </w:pPr>
      <w:r>
        <w:rPr>
          <w:rFonts w:eastAsia="Arial" w:cs="Calibri" w:ascii="Calibri" w:hAnsi="Calibri"/>
          <w:color w:val="000000"/>
        </w:rPr>
        <w:t>A contratada também apresentará, a cada medição, os documentos comprobatórios da procedência legal dos produtos e subprodutos florestais utilizados naquela etapa da execução contratual, quando for o caso.</w:t>
      </w:r>
    </w:p>
    <w:p>
      <w:pPr>
        <w:pStyle w:val="Normal"/>
        <w:snapToGrid w:val="false"/>
        <w:spacing w:before="120" w:after="120"/>
        <w:jc w:val="both"/>
        <w:rPr>
          <w:rFonts w:ascii="Calibri" w:hAnsi="Calibri" w:eastAsia="Arial" w:cs="Calibri"/>
        </w:rPr>
      </w:pPr>
      <w:r>
        <w:rPr>
          <w:rFonts w:eastAsia="Arial" w:cs="Calibri" w:ascii="Calibri" w:hAnsi="Calibri"/>
        </w:rPr>
        <w:t>O recebimento provisório será realizado pelo fiscal administrativo, fiscal de contrato e fiscal de obra após a entrega da documentação acima, na forma a seguir descrita.</w:t>
      </w:r>
    </w:p>
    <w:p>
      <w:pPr>
        <w:pStyle w:val="Normal"/>
        <w:snapToGrid w:val="false"/>
        <w:spacing w:before="120" w:after="120"/>
        <w:jc w:val="both"/>
        <w:rPr>
          <w:rFonts w:ascii="Calibri" w:hAnsi="Calibri" w:eastAsia="Arial" w:cs="Calibri"/>
        </w:rPr>
      </w:pPr>
      <w:r>
        <w:rPr>
          <w:rFonts w:eastAsia="Arial" w:cs="Calibri" w:ascii="Calibri" w:hAnsi="Calibri"/>
        </w:rPr>
        <w:t>A contratante realizará inspeção minuciosa de todos os serviços executados, por meio de profissionais técnicos competentes, acompanhados dos profissionais encarregados pelo serviço, com a finalidade de verificar a adequação dos serviços e constatar e relacionar os arremates, retoques e revisões finais que se fizerem necessários.</w:t>
      </w:r>
    </w:p>
    <w:p>
      <w:pPr>
        <w:pStyle w:val="Normal"/>
        <w:snapToGrid w:val="false"/>
        <w:spacing w:before="120" w:after="120"/>
        <w:jc w:val="both"/>
        <w:rPr>
          <w:rFonts w:ascii="Calibri" w:hAnsi="Calibri" w:eastAsia="Arial" w:cs="Calibri"/>
        </w:rPr>
      </w:pPr>
      <w:r>
        <w:rPr>
          <w:rFonts w:eastAsia="Arial" w:cs="Calibri" w:ascii="Calibri" w:hAnsi="Calibri"/>
        </w:rPr>
        <w:t>Para efeito de recebimento provisório, ao final de cada período de faturamento, o fiscal do contrato apurará o resultado das avaliações da execução do objeto e, se for o caso, a análise do desempenho e qualidade da prestação dos serviços realizados em consonância com os indicadores previstos, que poderá resultar no redimensionamento de valores a serem pagos à contratada, registrando em relatório a ser encaminhado ao gestor do contrato.</w:t>
      </w:r>
    </w:p>
    <w:p>
      <w:pPr>
        <w:pStyle w:val="Normal"/>
        <w:snapToGrid w:val="false"/>
        <w:spacing w:before="120" w:after="120"/>
        <w:jc w:val="both"/>
        <w:rPr>
          <w:rFonts w:ascii="Calibri" w:hAnsi="Calibri" w:eastAsia="Arial" w:cs="Calibri"/>
        </w:rPr>
      </w:pPr>
      <w:r>
        <w:rPr>
          <w:rFonts w:eastAsia="Arial" w:cs="Calibri" w:ascii="Calibri" w:hAnsi="Calibri"/>
        </w:rPr>
        <w:t>A contratada fica obrigada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recebimento provisório.</w:t>
      </w:r>
    </w:p>
    <w:p>
      <w:pPr>
        <w:pStyle w:val="Normal"/>
        <w:snapToGrid w:val="false"/>
        <w:spacing w:before="120" w:after="120"/>
        <w:jc w:val="both"/>
        <w:rPr>
          <w:rFonts w:ascii="Calibri" w:hAnsi="Calibri" w:eastAsia="Arial" w:cs="Calibri"/>
        </w:rPr>
      </w:pPr>
      <w:r>
        <w:rPr>
          <w:rFonts w:eastAsia="Arial" w:cs="Calibri" w:ascii="Calibri" w:hAnsi="Calibri"/>
        </w:rPr>
        <w:t>O recebimento provisório também ficará sujeito, quando cabível, à conclusão de todos os testes de campo e à entrega dos manuais e instruções exigíveis.</w:t>
      </w:r>
    </w:p>
    <w:p>
      <w:pPr>
        <w:pStyle w:val="Normal"/>
        <w:snapToGrid w:val="false"/>
        <w:spacing w:before="120" w:after="120"/>
        <w:jc w:val="both"/>
        <w:rPr>
          <w:rFonts w:ascii="Calibri" w:hAnsi="Calibri" w:eastAsia="Arial" w:cs="Calibri"/>
        </w:rPr>
      </w:pPr>
      <w:r>
        <w:rPr>
          <w:rFonts w:eastAsia="Arial" w:cs="Calibri" w:ascii="Calibri" w:hAnsi="Calibri"/>
        </w:rPr>
        <w:t>A aprovação da medição prévia apresentada pela contratada não a exime de quaisquer das responsabilidades contratuais, nem implica aceitação definitiva dos serviços executados.</w:t>
      </w:r>
    </w:p>
    <w:p>
      <w:pPr>
        <w:pStyle w:val="Normal"/>
        <w:snapToGrid w:val="false"/>
        <w:spacing w:before="120" w:after="120"/>
        <w:jc w:val="both"/>
        <w:rPr>
          <w:rFonts w:ascii="Calibri" w:hAnsi="Calibri" w:eastAsia="Arial" w:cs="Calibri"/>
        </w:rPr>
      </w:pPr>
      <w:r>
        <w:rPr>
          <w:rFonts w:eastAsia="Arial" w:cs="Calibri" w:ascii="Calibri" w:hAnsi="Calibri"/>
        </w:rPr>
        <w:t>No prazo d</w:t>
      </w:r>
      <w:r>
        <w:rPr>
          <w:rFonts w:eastAsia="Arial" w:cs="Calibri" w:ascii="Calibri" w:hAnsi="Calibri"/>
          <w:color w:val="000000"/>
        </w:rPr>
        <w:t xml:space="preserve">e até </w:t>
      </w:r>
      <w:r>
        <w:rPr>
          <w:rFonts w:eastAsia="Arial" w:cs="Calibri" w:ascii="Calibri" w:hAnsi="Calibri"/>
          <w:color w:val="000000"/>
        </w:rPr>
        <w:t xml:space="preserve">15 (quinze) dias corridos </w:t>
      </w:r>
      <w:r>
        <w:rPr>
          <w:rFonts w:eastAsia="Arial" w:cs="Calibri" w:ascii="Calibri" w:hAnsi="Calibri"/>
          <w:color w:val="000000"/>
        </w:rPr>
        <w:t>a partir do rece</w:t>
      </w:r>
      <w:r>
        <w:rPr>
          <w:rFonts w:eastAsia="Arial" w:cs="Calibri" w:ascii="Calibri" w:hAnsi="Calibri"/>
        </w:rPr>
        <w:t>bimento dos documentos da contratada, cada fiscal ou a equipe de fiscalização deverá elaborar relatório circunstanciado em consonância com suas atribuições, e encaminhá-lo ao gestor do contrato.</w:t>
      </w:r>
    </w:p>
    <w:p>
      <w:pPr>
        <w:pStyle w:val="Normal"/>
        <w:snapToGrid w:val="false"/>
        <w:spacing w:before="120" w:after="120"/>
        <w:jc w:val="both"/>
        <w:rPr>
          <w:rFonts w:ascii="Calibri" w:hAnsi="Calibri" w:eastAsia="Arial" w:cs="Calibri"/>
        </w:rPr>
      </w:pPr>
      <w:r>
        <w:rPr>
          <w:rFonts w:eastAsia="Arial" w:cs="Calibri" w:ascii="Calibri" w:hAnsi="Calibri"/>
        </w:rPr>
        <w:t>Quando a fiscalização for exercida por um único servidor, o relatório circunstanciado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pPr>
        <w:pStyle w:val="Normal"/>
        <w:snapToGrid w:val="false"/>
        <w:spacing w:before="120" w:after="120"/>
        <w:jc w:val="both"/>
        <w:rPr>
          <w:rFonts w:ascii="Calibri" w:hAnsi="Calibri" w:eastAsia="Arial" w:cs="Calibri"/>
        </w:rPr>
      </w:pPr>
      <w:r>
        <w:rPr>
          <w:rFonts w:eastAsia="Arial" w:cs="Calibri" w:ascii="Calibri" w:hAnsi="Calibri"/>
        </w:rPr>
        <w:t>Será considerado como ocorrido o recebimento provisório com a entrega do relatório circunstanciado ou, em havendo mais de um a ser feito, com a entrega do último.</w:t>
      </w:r>
    </w:p>
    <w:p>
      <w:pPr>
        <w:pStyle w:val="Normal"/>
        <w:snapToGrid w:val="false"/>
        <w:spacing w:before="120" w:after="120"/>
        <w:jc w:val="both"/>
        <w:rPr>
          <w:rFonts w:ascii="Calibri" w:hAnsi="Calibri" w:eastAsia="Arial" w:cs="Calibri"/>
          <w:color w:val="000000"/>
        </w:rPr>
      </w:pPr>
      <w:r>
        <w:rPr>
          <w:rFonts w:eastAsia="Arial" w:cs="Calibri" w:ascii="Calibri" w:hAnsi="Calibri"/>
          <w:color w:val="000000"/>
        </w:rPr>
        <w:t>Na hipótese de a verificação a que se refere o parágrafo anterior não ser procedida tempestivamente, reputar-se-á como realizada, consumando-se o recebimento provisório no dia do esgotamento do prazo.</w:t>
      </w:r>
    </w:p>
    <w:p>
      <w:pPr>
        <w:pStyle w:val="Normal"/>
        <w:snapToGrid w:val="false"/>
        <w:spacing w:before="120" w:after="120"/>
        <w:jc w:val="both"/>
        <w:rPr>
          <w:rFonts w:ascii="Calibri" w:hAnsi="Calibri" w:eastAsia="Arial" w:cs="Calibri"/>
        </w:rPr>
      </w:pPr>
      <w:r>
        <w:rPr>
          <w:rFonts w:eastAsia="Arial" w:cs="Calibri" w:ascii="Calibri" w:hAnsi="Calibri"/>
        </w:rPr>
        <w:t>No prazo de a</w:t>
      </w:r>
      <w:r>
        <w:rPr>
          <w:rFonts w:eastAsia="Arial" w:cs="Calibri" w:ascii="Calibri" w:hAnsi="Calibri"/>
          <w:color w:val="000000"/>
        </w:rPr>
        <w:t xml:space="preserve">té </w:t>
      </w:r>
      <w:r>
        <w:rPr>
          <w:rFonts w:eastAsia="Arial" w:cs="Calibri" w:ascii="Calibri" w:hAnsi="Calibri"/>
          <w:color w:val="000000"/>
        </w:rPr>
        <w:t xml:space="preserve">10 (dez) dias corridos </w:t>
      </w:r>
      <w:r>
        <w:rPr>
          <w:rFonts w:eastAsia="Arial" w:cs="Calibri" w:ascii="Calibri" w:hAnsi="Calibri"/>
          <w:color w:val="000000"/>
        </w:rPr>
        <w:t>a partir do receb</w:t>
      </w:r>
      <w:r>
        <w:rPr>
          <w:rFonts w:eastAsia="Arial" w:cs="Calibri" w:ascii="Calibri" w:hAnsi="Calibri"/>
        </w:rPr>
        <w:t>imento provisório dos serviços, o fiscal do contrato deverá providenciar o recebimento definitivo, ato que concretiza o ateste da execução dos serviços, obedecendo às diretrizes a seguir descritas.</w:t>
      </w:r>
    </w:p>
    <w:p>
      <w:pPr>
        <w:pStyle w:val="Normal"/>
        <w:snapToGrid w:val="false"/>
        <w:spacing w:before="120" w:after="120"/>
        <w:jc w:val="both"/>
        <w:rPr>
          <w:rFonts w:ascii="Calibri" w:hAnsi="Calibri" w:eastAsia="Arial" w:cs="Calibri"/>
        </w:rPr>
      </w:pPr>
      <w:r>
        <w:rPr>
          <w:rFonts w:eastAsia="Arial" w:cs="Calibri" w:ascii="Calibri" w:hAnsi="Calibri"/>
        </w:rPr>
        <w:t xml:space="preserve">Realizar a análise dos relatórios e de toda a documentação apresentada pela fiscalização e, caso haja irregularidades que impeçam a liquidação e o pagamento da despesa, indicar as cláusulas contratuais pertinentes, solicitando à contratada, por escrito, as respectivas correções; </w:t>
      </w:r>
    </w:p>
    <w:p>
      <w:pPr>
        <w:pStyle w:val="Normal"/>
        <w:snapToGrid w:val="false"/>
        <w:spacing w:before="120" w:after="120"/>
        <w:jc w:val="both"/>
        <w:rPr>
          <w:rFonts w:ascii="Calibri" w:hAnsi="Calibri" w:eastAsia="Arial" w:cs="Calibri"/>
        </w:rPr>
      </w:pPr>
      <w:r>
        <w:rPr>
          <w:rFonts w:eastAsia="Arial" w:cs="Calibri" w:ascii="Calibri" w:hAnsi="Calibri"/>
        </w:rPr>
        <w:t>Emitir termo circunstanciado para efeito de recebimento definitivo dos serviços prestados, com base nos relatórios e documentações apresentadas; e</w:t>
      </w:r>
    </w:p>
    <w:p>
      <w:pPr>
        <w:pStyle w:val="Normal"/>
        <w:snapToGrid w:val="false"/>
        <w:spacing w:before="120" w:after="120"/>
        <w:jc w:val="both"/>
        <w:rPr>
          <w:rFonts w:ascii="Calibri" w:hAnsi="Calibri" w:eastAsia="Arial" w:cs="Calibri"/>
        </w:rPr>
      </w:pPr>
      <w:r>
        <w:rPr>
          <w:rFonts w:eastAsia="Arial" w:cs="Calibri" w:ascii="Calibri" w:hAnsi="Calibri"/>
        </w:rPr>
        <w:t>Comunicar a empresa para que emita a nota fiscal ou fatura, com o valor exato dimensionado pela fiscalização.</w:t>
      </w:r>
    </w:p>
    <w:p>
      <w:pPr>
        <w:pStyle w:val="Normal"/>
        <w:snapToGrid w:val="false"/>
        <w:spacing w:before="120" w:after="120"/>
        <w:jc w:val="both"/>
        <w:rPr>
          <w:rFonts w:ascii="Calibri" w:hAnsi="Calibri" w:eastAsia="Arial" w:cs="Calibri"/>
        </w:rPr>
      </w:pPr>
      <w:r>
        <w:rPr>
          <w:rFonts w:eastAsia="Arial" w:cs="Calibri" w:ascii="Calibri" w:hAnsi="Calibri"/>
        </w:rPr>
        <w:t>O recebimento provisório ou definitivo do objeto não exclui a responsabilidade da Contratada pelos prejuízos resultantes da incorreta execução do contrato, das garantias concedidas e das responsabilidades assumidas em contrato e por força das disposições legais em vigor (Lei n° 10.406, de 10 de janeiro de 2002).</w:t>
      </w:r>
    </w:p>
    <w:p>
      <w:pPr>
        <w:pStyle w:val="Normal"/>
        <w:snapToGrid w:val="false"/>
        <w:spacing w:before="120" w:after="120"/>
        <w:jc w:val="both"/>
        <w:rPr>
          <w:rFonts w:ascii="Calibri" w:hAnsi="Calibri" w:eastAsia="Arial" w:cs="Calibri"/>
        </w:rPr>
      </w:pPr>
      <w:r>
        <w:rPr>
          <w:rFonts w:eastAsia="Arial" w:cs="Calibri" w:ascii="Calibri" w:hAnsi="Calibri"/>
        </w:rPr>
        <w:t>Os serviços poderão ser rejeitados, no todo ou em parte, quando em desacordo com as especificações constantes neste Projeto Básico e na proposta, devendo ser corrigidos, refeitos ou substituídos no prazo fixado pelo fiscal do contrato, às custas da contratada, sem prejuízo da aplicação de penalidades.</w:t>
      </w:r>
    </w:p>
    <w:p>
      <w:pPr>
        <w:pStyle w:val="Normal"/>
        <w:keepNext w:val="true"/>
        <w:keepLines/>
        <w:numPr>
          <w:ilvl w:val="0"/>
          <w:numId w:val="1"/>
        </w:numPr>
        <w:snapToGrid w:val="false"/>
        <w:spacing w:before="240" w:after="120"/>
        <w:jc w:val="both"/>
        <w:rPr>
          <w:rFonts w:ascii="Calibri" w:hAnsi="Calibri" w:eastAsia="Arial" w:cs="Calibri"/>
          <w:b/>
          <w:color w:val="000000"/>
        </w:rPr>
      </w:pPr>
      <w:r>
        <w:rPr>
          <w:rFonts w:eastAsia="Arial" w:cs="Calibri" w:ascii="Calibri" w:hAnsi="Calibri"/>
          <w:b/>
          <w:color w:val="000000"/>
        </w:rPr>
        <w:t>GARANTIA DA EXECUÇÃO</w:t>
      </w:r>
    </w:p>
    <w:p>
      <w:pPr>
        <w:pStyle w:val="Normal"/>
        <w:snapToGrid w:val="false"/>
        <w:spacing w:before="120" w:after="120"/>
        <w:jc w:val="both"/>
        <w:rPr>
          <w:rFonts w:ascii="Calibri" w:hAnsi="Calibri" w:eastAsia="Arial" w:cs="Calibri"/>
          <w:color w:val="FF0000"/>
        </w:rPr>
      </w:pPr>
      <w:r>
        <w:rPr>
          <w:rFonts w:eastAsia="Arial" w:cs="Calibri" w:ascii="Calibri" w:hAnsi="Calibri"/>
        </w:rPr>
        <w:t>O adjudicatário prestará garantia de execução do contrato, nos moldes da Lei</w:t>
      </w:r>
      <w:r>
        <w:rPr>
          <w:rFonts w:cs="Calibri" w:ascii="Calibri" w:hAnsi="Calibri"/>
        </w:rPr>
        <w:t xml:space="preserve"> nº 14.133, de 1º de abril de 2021,</w:t>
      </w:r>
      <w:r>
        <w:rPr>
          <w:rFonts w:eastAsia="Arial" w:cs="Calibri" w:ascii="Calibri" w:hAnsi="Calibri"/>
        </w:rPr>
        <w:t xml:space="preserve"> com validade durante a execução do contrato e por 90 (noventa) dias após o término da vigência contratual, em valor corresponden</w:t>
      </w:r>
      <w:r>
        <w:rPr>
          <w:rFonts w:eastAsia="Arial" w:cs="Calibri" w:ascii="Calibri" w:hAnsi="Calibri"/>
          <w:color w:val="000000"/>
        </w:rPr>
        <w:t>te a</w:t>
      </w:r>
      <w:r>
        <w:rPr>
          <w:rFonts w:eastAsia="Arial" w:cs="Calibri" w:ascii="Calibri" w:hAnsi="Calibri"/>
          <w:color w:val="000000"/>
        </w:rPr>
        <w:t xml:space="preserve"> 5% (cinco por cento) </w:t>
      </w:r>
      <w:r>
        <w:rPr>
          <w:rFonts w:eastAsia="Arial" w:cs="Calibri" w:ascii="Calibri" w:hAnsi="Calibri"/>
          <w:color w:val="000000"/>
        </w:rPr>
        <w:t>do val</w:t>
      </w:r>
      <w:r>
        <w:rPr>
          <w:rFonts w:eastAsia="Arial" w:cs="Calibri" w:ascii="Calibri" w:hAnsi="Calibri"/>
        </w:rPr>
        <w:t>or total do contrato.</w:t>
      </w:r>
    </w:p>
    <w:p>
      <w:pPr>
        <w:pStyle w:val="Normal"/>
        <w:keepNext w:val="true"/>
        <w:keepLines/>
        <w:numPr>
          <w:ilvl w:val="0"/>
          <w:numId w:val="1"/>
        </w:numPr>
        <w:snapToGrid w:val="false"/>
        <w:spacing w:before="240" w:after="120"/>
        <w:jc w:val="both"/>
        <w:rPr>
          <w:rFonts w:ascii="Calibri" w:hAnsi="Calibri" w:eastAsia="Arial" w:cs="Calibri"/>
          <w:b/>
          <w:color w:val="000000"/>
        </w:rPr>
      </w:pPr>
      <w:r>
        <w:rPr>
          <w:rFonts w:eastAsia="Arial" w:cs="Calibri" w:ascii="Calibri" w:hAnsi="Calibri"/>
          <w:b/>
          <w:color w:val="000000"/>
        </w:rPr>
        <w:t>CRITÉRIOS DE SELEÇÃO DO FORNECEDOR</w:t>
      </w:r>
    </w:p>
    <w:p>
      <w:pPr>
        <w:pStyle w:val="Normal"/>
        <w:tabs>
          <w:tab w:val="clear" w:pos="720"/>
          <w:tab w:val="left" w:pos="567" w:leader="none"/>
        </w:tabs>
        <w:snapToGrid w:val="false"/>
        <w:spacing w:before="120" w:after="120"/>
        <w:jc w:val="both"/>
        <w:rPr>
          <w:rFonts w:ascii="Calibri" w:hAnsi="Calibri" w:eastAsia="Arial" w:cs="Calibri"/>
        </w:rPr>
      </w:pPr>
      <w:r>
        <w:rPr>
          <w:rFonts w:eastAsia="Arial" w:cs="Calibri" w:ascii="Calibri" w:hAnsi="Calibri"/>
        </w:rPr>
        <w:t>As exigências de habilitação jurídica e de regularidade fiscal e trabalhista são as usuais para a generalidade dos objetos, conforme disciplinado no edital.</w:t>
      </w:r>
    </w:p>
    <w:p>
      <w:pPr>
        <w:pStyle w:val="Normal"/>
        <w:tabs>
          <w:tab w:val="clear" w:pos="720"/>
          <w:tab w:val="left" w:pos="567" w:leader="none"/>
        </w:tabs>
        <w:snapToGrid w:val="false"/>
        <w:spacing w:before="120" w:after="120"/>
        <w:jc w:val="both"/>
        <w:rPr>
          <w:rFonts w:ascii="Calibri" w:hAnsi="Calibri" w:eastAsia="Arial" w:cs="Calibri"/>
        </w:rPr>
      </w:pPr>
      <w:r>
        <w:rPr>
          <w:rFonts w:eastAsia="Arial" w:cs="Calibri" w:ascii="Calibri" w:hAnsi="Calibri"/>
        </w:rPr>
        <w:t>Os critérios de qualificação econômica a serem atendidos pelo fornecedor serão previstos no edital.</w:t>
      </w:r>
    </w:p>
    <w:p>
      <w:pPr>
        <w:pStyle w:val="Normal"/>
        <w:tabs>
          <w:tab w:val="clear" w:pos="720"/>
          <w:tab w:val="left" w:pos="420" w:leader="none"/>
          <w:tab w:val="left" w:pos="851" w:leader="none"/>
        </w:tabs>
        <w:snapToGrid w:val="false"/>
        <w:spacing w:before="120" w:after="120"/>
        <w:jc w:val="both"/>
        <w:rPr>
          <w:rFonts w:ascii="Calibri" w:hAnsi="Calibri" w:cs="Calibri"/>
        </w:rPr>
      </w:pPr>
      <w:r>
        <w:rPr>
          <w:rFonts w:cs="Calibri" w:ascii="Calibri" w:hAnsi="Calibri"/>
        </w:rPr>
        <w:t xml:space="preserve">Para atendimento à qualificação técnico-operacional serão exigidos os atestados ou declarações de capacidade técnica, devidamente registrados no CREA ou CAU da região onde os serviços foram executados, acompanhados das respectivas Certidões de Acervo Técnico (CAT), expedidas por estes Conselhos, que comprovem que o licitante tenha executado para órgão ou entidade da administração pública direta ou indireta, federal, estadual, municipal ou do Distrito Federal, ou ainda, para empresas privadas, serviços de engenharia compatíveis em características, quantidades e prazos com o objeto da licitação, conforme dispõe </w:t>
      </w:r>
      <w:r>
        <w:rPr>
          <w:rFonts w:eastAsia="Arial" w:cs="Calibri" w:ascii="Calibri" w:hAnsi="Calibri"/>
        </w:rPr>
        <w:t>a Lei</w:t>
      </w:r>
      <w:r>
        <w:rPr>
          <w:rFonts w:cs="Calibri" w:ascii="Calibri" w:hAnsi="Calibri"/>
        </w:rPr>
        <w:t xml:space="preserve"> nº 14.133, de 1º de abril de 2021.</w:t>
      </w:r>
    </w:p>
    <w:p>
      <w:pPr>
        <w:pStyle w:val="Normal"/>
        <w:tabs>
          <w:tab w:val="left" w:pos="420" w:leader="none"/>
          <w:tab w:val="left" w:pos="720" w:leader="none"/>
          <w:tab w:val="left" w:pos="851" w:leader="none"/>
        </w:tabs>
        <w:snapToGrid w:val="false"/>
        <w:spacing w:before="120" w:after="120"/>
        <w:jc w:val="both"/>
        <w:rPr>
          <w:rFonts w:ascii="Calibri" w:hAnsi="Calibri" w:cs="Calibri"/>
        </w:rPr>
      </w:pPr>
      <w:r>
        <w:rPr>
          <w:rFonts w:cs="Calibri" w:ascii="Calibri" w:hAnsi="Calibri"/>
        </w:rPr>
        <w:t>Para efeito da avaliação do subitem acima considerar-se-ão parcelas de maior relevância e valor significativo para a comprovação da qualificação técnico–operacional o serviço comum de engenharia de construção de telhados metálicos e de piso industrial.</w:t>
      </w:r>
    </w:p>
    <w:p>
      <w:pPr>
        <w:pStyle w:val="Normal"/>
        <w:tabs>
          <w:tab w:val="clear" w:pos="720"/>
          <w:tab w:val="left" w:pos="567" w:leader="none"/>
        </w:tabs>
        <w:snapToGrid w:val="false"/>
        <w:spacing w:before="120" w:after="120"/>
        <w:jc w:val="both"/>
        <w:rPr>
          <w:rFonts w:ascii="Calibri" w:hAnsi="Calibri" w:eastAsia="Arial" w:cs="Calibri"/>
          <w:color w:val="FF0000"/>
        </w:rPr>
      </w:pPr>
      <w:r>
        <w:rPr>
          <w:rFonts w:cs="Calibri" w:ascii="Calibri" w:hAnsi="Calibri"/>
        </w:rPr>
        <w:t>Para atendimento à qualificação técnica do corpo técnico e do responsável técnico da licitante serão exigida declaração indicando o nome, CPF e número do registro no CREA ou CAU do responsável técnico que acompanhará a execução dos serviços de que trata o objeto. O nome do responsável técnico indicado deverá constar dos atestados de responsabilidade.</w:t>
      </w:r>
    </w:p>
    <w:p>
      <w:pPr>
        <w:pStyle w:val="Normal"/>
        <w:tabs>
          <w:tab w:val="clear" w:pos="720"/>
          <w:tab w:val="left" w:pos="567" w:leader="none"/>
        </w:tabs>
        <w:snapToGrid w:val="false"/>
        <w:spacing w:before="120" w:after="120"/>
        <w:jc w:val="both"/>
        <w:rPr>
          <w:rFonts w:ascii="Calibri" w:hAnsi="Calibri" w:eastAsia="Arial" w:cs="Calibri"/>
        </w:rPr>
      </w:pPr>
      <w:r>
        <w:rPr>
          <w:rFonts w:eastAsia="Arial" w:cs="Calibri" w:ascii="Calibri" w:hAnsi="Calibri"/>
        </w:rPr>
        <w:t xml:space="preserve">Os critérios de aceitabilidade </w:t>
      </w:r>
      <w:r>
        <w:rPr>
          <w:rFonts w:eastAsia="Arial" w:cs="Calibri" w:ascii="Calibri" w:hAnsi="Calibri"/>
          <w:color w:val="000000"/>
        </w:rPr>
        <w:t xml:space="preserve">de preços serão o valor global de R$ </w:t>
      </w:r>
      <w:r>
        <w:rPr>
          <w:rFonts w:eastAsia="Arial" w:cs="Calibri" w:ascii="Calibri" w:hAnsi="Calibri"/>
          <w:color w:val="000000"/>
        </w:rPr>
        <w:t>301.791,81</w:t>
      </w:r>
      <w:r>
        <w:rPr>
          <w:rFonts w:eastAsia="Arial" w:cs="Calibri" w:ascii="Calibri" w:hAnsi="Calibri"/>
          <w:color w:val="000000"/>
        </w:rPr>
        <w:t xml:space="preserve"> (</w:t>
      </w:r>
      <w:r>
        <w:rPr>
          <w:rFonts w:eastAsia="Arial" w:cs="Calibri" w:ascii="Calibri" w:hAnsi="Calibri"/>
          <w:color w:val="000000"/>
        </w:rPr>
        <w:t>trezentos e um mil, setecentos e noventa e um reais e oitenta e um centavos</w:t>
      </w:r>
      <w:r>
        <w:rPr>
          <w:rFonts w:eastAsia="Arial" w:cs="Calibri" w:ascii="Calibri" w:hAnsi="Calibri"/>
          <w:color w:val="000000"/>
        </w:rPr>
        <w:t>)</w:t>
      </w:r>
      <w:r>
        <w:rPr>
          <w:rFonts w:eastAsia="Arial" w:cs="Calibri" w:ascii="Calibri" w:hAnsi="Calibri"/>
          <w:color w:val="000000"/>
        </w:rPr>
        <w:t xml:space="preserve"> e os valores unitários, conforme planilhas de orçamentos anexas a este Projeto Básico.</w:t>
      </w:r>
    </w:p>
    <w:p>
      <w:pPr>
        <w:pStyle w:val="Normal"/>
        <w:tabs>
          <w:tab w:val="clear" w:pos="720"/>
          <w:tab w:val="left" w:pos="567" w:leader="none"/>
        </w:tabs>
        <w:snapToGrid w:val="false"/>
        <w:spacing w:before="120" w:after="120"/>
        <w:jc w:val="both"/>
        <w:rPr>
          <w:rFonts w:ascii="Calibri" w:hAnsi="Calibri" w:eastAsia="Arial" w:cs="Calibri"/>
        </w:rPr>
      </w:pPr>
      <w:r>
        <w:rPr>
          <w:rFonts w:eastAsia="Arial" w:cs="Calibri" w:ascii="Calibri" w:hAnsi="Calibri"/>
        </w:rPr>
        <w:t>Será desclassificada a proposta ou lance vencedor nos quais se verifique que qualquer um dos seus custos unitários supera o correspondente custo unitário de referência fixado pela administração, salvo se o preço de cada uma das etapas previstas no cronograma físico-financeiro não superar os valores de referência discriminados nos projetos anexos a este Projeto Básico.</w:t>
      </w:r>
    </w:p>
    <w:p>
      <w:pPr>
        <w:pStyle w:val="Normal"/>
        <w:tabs>
          <w:tab w:val="clear" w:pos="720"/>
          <w:tab w:val="left" w:pos="567" w:leader="none"/>
        </w:tabs>
        <w:snapToGrid w:val="false"/>
        <w:spacing w:before="120" w:after="120"/>
        <w:jc w:val="both"/>
        <w:rPr>
          <w:rFonts w:ascii="Calibri" w:hAnsi="Calibri" w:eastAsia="Arial" w:cs="Calibri"/>
        </w:rPr>
      </w:pPr>
      <w:r>
        <w:rPr>
          <w:rFonts w:eastAsia="Arial" w:cs="Calibri" w:ascii="Calibri" w:hAnsi="Calibri"/>
        </w:rPr>
        <w:t>O critério de julgamento da proposta é o menor preço global. As regras de desempate entre propostas serão as discriminadas no edital.</w:t>
      </w:r>
    </w:p>
    <w:p>
      <w:pPr>
        <w:pStyle w:val="Normal"/>
        <w:keepNext w:val="true"/>
        <w:keepLines/>
        <w:numPr>
          <w:ilvl w:val="0"/>
          <w:numId w:val="1"/>
        </w:numPr>
        <w:snapToGrid w:val="false"/>
        <w:spacing w:before="240" w:after="120"/>
        <w:jc w:val="both"/>
        <w:rPr>
          <w:rFonts w:ascii="Calibri" w:hAnsi="Calibri" w:eastAsia="Arial" w:cs="Calibri"/>
          <w:b/>
          <w:color w:val="000000"/>
        </w:rPr>
      </w:pPr>
      <w:r>
        <w:rPr>
          <w:rFonts w:eastAsia="Arial" w:cs="Calibri" w:ascii="Calibri" w:hAnsi="Calibri"/>
          <w:b/>
          <w:color w:val="000000"/>
        </w:rPr>
        <w:t>ESTIMATIVA DE CUSTOS</w:t>
      </w:r>
    </w:p>
    <w:p>
      <w:pPr>
        <w:pStyle w:val="Normal"/>
        <w:snapToGrid w:val="false"/>
        <w:spacing w:before="120" w:after="120"/>
        <w:jc w:val="both"/>
        <w:rPr>
          <w:rFonts w:ascii="Calibri" w:hAnsi="Calibri" w:eastAsia="Arial" w:cs="Calibri"/>
        </w:rPr>
      </w:pPr>
      <w:r>
        <w:rPr>
          <w:rFonts w:eastAsia="Arial" w:cs="Calibri" w:ascii="Calibri" w:hAnsi="Calibri"/>
        </w:rPr>
        <w:t xml:space="preserve">O custo da obra para a contratação é de </w:t>
      </w:r>
      <w:r>
        <w:rPr>
          <w:rFonts w:eastAsia="Arial" w:cs="Calibri" w:ascii="Calibri" w:hAnsi="Calibri"/>
          <w:color w:val="000000"/>
        </w:rPr>
        <w:t xml:space="preserve">R$ </w:t>
      </w:r>
      <w:r>
        <w:rPr>
          <w:rFonts w:eastAsia="Arial" w:cs="Calibri" w:ascii="Calibri" w:hAnsi="Calibri"/>
          <w:color w:val="000000"/>
        </w:rPr>
        <w:t>301.791,81</w:t>
      </w:r>
      <w:r>
        <w:rPr>
          <w:rFonts w:eastAsia="Arial" w:cs="Calibri" w:ascii="Calibri" w:hAnsi="Calibri"/>
          <w:color w:val="000000"/>
        </w:rPr>
        <w:t xml:space="preserve"> (</w:t>
      </w:r>
      <w:r>
        <w:rPr>
          <w:rFonts w:eastAsia="Arial" w:cs="Calibri" w:ascii="Calibri" w:hAnsi="Calibri"/>
          <w:color w:val="000000"/>
        </w:rPr>
        <w:t>trezentos e um mil, setecentos e noventa e um reais e oitenta e um centavos</w:t>
      </w:r>
      <w:r>
        <w:rPr>
          <w:rFonts w:eastAsia="Arial" w:cs="Calibri" w:ascii="Calibri" w:hAnsi="Calibri"/>
          <w:color w:val="000000"/>
        </w:rPr>
        <w:t>)</w:t>
      </w:r>
      <w:r>
        <w:rPr>
          <w:rFonts w:eastAsia="Arial" w:cs="Calibri" w:ascii="Calibri" w:hAnsi="Calibri"/>
        </w:rPr>
        <w:t>.</w:t>
      </w:r>
    </w:p>
    <w:p>
      <w:pPr>
        <w:pStyle w:val="Normal"/>
        <w:keepNext w:val="true"/>
        <w:keepLines/>
        <w:numPr>
          <w:ilvl w:val="0"/>
          <w:numId w:val="1"/>
        </w:numPr>
        <w:snapToGrid w:val="false"/>
        <w:spacing w:before="240" w:after="120"/>
        <w:jc w:val="both"/>
        <w:rPr>
          <w:rFonts w:ascii="Calibri" w:hAnsi="Calibri" w:eastAsia="Arial" w:cs="Calibri"/>
          <w:b/>
          <w:color w:val="000000"/>
        </w:rPr>
      </w:pPr>
      <w:r>
        <w:rPr>
          <w:rFonts w:eastAsia="Arial" w:cs="Calibri" w:ascii="Calibri" w:hAnsi="Calibri"/>
          <w:b/>
          <w:color w:val="000000"/>
        </w:rPr>
        <w:t>RECURSOS ORÇAMENTÁRIOS</w:t>
      </w:r>
    </w:p>
    <w:p>
      <w:pPr>
        <w:pStyle w:val="Normal"/>
        <w:snapToGrid w:val="false"/>
        <w:spacing w:before="120" w:after="120"/>
        <w:jc w:val="both"/>
        <w:rPr>
          <w:rFonts w:ascii="Calibri" w:hAnsi="Calibri" w:eastAsia="SimSun" w:cs="Calibri"/>
        </w:rPr>
      </w:pPr>
      <w:r>
        <w:rPr>
          <w:rFonts w:eastAsia="Arial" w:cs="Calibri" w:ascii="Calibri" w:hAnsi="Calibri"/>
        </w:rPr>
        <w:t>O enquadramento orçamentário deste Projeto está inscrito n</w:t>
      </w:r>
      <w:r>
        <w:rPr>
          <w:rFonts w:eastAsia="SimSun" w:cs="Calibri" w:ascii="Calibri" w:hAnsi="Calibri"/>
        </w:rPr>
        <w:t>a Ação Orçamentária</w:t>
      </w:r>
      <w:r>
        <w:rPr>
          <w:rFonts w:eastAsia="SimSun" w:cs="Calibri" w:ascii="Calibri" w:hAnsi="Calibri"/>
          <w:color w:val="FF0000"/>
        </w:rPr>
        <w:t xml:space="preserve"> 2.000, </w:t>
      </w:r>
      <w:r>
        <w:rPr>
          <w:rFonts w:eastAsia="SimSun" w:cs="Calibri" w:ascii="Calibri" w:hAnsi="Calibri"/>
        </w:rPr>
        <w:t xml:space="preserve">PO nº </w:t>
      </w:r>
      <w:r>
        <w:rPr>
          <w:rFonts w:eastAsia="SimSun" w:cs="Calibri" w:ascii="Calibri" w:hAnsi="Calibri"/>
          <w:color w:val="FF0000"/>
        </w:rPr>
        <w:t xml:space="preserve">005, </w:t>
      </w:r>
      <w:r>
        <w:rPr>
          <w:rFonts w:eastAsia="Arial" w:cs="Calibri" w:ascii="Calibri" w:hAnsi="Calibri"/>
        </w:rPr>
        <w:t>PI nº</w:t>
      </w:r>
      <w:r>
        <w:rPr>
          <w:rFonts w:eastAsia="Arial" w:cs="Calibri" w:ascii="Calibri" w:hAnsi="Calibri"/>
          <w:color w:val="FF0000"/>
        </w:rPr>
        <w:t xml:space="preserve"> </w:t>
      </w:r>
      <w:r>
        <w:rPr>
          <w:rFonts w:eastAsia="SimSun" w:cs="Calibri" w:ascii="Calibri" w:hAnsi="Calibri"/>
          <w:color w:val="FF0000"/>
        </w:rPr>
        <w:t xml:space="preserve">C3CLPRSOUTR, </w:t>
      </w:r>
      <w:r>
        <w:rPr>
          <w:rFonts w:eastAsia="SimSun" w:cs="Calibri" w:ascii="Calibri" w:hAnsi="Calibri"/>
        </w:rPr>
        <w:t>sob responsabilidade</w:t>
      </w:r>
      <w:r>
        <w:rPr>
          <w:rFonts w:eastAsia="SimSun" w:cs="Calibri" w:ascii="Calibri" w:hAnsi="Calibri"/>
          <w:color w:val="FF0000"/>
        </w:rPr>
        <w:t xml:space="preserve"> da Diretoria de Obras Militares (DOM).</w:t>
      </w:r>
    </w:p>
    <w:p>
      <w:pPr>
        <w:pStyle w:val="Normal"/>
        <w:snapToGrid w:val="false"/>
        <w:spacing w:before="120" w:after="120"/>
        <w:jc w:val="both"/>
        <w:rPr>
          <w:rFonts w:ascii="Calibri" w:hAnsi="Calibri" w:eastAsia="SimSun" w:cs="Calibri"/>
          <w:color w:val="FF0000"/>
        </w:rPr>
      </w:pPr>
      <w:r>
        <w:rPr>
          <w:rFonts w:eastAsia="SimSun" w:cs="Calibri" w:ascii="Calibri" w:hAnsi="Calibri"/>
        </w:rPr>
        <w:t xml:space="preserve">O valor destinado à citada Ação Orçamentária é de </w:t>
      </w:r>
      <w:r>
        <w:rPr>
          <w:rFonts w:eastAsia="Arial" w:cs="Calibri" w:ascii="Calibri" w:hAnsi="Calibri"/>
          <w:color w:val="000000"/>
        </w:rPr>
        <w:t xml:space="preserve">R$ </w:t>
      </w:r>
      <w:r>
        <w:rPr>
          <w:rFonts w:eastAsia="Arial" w:cs="Calibri" w:ascii="Calibri" w:hAnsi="Calibri"/>
          <w:color w:val="000000"/>
        </w:rPr>
        <w:t>301.791,81</w:t>
      </w:r>
      <w:r>
        <w:rPr>
          <w:rFonts w:eastAsia="Arial" w:cs="Calibri" w:ascii="Calibri" w:hAnsi="Calibri"/>
          <w:color w:val="000000"/>
        </w:rPr>
        <w:t xml:space="preserve"> (</w:t>
      </w:r>
      <w:r>
        <w:rPr>
          <w:rFonts w:eastAsia="Arial" w:cs="Calibri" w:ascii="Calibri" w:hAnsi="Calibri"/>
          <w:color w:val="000000"/>
        </w:rPr>
        <w:t>trezentos e um mil, setecentos e noventa e um reais e oitenta e um centavos</w:t>
      </w:r>
      <w:r>
        <w:rPr>
          <w:rFonts w:eastAsia="Arial" w:cs="Calibri" w:ascii="Calibri" w:hAnsi="Calibri"/>
          <w:color w:val="000000"/>
        </w:rPr>
        <w:t>)</w:t>
      </w:r>
      <w:r>
        <w:rPr>
          <w:rFonts w:eastAsia="SimSun" w:cs="Calibri" w:ascii="Calibri" w:hAnsi="Calibri"/>
          <w:color w:val="FF0000"/>
        </w:rPr>
        <w:t>.</w:t>
      </w:r>
    </w:p>
    <w:p>
      <w:pPr>
        <w:pStyle w:val="Normal"/>
        <w:keepNext w:val="true"/>
        <w:keepLines/>
        <w:tabs>
          <w:tab w:val="clear" w:pos="720"/>
          <w:tab w:val="left" w:pos="420" w:leader="none"/>
        </w:tabs>
        <w:snapToGrid w:val="false"/>
        <w:spacing w:before="240" w:after="120"/>
        <w:ind w:left="-6"/>
        <w:jc w:val="both"/>
        <w:rPr>
          <w:rFonts w:ascii="Calibri" w:hAnsi="Calibri" w:eastAsia="Arial" w:cs="Calibri"/>
          <w:b/>
          <w:color w:val="000000"/>
        </w:rPr>
      </w:pPr>
      <w:r>
        <w:rPr>
          <w:rFonts w:eastAsia="Arial" w:cs="Calibri" w:ascii="Calibri" w:hAnsi="Calibri"/>
          <w:b/>
          <w:color w:val="000000"/>
        </w:rPr>
        <w:t>ANEXOS</w:t>
      </w:r>
    </w:p>
    <w:p>
      <w:pPr>
        <w:pStyle w:val="Normal"/>
        <w:snapToGrid w:val="false"/>
        <w:spacing w:before="120" w:after="120"/>
        <w:jc w:val="both"/>
        <w:rPr>
          <w:rFonts w:ascii="Calibri" w:hAnsi="Calibri" w:eastAsia="Arial" w:cs="Calibri"/>
        </w:rPr>
      </w:pPr>
      <w:r>
        <w:rPr>
          <w:rFonts w:eastAsia="Arial" w:cs="Calibri" w:ascii="Calibri" w:hAnsi="Calibri"/>
        </w:rPr>
        <w:t xml:space="preserve">Integram este Projeto Básico, para todos os fins e efeitos, os seguintes </w:t>
      </w:r>
      <w:r>
        <w:rPr>
          <w:rFonts w:eastAsia="Arial" w:cs="Calibri" w:ascii="Calibri" w:hAnsi="Calibri"/>
          <w:bCs/>
        </w:rPr>
        <w:t>anexos</w:t>
      </w:r>
      <w:r>
        <w:rPr>
          <w:rFonts w:eastAsia="Arial" w:cs="Calibri" w:ascii="Calibri" w:hAnsi="Calibri"/>
        </w:rPr>
        <w:t>:</w:t>
      </w:r>
    </w:p>
    <w:p>
      <w:pPr>
        <w:pStyle w:val="Normal"/>
        <w:snapToGrid w:val="false"/>
        <w:spacing w:before="120" w:after="120"/>
        <w:jc w:val="both"/>
        <w:rPr>
          <w:rFonts w:ascii="Calibri" w:hAnsi="Calibri" w:eastAsia="Arial" w:cs="Calibri"/>
        </w:rPr>
      </w:pPr>
      <w:r>
        <w:rPr>
          <w:rFonts w:eastAsia="Arial" w:cs="Calibri" w:ascii="Calibri" w:hAnsi="Calibri"/>
        </w:rPr>
        <w:t>Anexo 1 - Estudo Técnico Preliminar;</w:t>
      </w:r>
    </w:p>
    <w:p>
      <w:pPr>
        <w:pStyle w:val="Normal"/>
        <w:snapToGrid w:val="false"/>
        <w:spacing w:before="120" w:after="120"/>
        <w:jc w:val="both"/>
        <w:rPr>
          <w:rFonts w:ascii="Calibri" w:hAnsi="Calibri" w:eastAsia="Arial" w:cs="Calibri"/>
        </w:rPr>
      </w:pPr>
      <w:r>
        <w:rPr>
          <w:rFonts w:eastAsia="Arial" w:cs="Calibri" w:ascii="Calibri" w:hAnsi="Calibri"/>
        </w:rPr>
        <w:t>Anexo 2 - Especificações Técnicas;</w:t>
      </w:r>
    </w:p>
    <w:p>
      <w:pPr>
        <w:pStyle w:val="Normal"/>
        <w:snapToGrid w:val="false"/>
        <w:spacing w:before="120" w:after="120"/>
        <w:jc w:val="both"/>
        <w:rPr>
          <w:rFonts w:ascii="Calibri" w:hAnsi="Calibri" w:eastAsia="Arial" w:cs="Calibri"/>
        </w:rPr>
      </w:pPr>
      <w:r>
        <w:rPr>
          <w:rFonts w:eastAsia="Arial" w:cs="Calibri" w:ascii="Calibri" w:hAnsi="Calibri"/>
        </w:rPr>
        <w:t>Anexo 3 - Planilha Sintética Estimativa de Custos e Formação de Preços;</w:t>
      </w:r>
    </w:p>
    <w:p>
      <w:pPr>
        <w:pStyle w:val="Normal"/>
        <w:snapToGrid w:val="false"/>
        <w:spacing w:before="120" w:after="120"/>
        <w:jc w:val="both"/>
        <w:rPr>
          <w:rFonts w:ascii="Calibri" w:hAnsi="Calibri" w:eastAsia="Arial" w:cs="Calibri"/>
        </w:rPr>
      </w:pPr>
      <w:r>
        <w:rPr>
          <w:rFonts w:eastAsia="Arial" w:cs="Calibri" w:ascii="Calibri" w:hAnsi="Calibri"/>
        </w:rPr>
        <w:t>Anexo 4 - Planilha Analítica Estimativa de Custos e Formação de Preços;</w:t>
      </w:r>
    </w:p>
    <w:p>
      <w:pPr>
        <w:pStyle w:val="Normal"/>
        <w:snapToGrid w:val="false"/>
        <w:spacing w:before="120" w:after="120"/>
        <w:jc w:val="both"/>
        <w:rPr>
          <w:rFonts w:ascii="Calibri" w:hAnsi="Calibri" w:eastAsia="Arial" w:cs="Calibri"/>
        </w:rPr>
      </w:pPr>
      <w:r>
        <w:rPr>
          <w:rFonts w:eastAsia="Arial" w:cs="Calibri" w:ascii="Calibri" w:hAnsi="Calibri"/>
        </w:rPr>
        <w:t>Anexo 5 - Planilha Estimativa de Composição de BDI;</w:t>
      </w:r>
    </w:p>
    <w:p>
      <w:pPr>
        <w:pStyle w:val="Normal"/>
        <w:snapToGrid w:val="false"/>
        <w:spacing w:before="120" w:after="120"/>
        <w:jc w:val="both"/>
        <w:rPr>
          <w:rFonts w:ascii="Calibri" w:hAnsi="Calibri" w:eastAsia="Arial" w:cs="Calibri"/>
        </w:rPr>
      </w:pPr>
      <w:r>
        <w:rPr>
          <w:rFonts w:eastAsia="Arial" w:cs="Calibri" w:ascii="Calibri" w:hAnsi="Calibri"/>
        </w:rPr>
        <w:t>Anexo 6 - Curva ABC de Insumos;</w:t>
      </w:r>
    </w:p>
    <w:p>
      <w:pPr>
        <w:pStyle w:val="Normal"/>
        <w:snapToGrid w:val="false"/>
        <w:spacing w:before="120" w:after="120"/>
        <w:jc w:val="both"/>
        <w:rPr>
          <w:rFonts w:ascii="Calibri" w:hAnsi="Calibri" w:eastAsia="Arial" w:cs="Calibri"/>
        </w:rPr>
      </w:pPr>
      <w:r>
        <w:rPr>
          <w:rFonts w:eastAsia="Arial" w:cs="Calibri" w:ascii="Calibri" w:hAnsi="Calibri"/>
        </w:rPr>
        <w:t>Anexo 7 - Curva ABC de Serviços;</w:t>
      </w:r>
    </w:p>
    <w:p>
      <w:pPr>
        <w:pStyle w:val="Normal"/>
        <w:snapToGrid w:val="false"/>
        <w:spacing w:before="120" w:after="120"/>
        <w:jc w:val="both"/>
        <w:rPr>
          <w:rFonts w:ascii="Calibri" w:hAnsi="Calibri" w:eastAsia="Arial" w:cs="Calibri"/>
        </w:rPr>
      </w:pPr>
      <w:r>
        <w:rPr>
          <w:rFonts w:eastAsia="Arial" w:cs="Calibri" w:ascii="Calibri" w:hAnsi="Calibri"/>
        </w:rPr>
        <w:t>Anexo 8 - Cronograma Físico-Financeiro;</w:t>
      </w:r>
    </w:p>
    <w:p>
      <w:pPr>
        <w:pStyle w:val="Normal"/>
        <w:snapToGrid w:val="false"/>
        <w:spacing w:before="120" w:after="120"/>
        <w:jc w:val="both"/>
        <w:rPr>
          <w:rFonts w:ascii="Calibri" w:hAnsi="Calibri" w:eastAsia="Arial" w:cs="Calibri"/>
        </w:rPr>
      </w:pPr>
      <w:r>
        <w:rPr>
          <w:rFonts w:eastAsia="Arial" w:cs="Calibri" w:ascii="Calibri" w:hAnsi="Calibri"/>
        </w:rPr>
        <w:t>Anexo 9 - Mapa de Risco;</w:t>
      </w:r>
    </w:p>
    <w:p>
      <w:pPr>
        <w:pStyle w:val="Normal"/>
        <w:snapToGrid w:val="false"/>
        <w:spacing w:before="120" w:after="120"/>
        <w:jc w:val="both"/>
        <w:rPr>
          <w:rFonts w:ascii="Calibri" w:hAnsi="Calibri" w:eastAsia="Arial" w:cs="Calibri"/>
        </w:rPr>
      </w:pPr>
      <w:r>
        <w:rPr>
          <w:rFonts w:eastAsia="Arial" w:cs="Calibri" w:ascii="Calibri" w:hAnsi="Calibri"/>
        </w:rPr>
        <w:t>Anexo 10 - Termo de Justificativas Técnicas Relevantes;</w:t>
      </w:r>
    </w:p>
    <w:p>
      <w:pPr>
        <w:pStyle w:val="Normal"/>
        <w:snapToGrid w:val="false"/>
        <w:spacing w:before="120" w:after="120"/>
        <w:jc w:val="both"/>
        <w:rPr>
          <w:rFonts w:ascii="Calibri" w:hAnsi="Calibri" w:eastAsia="Arial" w:cs="Calibri"/>
        </w:rPr>
      </w:pPr>
      <w:r>
        <w:rPr>
          <w:rFonts w:eastAsia="Arial" w:cs="Calibri" w:ascii="Calibri" w:hAnsi="Calibri"/>
        </w:rPr>
        <w:t>Anexo 11 - Instrumento de Medição de Resultado (IMR);</w:t>
      </w:r>
    </w:p>
    <w:p>
      <w:pPr>
        <w:pStyle w:val="Normal"/>
        <w:snapToGrid w:val="false"/>
        <w:spacing w:before="120" w:after="120"/>
        <w:jc w:val="both"/>
        <w:rPr>
          <w:rFonts w:ascii="Calibri" w:hAnsi="Calibri" w:eastAsia="Arial" w:cs="Calibri"/>
        </w:rPr>
      </w:pPr>
      <w:r>
        <w:rPr>
          <w:rFonts w:eastAsia="Arial" w:cs="Calibri" w:ascii="Calibri" w:hAnsi="Calibri"/>
        </w:rPr>
        <w:t xml:space="preserve">Anexo 12 - ART/RRT; </w:t>
      </w:r>
      <w:r>
        <w:rPr>
          <w:rFonts w:eastAsia="Arial" w:cs="Calibri" w:ascii="Calibri" w:hAnsi="Calibri"/>
        </w:rPr>
        <w:t>e</w:t>
      </w:r>
    </w:p>
    <w:p>
      <w:pPr>
        <w:pStyle w:val="Normal"/>
        <w:snapToGrid w:val="false"/>
        <w:spacing w:before="120" w:after="120"/>
        <w:jc w:val="both"/>
        <w:rPr>
          <w:rFonts w:ascii="Calibri" w:hAnsi="Calibri" w:eastAsia="Arial" w:cs="Calibri"/>
        </w:rPr>
      </w:pPr>
      <w:r>
        <w:rPr>
          <w:rFonts w:eastAsia="Arial" w:cs="Calibri" w:ascii="Calibri" w:hAnsi="Calibri"/>
        </w:rPr>
        <w:t>Anexo 13 - Peças Gráficas.</w:t>
      </w:r>
    </w:p>
    <w:p>
      <w:pPr>
        <w:pStyle w:val="Normal"/>
        <w:tabs>
          <w:tab w:val="clear" w:pos="720"/>
          <w:tab w:val="left" w:pos="567" w:leader="none"/>
        </w:tabs>
        <w:snapToGrid w:val="false"/>
        <w:spacing w:before="360" w:after="240"/>
        <w:ind w:right="-17"/>
        <w:jc w:val="both"/>
        <w:rPr>
          <w:rFonts w:ascii="Calibri" w:hAnsi="Calibri" w:cs="Calibri"/>
        </w:rPr>
      </w:pPr>
      <w:r>
        <w:rPr>
          <w:rFonts w:cs="Calibri" w:ascii="Calibri" w:hAnsi="Calibri"/>
        </w:rPr>
        <w:t>Mu</w:t>
      </w:r>
      <w:r>
        <w:rPr>
          <w:rFonts w:cs="Calibri" w:ascii="Calibri" w:hAnsi="Calibri"/>
          <w:color w:val="auto"/>
        </w:rPr>
        <w:t>ni</w:t>
      </w:r>
      <w:r>
        <w:rPr>
          <w:rFonts w:cs="Calibri" w:ascii="Calibri" w:hAnsi="Calibri"/>
          <w:color w:val="000000"/>
        </w:rPr>
        <w:t xml:space="preserve">cípio de </w:t>
      </w:r>
      <w:r>
        <w:rPr>
          <w:rFonts w:cs="Calibri" w:ascii="Calibri" w:hAnsi="Calibri"/>
          <w:color w:val="000000"/>
          <w:lang w:val="pt-BR"/>
        </w:rPr>
        <w:t>Caçapava</w:t>
      </w:r>
      <w:r>
        <w:rPr>
          <w:rFonts w:cs="Calibri" w:ascii="Calibri" w:hAnsi="Calibri"/>
          <w:color w:val="000000"/>
        </w:rPr>
        <w:t>/SP</w:t>
      </w:r>
      <w:r>
        <w:rPr>
          <w:rFonts w:cs="Calibri" w:ascii="Calibri" w:hAnsi="Calibri"/>
          <w:color w:val="000000"/>
        </w:rPr>
        <w:t xml:space="preserve">, </w:t>
      </w:r>
      <w:r>
        <w:rPr>
          <w:rFonts w:cs="Calibri" w:ascii="Calibri" w:hAnsi="Calibri"/>
          <w:color w:val="000000"/>
        </w:rPr>
        <w:t>12</w:t>
      </w:r>
      <w:r>
        <w:rPr>
          <w:rFonts w:cs="Calibri" w:ascii="Calibri" w:hAnsi="Calibri"/>
          <w:color w:val="000000"/>
        </w:rPr>
        <w:t xml:space="preserve"> de </w:t>
      </w:r>
      <w:r>
        <w:rPr>
          <w:rFonts w:cs="Calibri" w:ascii="Calibri" w:hAnsi="Calibri"/>
          <w:color w:val="000000"/>
        </w:rPr>
        <w:t>agosto</w:t>
      </w:r>
      <w:r>
        <w:rPr>
          <w:rFonts w:cs="Calibri" w:ascii="Calibri" w:hAnsi="Calibri"/>
          <w:color w:val="000000"/>
        </w:rPr>
        <w:t xml:space="preserve"> de 202</w:t>
      </w:r>
      <w:r>
        <w:rPr>
          <w:rFonts w:cs="Calibri" w:ascii="Calibri" w:hAnsi="Calibri"/>
          <w:color w:val="000000"/>
        </w:rPr>
        <w:t>5</w:t>
      </w:r>
      <w:r>
        <w:rPr>
          <w:rFonts w:cs="Calibri" w:ascii="Calibri" w:hAnsi="Calibri"/>
          <w:color w:val="000000"/>
        </w:rPr>
        <w:t>.</w:t>
      </w:r>
    </w:p>
    <w:tbl>
      <w:tblPr>
        <w:tblStyle w:val="3"/>
        <w:tblW w:w="9071" w:type="dxa"/>
        <w:jc w:val="center"/>
        <w:tblInd w:w="0" w:type="dxa"/>
        <w:tblLayout w:type="fixed"/>
        <w:tblCellMar>
          <w:top w:w="55" w:type="dxa"/>
          <w:left w:w="55" w:type="dxa"/>
          <w:bottom w:w="55" w:type="dxa"/>
          <w:right w:w="55" w:type="dxa"/>
        </w:tblCellMar>
      </w:tblPr>
      <w:tblGrid>
        <w:gridCol w:w="9071"/>
      </w:tblGrid>
      <w:tr>
        <w:trPr>
          <w:trHeight w:val="454" w:hRule="atLeast"/>
        </w:trPr>
        <w:tc>
          <w:tcPr>
            <w:tcW w:w="9071" w:type="dxa"/>
            <w:tcBorders/>
            <w:vAlign w:val="bottom"/>
          </w:tcPr>
          <w:p>
            <w:pPr>
              <w:pStyle w:val="Contedodatabela"/>
              <w:widowControl/>
              <w:suppressAutoHyphens w:val="true"/>
              <w:spacing w:before="0" w:after="0"/>
              <w:jc w:val="center"/>
              <w:rPr>
                <w:rFonts w:ascii="Calibri" w:hAnsi="Calibri" w:eastAsia="SimSun" w:cs="Calibri"/>
                <w:kern w:val="0"/>
                <w:sz w:val="20"/>
                <w:szCs w:val="20"/>
                <w:lang w:val="pt-BR" w:eastAsia="zh-CN" w:bidi="hi-IN"/>
              </w:rPr>
            </w:pPr>
            <w:r>
              <w:rPr>
                <w:rFonts w:eastAsia="SimSun" w:cs="Calibri" w:ascii="Calibri" w:hAnsi="Calibri"/>
                <w:kern w:val="0"/>
                <w:sz w:val="20"/>
                <w:szCs w:val="20"/>
                <w:lang w:val="pt-BR" w:eastAsia="zh-CN" w:bidi="hi-IN"/>
              </w:rPr>
            </w:r>
          </w:p>
        </w:tc>
      </w:tr>
      <w:tr>
        <w:trPr>
          <w:trHeight w:val="283" w:hRule="atLeast"/>
        </w:trPr>
        <w:tc>
          <w:tcPr>
            <w:tcW w:w="9071" w:type="dxa"/>
            <w:tcBorders/>
            <w:vAlign w:val="center"/>
          </w:tcPr>
          <w:p>
            <w:pPr>
              <w:pStyle w:val="Normal"/>
              <w:tabs>
                <w:tab w:val="clear" w:pos="720"/>
                <w:tab w:val="left" w:pos="629" w:leader="none"/>
              </w:tabs>
              <w:snapToGrid w:val="false"/>
              <w:spacing w:before="120" w:after="120"/>
              <w:jc w:val="center"/>
              <w:rPr>
                <w:rFonts w:ascii="Calibri" w:hAnsi="Calibri"/>
                <w:sz w:val="20"/>
                <w:szCs w:val="20"/>
              </w:rPr>
            </w:pPr>
            <w:r>
              <w:rPr>
                <w:rFonts w:eastAsia="Arial" w:cs="Arial" w:ascii="Calibri" w:hAnsi="Calibri" w:cstheme="minorHAnsi"/>
                <w:color w:val="000000"/>
                <w:sz w:val="20"/>
                <w:szCs w:val="20"/>
              </w:rPr>
              <w:t>Saumo Josino Cardoso Baggini Azevedo</w:t>
            </w:r>
            <w:r>
              <w:rPr>
                <w:rFonts w:eastAsia="Arial" w:cs="Arial" w:ascii="Calibri" w:hAnsi="Calibri" w:cstheme="minorHAnsi"/>
                <w:color w:val="000000"/>
                <w:sz w:val="20"/>
                <w:szCs w:val="20"/>
              </w:rPr>
              <w:t xml:space="preserve"> – 2º Ten OTT</w:t>
            </w:r>
          </w:p>
        </w:tc>
      </w:tr>
      <w:tr>
        <w:trPr>
          <w:trHeight w:val="283" w:hRule="atLeast"/>
        </w:trPr>
        <w:tc>
          <w:tcPr>
            <w:tcW w:w="9071" w:type="dxa"/>
            <w:tcBorders/>
            <w:vAlign w:val="bottom"/>
          </w:tcPr>
          <w:p>
            <w:pPr>
              <w:pStyle w:val="Contedodatabela"/>
              <w:widowControl/>
              <w:suppressAutoHyphens w:val="true"/>
              <w:snapToGrid w:val="false"/>
              <w:spacing w:lineRule="auto" w:line="240" w:before="0" w:after="0"/>
              <w:jc w:val="center"/>
              <w:rPr>
                <w:rFonts w:ascii="Calibri" w:hAnsi="Calibri" w:eastAsia="SimSun" w:cs="Times New Roman"/>
                <w:kern w:val="0"/>
                <w:sz w:val="20"/>
                <w:szCs w:val="20"/>
                <w:lang w:val="pt-BR" w:eastAsia="zh-CN" w:bidi="hi-IN"/>
              </w:rPr>
            </w:pPr>
            <w:r>
              <w:rPr>
                <w:rFonts w:eastAsia="SimSun" w:cs="Arial" w:ascii="Calibri" w:hAnsi="Calibri" w:cstheme="minorHAnsi"/>
                <w:kern w:val="0"/>
                <w:sz w:val="20"/>
                <w:szCs w:val="20"/>
                <w:lang w:val="pt-BR" w:eastAsia="zh-CN" w:bidi="hi-IN"/>
              </w:rPr>
              <w:t xml:space="preserve">Engenheiro Civil - CREA: </w:t>
            </w:r>
            <w:r>
              <w:rPr>
                <w:rFonts w:eastAsia="Arial" w:cs="Arial" w:ascii="Calibri" w:hAnsi="Calibri" w:cstheme="minorHAnsi"/>
                <w:color w:val="000000"/>
                <w:kern w:val="0"/>
                <w:sz w:val="20"/>
                <w:szCs w:val="20"/>
                <w:lang w:val="pt-BR" w:eastAsia="zh-CN" w:bidi="hi-IN"/>
              </w:rPr>
              <w:t>507042900</w:t>
            </w:r>
          </w:p>
        </w:tc>
      </w:tr>
      <w:tr>
        <w:trPr>
          <w:trHeight w:val="283" w:hRule="atLeast"/>
        </w:trPr>
        <w:tc>
          <w:tcPr>
            <w:tcW w:w="9071" w:type="dxa"/>
            <w:tcBorders/>
            <w:vAlign w:val="center"/>
          </w:tcPr>
          <w:p>
            <w:pPr>
              <w:pStyle w:val="Contedodatabela"/>
              <w:widowControl/>
              <w:suppressAutoHyphens w:val="true"/>
              <w:snapToGrid w:val="false"/>
              <w:spacing w:before="0" w:after="0"/>
              <w:jc w:val="left"/>
              <w:rPr>
                <w:rFonts w:ascii="Calibri" w:hAnsi="Calibri" w:eastAsia="SimSun" w:cs="Times New Roman"/>
                <w:kern w:val="0"/>
                <w:sz w:val="20"/>
                <w:szCs w:val="20"/>
                <w:lang w:val="pt-BR" w:eastAsia="zh-CN" w:bidi="hi-IN"/>
              </w:rPr>
            </w:pPr>
            <w:r>
              <w:rPr>
                <w:rFonts w:eastAsia="SimSun" w:cs="Calibri" w:ascii="Calibri" w:hAnsi="Calibri"/>
                <w:kern w:val="0"/>
                <w:sz w:val="20"/>
                <w:szCs w:val="20"/>
                <w:lang w:val="pt-BR" w:eastAsia="zh-CN" w:bidi="hi-IN"/>
              </w:rPr>
              <w:t>Aprovo:</w:t>
            </w:r>
          </w:p>
        </w:tc>
      </w:tr>
      <w:tr>
        <w:trPr>
          <w:trHeight w:val="454" w:hRule="atLeast"/>
        </w:trPr>
        <w:tc>
          <w:tcPr>
            <w:tcW w:w="9071" w:type="dxa"/>
            <w:tcBorders/>
            <w:vAlign w:val="bottom"/>
          </w:tcPr>
          <w:p>
            <w:pPr>
              <w:pStyle w:val="Contedodatabela"/>
              <w:widowControl/>
              <w:suppressAutoHyphens w:val="true"/>
              <w:spacing w:before="0" w:after="0"/>
              <w:jc w:val="center"/>
              <w:rPr>
                <w:rFonts w:ascii="Calibri" w:hAnsi="Calibri" w:cs="Calibri"/>
                <w:sz w:val="20"/>
                <w:szCs w:val="20"/>
              </w:rPr>
            </w:pPr>
            <w:r>
              <w:rPr>
                <w:rFonts w:eastAsia="SimSun" w:cs="Calibri" w:ascii="Calibri" w:hAnsi="Calibri"/>
                <w:kern w:val="0"/>
                <w:sz w:val="20"/>
                <w:szCs w:val="20"/>
                <w:lang w:val="pt-BR" w:eastAsia="zh-CN" w:bidi="hi-IN"/>
              </w:rPr>
            </w:r>
          </w:p>
        </w:tc>
      </w:tr>
      <w:tr>
        <w:trPr/>
        <w:tc>
          <w:tcPr>
            <w:tcW w:w="9071" w:type="dxa"/>
            <w:tcBorders/>
          </w:tcPr>
          <w:p>
            <w:pPr>
              <w:pStyle w:val="Normal"/>
              <w:widowControl/>
              <w:suppressAutoHyphens w:val="true"/>
              <w:snapToGrid w:val="false"/>
              <w:spacing w:beforeAutospacing="1" w:after="0"/>
              <w:jc w:val="center"/>
              <w:rPr>
                <w:rFonts w:ascii="Calibri" w:hAnsi="Calibri" w:cs="Calibri"/>
                <w:sz w:val="20"/>
                <w:szCs w:val="20"/>
                <w:lang w:val="es-ES"/>
              </w:rPr>
            </w:pPr>
            <w:r>
              <w:rPr/>
            </w:r>
          </w:p>
        </w:tc>
      </w:tr>
      <w:tr>
        <w:trPr/>
        <w:tc>
          <w:tcPr>
            <w:tcW w:w="9071" w:type="dxa"/>
            <w:tcBorders/>
          </w:tcPr>
          <w:p>
            <w:pPr>
              <w:pStyle w:val="Normal"/>
              <w:widowControl/>
              <w:suppressAutoHyphens w:val="true"/>
              <w:snapToGrid w:val="false"/>
              <w:spacing w:beforeAutospacing="1" w:after="0"/>
              <w:jc w:val="center"/>
              <w:rPr>
                <w:rFonts w:ascii="Calibri" w:hAnsi="Calibri" w:cs="Calibri"/>
                <w:sz w:val="20"/>
                <w:szCs w:val="20"/>
              </w:rPr>
            </w:pPr>
            <w:r>
              <w:rPr>
                <w:rFonts w:cs="Calibri" w:ascii="Calibri" w:hAnsi="Calibri"/>
                <w:kern w:val="0"/>
                <w:sz w:val="20"/>
                <w:szCs w:val="20"/>
                <w:shd w:fill="FFFFFF" w:val="clear"/>
              </w:rPr>
              <w:t>Ordenador de Despe</w:t>
            </w:r>
            <w:r>
              <w:rPr>
                <w:rFonts w:cs="Calibri" w:ascii="Calibri" w:hAnsi="Calibri"/>
                <w:color w:val="000000"/>
                <w:kern w:val="0"/>
                <w:sz w:val="20"/>
                <w:szCs w:val="20"/>
                <w:shd w:fill="FFFFFF" w:val="clear"/>
              </w:rPr>
              <w:t>sas</w:t>
            </w:r>
            <w:r>
              <w:rPr>
                <w:rFonts w:cs="Calibri" w:ascii="Calibri" w:hAnsi="Calibri"/>
                <w:bCs/>
                <w:color w:val="000000"/>
                <w:kern w:val="0"/>
                <w:sz w:val="20"/>
                <w:szCs w:val="20"/>
                <w:shd w:fill="FFFFFF" w:val="clear"/>
              </w:rPr>
              <w:t xml:space="preserve"> </w:t>
            </w:r>
            <w:r>
              <w:rPr>
                <w:rFonts w:cs="Calibri" w:ascii="Calibri" w:hAnsi="Calibri"/>
                <w:color w:val="000000"/>
                <w:kern w:val="0"/>
                <w:sz w:val="20"/>
                <w:szCs w:val="20"/>
                <w:shd w:fill="FFFFFF" w:val="clear"/>
              </w:rPr>
              <w:t>d</w:t>
            </w:r>
            <w:r>
              <w:rPr>
                <w:rFonts w:cs="Calibri" w:ascii="Calibri" w:hAnsi="Calibri"/>
                <w:color w:val="000000"/>
                <w:kern w:val="0"/>
                <w:sz w:val="20"/>
                <w:szCs w:val="20"/>
                <w:shd w:fill="FFFFFF" w:val="clear"/>
              </w:rPr>
              <w:t>o</w:t>
            </w:r>
            <w:r>
              <w:rPr>
                <w:rFonts w:cs="Calibri" w:ascii="Calibri" w:hAnsi="Calibri"/>
                <w:color w:val="000000"/>
                <w:kern w:val="0"/>
                <w:sz w:val="20"/>
                <w:szCs w:val="20"/>
                <w:shd w:fill="FFFFFF" w:val="clear"/>
              </w:rPr>
              <w:t xml:space="preserve"> </w:t>
            </w:r>
            <w:r>
              <w:rPr>
                <w:rFonts w:cs="Calibri" w:ascii="Calibri" w:hAnsi="Calibri"/>
                <w:color w:val="000000"/>
                <w:kern w:val="0"/>
                <w:sz w:val="20"/>
                <w:szCs w:val="20"/>
                <w:shd w:fill="FFFFFF" w:val="clear"/>
              </w:rPr>
              <w:t>Comando da Bda Inf Amv</w:t>
            </w:r>
          </w:p>
        </w:tc>
      </w:tr>
    </w:tbl>
    <w:p>
      <w:pPr>
        <w:pStyle w:val="Normal"/>
        <w:snapToGrid w:val="false"/>
        <w:spacing w:before="120" w:after="120"/>
        <w:ind w:left="720"/>
        <w:jc w:val="both"/>
        <w:rPr>
          <w:rFonts w:ascii="Calibri" w:hAnsi="Calibri" w:cs="Calibri"/>
        </w:rPr>
      </w:pPr>
      <w:r>
        <w:rPr>
          <w:rFonts w:cs="Calibri" w:ascii="Calibri" w:hAnsi="Calibri"/>
        </w:rPr>
      </w:r>
    </w:p>
    <w:sectPr>
      <w:footerReference w:type="even" r:id="rId3"/>
      <w:footerReference w:type="default" r:id="rId4"/>
      <w:footerReference w:type="first" r:id="rId5"/>
      <w:type w:val="nextPage"/>
      <w:pgSz w:w="11906" w:h="16838"/>
      <w:pgMar w:left="1134" w:right="567" w:gutter="0" w:header="0" w:top="567" w:footer="1026" w:bottom="1134"/>
      <w:pgNumType w:start="1"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Ecofont_Spranq_eco_Sans">
    <w:charset w:val="00"/>
    <w:family w:val="roman"/>
    <w:pitch w:val="variable"/>
  </w:font>
  <w:font w:name="Tahom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 w:name="Georgia">
    <w:charset w:val="00"/>
    <w:family w:val="roman"/>
    <w:pitch w:val="variable"/>
  </w:font>
  <w:font w:name="Calibri">
    <w:charset w:val="00"/>
    <w:family w:val="swiss"/>
    <w:pitch w:val="variable"/>
  </w:font>
  <w:font w:name="Calibri">
    <w:charset w:val="01"/>
    <w:family w:val="swiss"/>
    <w:pitch w:val="variable"/>
  </w:font>
  <w:font w:name="Arial">
    <w:charset w:val="00"/>
    <w:family w:val="roman"/>
    <w:pitch w:val="variable"/>
  </w:font>
  <w:font w:name="SimSun">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pPr>
    <w:sdt>
      <w:sdtPr>
        <w:id w:val="838556655"/>
        <w:text/>
      </w:sdtPr>
      <w:sdtContent>
        <w:r>
          <w:rPr>
            <w:rFonts w:cs="Calibri" w:ascii="Calibri" w:hAnsi="Calibri"/>
          </w:rPr>
        </w:r>
        <w:r>
          <w:rPr>
            <w:rFonts w:cs="Calibri" w:ascii="Calibri" w:hAnsi="Calibri"/>
          </w:rPr>
          <w:t xml:space="preserve">Página </w:t>
        </w:r>
      </w:sdtContent>
    </w:sdt>
    <w:r>
      <w:rPr>
        <w:rFonts w:cs="Calibri" w:ascii="Calibri" w:hAnsi="Calibri"/>
        <w:b/>
      </w:rPr>
      <w:fldChar w:fldCharType="begin"/>
    </w:r>
    <w:r>
      <w:rPr>
        <w:b/>
        <w:rFonts w:cs="Calibri" w:ascii="Calibri" w:hAnsi="Calibri"/>
      </w:rPr>
      <w:instrText xml:space="preserve"> PAGE </w:instrText>
    </w:r>
    <w:r>
      <w:rPr>
        <w:b/>
        <w:rFonts w:cs="Calibri" w:ascii="Calibri" w:hAnsi="Calibri"/>
      </w:rPr>
      <w:fldChar w:fldCharType="separate"/>
    </w:r>
    <w:r>
      <w:rPr>
        <w:b/>
        <w:rFonts w:cs="Calibri" w:ascii="Calibri" w:hAnsi="Calibri"/>
      </w:rPr>
      <w:t>11</w:t>
    </w:r>
    <w:r>
      <w:rPr>
        <w:b/>
        <w:rFonts w:cs="Calibri" w:ascii="Calibri" w:hAnsi="Calibri"/>
      </w:rPr>
      <w:fldChar w:fldCharType="end"/>
    </w:r>
    <w:r>
      <w:rPr>
        <w:rFonts w:cs="Calibri" w:ascii="Calibri" w:hAnsi="Calibri"/>
      </w:rPr>
      <w:t xml:space="preserve"> de </w:t>
    </w:r>
    <w:r>
      <w:rPr>
        <w:rFonts w:cs="Calibri" w:ascii="Calibri" w:hAnsi="Calibri"/>
        <w:b/>
      </w:rPr>
      <w:fldChar w:fldCharType="begin"/>
    </w:r>
    <w:r>
      <w:rPr>
        <w:b/>
        <w:rFonts w:cs="Calibri" w:ascii="Calibri" w:hAnsi="Calibri"/>
      </w:rPr>
      <w:instrText xml:space="preserve"> NUMPAGES </w:instrText>
    </w:r>
    <w:r>
      <w:rPr>
        <w:b/>
        <w:rFonts w:cs="Calibri" w:ascii="Calibri" w:hAnsi="Calibri"/>
      </w:rPr>
      <w:fldChar w:fldCharType="separate"/>
    </w:r>
    <w:r>
      <w:rPr>
        <w:b/>
        <w:rFonts w:cs="Calibri" w:ascii="Calibri" w:hAnsi="Calibri"/>
      </w:rPr>
      <w:t>12</w:t>
    </w:r>
    <w:r>
      <w:rPr>
        <w:b/>
        <w:rFonts w:cs="Calibri" w:ascii="Calibri" w:hAnsi="Calibri"/>
      </w:rPr>
      <w:fldChar w:fldCharType="end"/>
    </w:r>
  </w:p>
  <w:p>
    <w:pPr>
      <w:pStyle w:val="Normal"/>
      <w:tabs>
        <w:tab w:val="clear" w:pos="720"/>
        <w:tab w:val="center" w:pos="4252" w:leader="none"/>
        <w:tab w:val="right" w:pos="8504" w:leader="none"/>
      </w:tabs>
      <w:rPr>
        <w:color w:val="000000"/>
        <w:sz w:val="15"/>
        <w:szCs w:val="15"/>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pPr>
    <w:sdt>
      <w:sdtPr>
        <w:id w:val="838556655"/>
        <w:text/>
      </w:sdtPr>
      <w:sdtContent>
        <w:r>
          <w:rPr>
            <w:rFonts w:cs="Calibri" w:ascii="Calibri" w:hAnsi="Calibri"/>
          </w:rPr>
        </w:r>
        <w:r>
          <w:rPr>
            <w:rFonts w:cs="Calibri" w:ascii="Calibri" w:hAnsi="Calibri"/>
          </w:rPr>
          <w:t xml:space="preserve">Página </w:t>
        </w:r>
      </w:sdtContent>
    </w:sdt>
    <w:r>
      <w:rPr>
        <w:rFonts w:cs="Calibri" w:ascii="Calibri" w:hAnsi="Calibri"/>
        <w:b/>
      </w:rPr>
      <w:fldChar w:fldCharType="begin"/>
    </w:r>
    <w:r>
      <w:rPr>
        <w:b/>
        <w:rFonts w:cs="Calibri" w:ascii="Calibri" w:hAnsi="Calibri"/>
      </w:rPr>
      <w:instrText xml:space="preserve"> PAGE </w:instrText>
    </w:r>
    <w:r>
      <w:rPr>
        <w:b/>
        <w:rFonts w:cs="Calibri" w:ascii="Calibri" w:hAnsi="Calibri"/>
      </w:rPr>
      <w:fldChar w:fldCharType="separate"/>
    </w:r>
    <w:r>
      <w:rPr>
        <w:b/>
        <w:rFonts w:cs="Calibri" w:ascii="Calibri" w:hAnsi="Calibri"/>
      </w:rPr>
      <w:t>11</w:t>
    </w:r>
    <w:r>
      <w:rPr>
        <w:b/>
        <w:rFonts w:cs="Calibri" w:ascii="Calibri" w:hAnsi="Calibri"/>
      </w:rPr>
      <w:fldChar w:fldCharType="end"/>
    </w:r>
    <w:r>
      <w:rPr>
        <w:rFonts w:cs="Calibri" w:ascii="Calibri" w:hAnsi="Calibri"/>
      </w:rPr>
      <w:t xml:space="preserve"> de </w:t>
    </w:r>
    <w:r>
      <w:rPr>
        <w:rFonts w:cs="Calibri" w:ascii="Calibri" w:hAnsi="Calibri"/>
        <w:b/>
      </w:rPr>
      <w:fldChar w:fldCharType="begin"/>
    </w:r>
    <w:r>
      <w:rPr>
        <w:b/>
        <w:rFonts w:cs="Calibri" w:ascii="Calibri" w:hAnsi="Calibri"/>
      </w:rPr>
      <w:instrText xml:space="preserve"> NUMPAGES </w:instrText>
    </w:r>
    <w:r>
      <w:rPr>
        <w:b/>
        <w:rFonts w:cs="Calibri" w:ascii="Calibri" w:hAnsi="Calibri"/>
      </w:rPr>
      <w:fldChar w:fldCharType="separate"/>
    </w:r>
    <w:r>
      <w:rPr>
        <w:b/>
        <w:rFonts w:cs="Calibri" w:ascii="Calibri" w:hAnsi="Calibri"/>
      </w:rPr>
      <w:t>12</w:t>
    </w:r>
    <w:r>
      <w:rPr>
        <w:b/>
        <w:rFonts w:cs="Calibri" w:ascii="Calibri" w:hAnsi="Calibri"/>
      </w:rPr>
      <w:fldChar w:fldCharType="end"/>
    </w:r>
  </w:p>
  <w:p>
    <w:pPr>
      <w:pStyle w:val="Normal"/>
      <w:tabs>
        <w:tab w:val="clear" w:pos="720"/>
        <w:tab w:val="center" w:pos="4252" w:leader="none"/>
        <w:tab w:val="right" w:pos="8504" w:leader="none"/>
      </w:tabs>
      <w:rPr>
        <w:color w:val="000000"/>
        <w:sz w:val="15"/>
        <w:szCs w:val="15"/>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25"/>
        </w:tabs>
        <w:ind w:left="425" w:hanging="425"/>
      </w:pPr>
      <w:rPr>
        <w:sz w:val="24"/>
        <w:b/>
        <w:rFonts w:ascii="Calibri" w:hAnsi="Calibri" w:eastAsia="Calibri" w:cs="Calibri"/>
      </w:rPr>
    </w:lvl>
    <w:lvl w:ilvl="1">
      <w:start w:val="1"/>
      <w:numFmt w:val="decimal"/>
      <w:lvlText w:val="%1.%2."/>
      <w:lvlJc w:val="left"/>
      <w:pPr>
        <w:tabs>
          <w:tab w:val="num" w:pos="850"/>
        </w:tabs>
        <w:ind w:left="850" w:hanging="453"/>
      </w:pPr>
      <w:rPr/>
    </w:lvl>
    <w:lvl w:ilvl="2">
      <w:start w:val="1"/>
      <w:numFmt w:val="decimal"/>
      <w:lvlText w:val="%1.%2.%3."/>
      <w:lvlJc w:val="left"/>
      <w:pPr>
        <w:tabs>
          <w:tab w:val="num" w:pos="1508"/>
        </w:tabs>
        <w:ind w:left="1508" w:hanging="708"/>
      </w:pPr>
      <w:rPr/>
    </w:lvl>
    <w:lvl w:ilvl="3">
      <w:start w:val="1"/>
      <w:numFmt w:val="decimal"/>
      <w:lvlText w:val="%1.%2.%3.%4."/>
      <w:lvlJc w:val="left"/>
      <w:pPr>
        <w:tabs>
          <w:tab w:val="num" w:pos="2053"/>
        </w:tabs>
        <w:ind w:left="2053" w:hanging="853"/>
      </w:pPr>
      <w:rPr/>
    </w:lvl>
    <w:lvl w:ilvl="4">
      <w:start w:val="1"/>
      <w:numFmt w:val="decimal"/>
      <w:lvlText w:val="%1.%2.%3.%4.%5."/>
      <w:lvlJc w:val="left"/>
      <w:pPr>
        <w:tabs>
          <w:tab w:val="num" w:pos="2495"/>
        </w:tabs>
        <w:ind w:left="2495" w:hanging="895"/>
      </w:pPr>
      <w:rPr/>
    </w:lvl>
    <w:lvl w:ilvl="5">
      <w:start w:val="1"/>
      <w:numFmt w:val="decimal"/>
      <w:lvlText w:val="%1.%2.%3.%4.%5.%6."/>
      <w:lvlJc w:val="left"/>
      <w:pPr>
        <w:tabs>
          <w:tab w:val="num" w:pos="3136"/>
        </w:tabs>
        <w:ind w:left="3136" w:hanging="1136"/>
      </w:pPr>
      <w:rPr/>
    </w:lvl>
    <w:lvl w:ilvl="6">
      <w:start w:val="1"/>
      <w:numFmt w:val="decimal"/>
      <w:lvlText w:val="%1.%2.%3.%4.%5.%6.%7."/>
      <w:lvlJc w:val="left"/>
      <w:pPr>
        <w:tabs>
          <w:tab w:val="num" w:pos="3673"/>
        </w:tabs>
        <w:ind w:left="3673" w:hanging="1273"/>
      </w:pPr>
      <w:rPr/>
    </w:lvl>
    <w:lvl w:ilvl="7">
      <w:start w:val="1"/>
      <w:numFmt w:val="decimal"/>
      <w:lvlText w:val="%1.%2.%3.%4.%5.%6.%7.%8."/>
      <w:lvlJc w:val="left"/>
      <w:pPr>
        <w:tabs>
          <w:tab w:val="num" w:pos="4218"/>
        </w:tabs>
        <w:ind w:left="4218" w:hanging="1418"/>
      </w:pPr>
      <w:rPr/>
    </w:lvl>
    <w:lvl w:ilvl="8">
      <w:start w:val="1"/>
      <w:numFmt w:val="decimal"/>
      <w:lvlText w:val="%1.%2.%3.%4.%5.%6.%7.%8.%9."/>
      <w:lvlJc w:val="left"/>
      <w:pPr>
        <w:tabs>
          <w:tab w:val="num" w:pos="4648"/>
        </w:tabs>
        <w:ind w:left="4648" w:hanging="1448"/>
      </w:pPr>
      <w:rPr/>
    </w:lvl>
  </w:abstractNum>
  <w:abstractNum w:abstractNumId="2">
    <w:lvl w:ilvl="0">
      <w:start w:val="1"/>
      <w:numFmt w:val="decimal"/>
      <w:lvlText w:val="7.%1."/>
      <w:lvlJc w:val="left"/>
      <w:pPr>
        <w:tabs>
          <w:tab w:val="num" w:pos="425"/>
        </w:tabs>
        <w:ind w:left="425" w:hanging="425"/>
      </w:pPr>
      <w:rPr>
        <w:sz w:val="24"/>
        <w:b/>
        <w:rFonts w:ascii="Calibri" w:hAnsi="Calibri" w:eastAsia="SimSun" w:cs="SimSun"/>
      </w:rPr>
    </w:lvl>
    <w:lvl w:ilvl="1">
      <w:start w:val="1"/>
      <w:numFmt w:val="decimal"/>
      <w:lvlText w:val="%1.%2."/>
      <w:lvlJc w:val="left"/>
      <w:pPr>
        <w:tabs>
          <w:tab w:val="num" w:pos="850"/>
        </w:tabs>
        <w:ind w:left="850" w:hanging="453"/>
      </w:pPr>
      <w:rPr/>
    </w:lvl>
    <w:lvl w:ilvl="2">
      <w:start w:val="1"/>
      <w:numFmt w:val="decimal"/>
      <w:lvlText w:val="%1.%2.%3."/>
      <w:lvlJc w:val="left"/>
      <w:pPr>
        <w:tabs>
          <w:tab w:val="num" w:pos="1508"/>
        </w:tabs>
        <w:ind w:left="1508" w:hanging="708"/>
      </w:pPr>
      <w:rPr/>
    </w:lvl>
    <w:lvl w:ilvl="3">
      <w:start w:val="1"/>
      <w:numFmt w:val="decimal"/>
      <w:lvlText w:val="%1.%2.%3.%4."/>
      <w:lvlJc w:val="left"/>
      <w:pPr>
        <w:tabs>
          <w:tab w:val="num" w:pos="2053"/>
        </w:tabs>
        <w:ind w:left="2053" w:hanging="853"/>
      </w:pPr>
      <w:rPr/>
    </w:lvl>
    <w:lvl w:ilvl="4">
      <w:start w:val="1"/>
      <w:numFmt w:val="decimal"/>
      <w:lvlText w:val="%1.%2.%3.%4.%5."/>
      <w:lvlJc w:val="left"/>
      <w:pPr>
        <w:tabs>
          <w:tab w:val="num" w:pos="2495"/>
        </w:tabs>
        <w:ind w:left="2495" w:hanging="895"/>
      </w:pPr>
      <w:rPr/>
    </w:lvl>
    <w:lvl w:ilvl="5">
      <w:start w:val="1"/>
      <w:numFmt w:val="decimal"/>
      <w:lvlText w:val="%1.%2.%3.%4.%5.%6."/>
      <w:lvlJc w:val="left"/>
      <w:pPr>
        <w:tabs>
          <w:tab w:val="num" w:pos="3136"/>
        </w:tabs>
        <w:ind w:left="3136" w:hanging="1136"/>
      </w:pPr>
      <w:rPr/>
    </w:lvl>
    <w:lvl w:ilvl="6">
      <w:start w:val="1"/>
      <w:numFmt w:val="decimal"/>
      <w:lvlText w:val="%1.%2.%3.%4.%5.%6.%7."/>
      <w:lvlJc w:val="left"/>
      <w:pPr>
        <w:tabs>
          <w:tab w:val="num" w:pos="3673"/>
        </w:tabs>
        <w:ind w:left="3673" w:hanging="1273"/>
      </w:pPr>
      <w:rPr/>
    </w:lvl>
    <w:lvl w:ilvl="7">
      <w:start w:val="1"/>
      <w:numFmt w:val="decimal"/>
      <w:lvlText w:val="%1.%2.%3.%4.%5.%6.%7.%8."/>
      <w:lvlJc w:val="left"/>
      <w:pPr>
        <w:tabs>
          <w:tab w:val="num" w:pos="4218"/>
        </w:tabs>
        <w:ind w:left="4218" w:hanging="1418"/>
      </w:pPr>
      <w:rPr/>
    </w:lvl>
    <w:lvl w:ilvl="8">
      <w:start w:val="1"/>
      <w:numFmt w:val="decimal"/>
      <w:lvlText w:val="%1.%2.%3.%4.%5.%6.%7.%8.%9."/>
      <w:lvlJc w:val="left"/>
      <w:pPr>
        <w:tabs>
          <w:tab w:val="num" w:pos="4648"/>
        </w:tabs>
        <w:ind w:left="4648" w:hanging="1448"/>
      </w:pPr>
      <w:rPr/>
    </w:lvl>
  </w:abstractNum>
  <w:abstractNum w:abstractNumId="3">
    <w:lvl w:ilvl="0">
      <w:start w:val="1"/>
      <w:numFmt w:val="decimal"/>
      <w:lvlText w:val="11.%1."/>
      <w:lvlJc w:val="left"/>
      <w:pPr>
        <w:tabs>
          <w:tab w:val="num" w:pos="0"/>
        </w:tabs>
        <w:ind w:left="360" w:hanging="360"/>
      </w:pPr>
      <w:rPr>
        <w:sz w:val="24"/>
        <w:b/>
        <w:szCs w:val="20"/>
        <w:rFonts w:ascii="Calibri" w:hAnsi="Calibri" w:eastAsia="SimSun" w:cs="SimSun"/>
      </w:rPr>
    </w:lvl>
    <w:lvl w:ilvl="1">
      <w:start w:val="1"/>
      <w:numFmt w:val="decimal"/>
      <w:lvlText w:val="%1.%2."/>
      <w:lvlJc w:val="left"/>
      <w:pPr>
        <w:tabs>
          <w:tab w:val="num" w:pos="0"/>
        </w:tabs>
        <w:ind w:left="432" w:hanging="432"/>
      </w:pPr>
      <w:rPr>
        <w:sz w:val="20"/>
        <w:i w:val="false"/>
        <w:b w:val="false"/>
        <w:szCs w:val="20"/>
        <w:rFonts w:ascii="Arial" w:hAnsi="Arial"/>
        <w:color w:val="000000"/>
      </w:rPr>
    </w:lvl>
    <w:lvl w:ilvl="2">
      <w:start w:val="1"/>
      <w:numFmt w:val="decimal"/>
      <w:lvlText w:val="%1.%2.%3."/>
      <w:lvlJc w:val="left"/>
      <w:pPr>
        <w:tabs>
          <w:tab w:val="num" w:pos="0"/>
        </w:tabs>
        <w:ind w:left="1224" w:hanging="504"/>
      </w:pPr>
      <w:rPr>
        <w:sz w:val="20"/>
        <w:b w:val="false"/>
        <w:szCs w:val="20"/>
        <w:rFonts w:ascii="Arial" w:hAnsi="Arial"/>
        <w:color w:val="000000"/>
      </w:rPr>
    </w:lvl>
    <w:lvl w:ilvl="3">
      <w:start w:val="1"/>
      <w:numFmt w:val="decimal"/>
      <w:lvlText w:val="%1.%2.%3.%4."/>
      <w:lvlJc w:val="left"/>
      <w:pPr>
        <w:tabs>
          <w:tab w:val="num" w:pos="0"/>
        </w:tabs>
        <w:ind w:left="1728" w:hanging="647"/>
      </w:pPr>
      <w:rPr>
        <w:sz w:val="20"/>
        <w:b/>
        <w:szCs w:val="20"/>
        <w:rFonts w:ascii="Arial" w:hAnsi="Arial"/>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decimal"/>
      <w:lvlText w:val="11.6.%1."/>
      <w:lvlJc w:val="left"/>
      <w:pPr>
        <w:tabs>
          <w:tab w:val="num" w:pos="0"/>
        </w:tabs>
        <w:ind w:left="360" w:hanging="360"/>
      </w:pPr>
      <w:rPr>
        <w:sz w:val="24"/>
        <w:b/>
        <w:szCs w:val="20"/>
        <w:rFonts w:ascii="Calibri" w:hAnsi="Calibri" w:eastAsia="SimSun" w:cs="SimSun"/>
      </w:rPr>
    </w:lvl>
    <w:lvl w:ilvl="1">
      <w:start w:val="1"/>
      <w:numFmt w:val="decimal"/>
      <w:lvlText w:val="%1.%2."/>
      <w:lvlJc w:val="left"/>
      <w:pPr>
        <w:tabs>
          <w:tab w:val="num" w:pos="0"/>
        </w:tabs>
        <w:ind w:left="432" w:hanging="432"/>
      </w:pPr>
      <w:rPr>
        <w:sz w:val="20"/>
        <w:i w:val="false"/>
        <w:b w:val="false"/>
        <w:szCs w:val="20"/>
        <w:rFonts w:ascii="Arial" w:hAnsi="Arial"/>
        <w:color w:val="000000"/>
      </w:rPr>
    </w:lvl>
    <w:lvl w:ilvl="2">
      <w:start w:val="1"/>
      <w:numFmt w:val="decimal"/>
      <w:lvlText w:val="%1.%2.%3."/>
      <w:lvlJc w:val="left"/>
      <w:pPr>
        <w:tabs>
          <w:tab w:val="num" w:pos="0"/>
        </w:tabs>
        <w:ind w:left="1224" w:hanging="504"/>
      </w:pPr>
      <w:rPr>
        <w:sz w:val="20"/>
        <w:b w:val="false"/>
        <w:szCs w:val="20"/>
        <w:rFonts w:ascii="Arial" w:hAnsi="Arial"/>
        <w:color w:val="000000"/>
      </w:rPr>
    </w:lvl>
    <w:lvl w:ilvl="3">
      <w:start w:val="1"/>
      <w:numFmt w:val="decimal"/>
      <w:lvlText w:val="%1.%2.%3.%4."/>
      <w:lvlJc w:val="left"/>
      <w:pPr>
        <w:tabs>
          <w:tab w:val="num" w:pos="0"/>
        </w:tabs>
        <w:ind w:left="1728" w:hanging="647"/>
      </w:pPr>
      <w:rPr>
        <w:sz w:val="20"/>
        <w:b/>
        <w:szCs w:val="20"/>
        <w:rFonts w:ascii="Arial" w:hAnsi="Arial"/>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
    <w:lvl w:ilvl="0">
      <w:start w:val="1"/>
      <w:numFmt w:val="decimal"/>
      <w:lvlText w:val="12.%1."/>
      <w:lvlJc w:val="left"/>
      <w:pPr>
        <w:tabs>
          <w:tab w:val="num" w:pos="0"/>
        </w:tabs>
        <w:ind w:left="360" w:hanging="360"/>
      </w:pPr>
      <w:rPr>
        <w:sz w:val="24"/>
        <w:b/>
        <w:szCs w:val="20"/>
        <w:rFonts w:ascii="Calibri" w:hAnsi="Calibri" w:eastAsia="SimSun" w:cs="SimSun"/>
      </w:rPr>
    </w:lvl>
    <w:lvl w:ilvl="1">
      <w:start w:val="1"/>
      <w:numFmt w:val="decimal"/>
      <w:lvlText w:val="%1.%2."/>
      <w:lvlJc w:val="left"/>
      <w:pPr>
        <w:tabs>
          <w:tab w:val="num" w:pos="0"/>
        </w:tabs>
        <w:ind w:left="432" w:hanging="432"/>
      </w:pPr>
      <w:rPr>
        <w:sz w:val="20"/>
        <w:i w:val="false"/>
        <w:b w:val="false"/>
        <w:szCs w:val="20"/>
        <w:rFonts w:ascii="Arial" w:hAnsi="Arial"/>
        <w:color w:val="000000"/>
      </w:rPr>
    </w:lvl>
    <w:lvl w:ilvl="2">
      <w:start w:val="1"/>
      <w:numFmt w:val="decimal"/>
      <w:lvlText w:val="%1.%2.%3."/>
      <w:lvlJc w:val="left"/>
      <w:pPr>
        <w:tabs>
          <w:tab w:val="num" w:pos="0"/>
        </w:tabs>
        <w:ind w:left="1224" w:hanging="504"/>
      </w:pPr>
      <w:rPr>
        <w:sz w:val="20"/>
        <w:b w:val="false"/>
        <w:szCs w:val="20"/>
        <w:rFonts w:ascii="Arial" w:hAnsi="Arial"/>
        <w:color w:val="000000"/>
      </w:rPr>
    </w:lvl>
    <w:lvl w:ilvl="3">
      <w:start w:val="1"/>
      <w:numFmt w:val="decimal"/>
      <w:lvlText w:val="%1.%2.%3.%4."/>
      <w:lvlJc w:val="left"/>
      <w:pPr>
        <w:tabs>
          <w:tab w:val="num" w:pos="0"/>
        </w:tabs>
        <w:ind w:left="1728" w:hanging="647"/>
      </w:pPr>
      <w:rPr>
        <w:sz w:val="20"/>
        <w:b/>
        <w:szCs w:val="20"/>
        <w:rFonts w:ascii="Arial" w:hAnsi="Arial"/>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6">
    <w:lvl w:ilvl="0">
      <w:start w:val="1"/>
      <w:numFmt w:val="decimal"/>
      <w:lvlText w:val="12.20.%1."/>
      <w:lvlJc w:val="left"/>
      <w:pPr>
        <w:tabs>
          <w:tab w:val="num" w:pos="0"/>
        </w:tabs>
        <w:ind w:left="360" w:hanging="360"/>
      </w:pPr>
      <w:rPr>
        <w:sz w:val="24"/>
        <w:b/>
        <w:szCs w:val="20"/>
        <w:rFonts w:ascii="Calibri" w:hAnsi="Calibri" w:eastAsia="SimSun" w:cs="SimSun"/>
      </w:rPr>
    </w:lvl>
    <w:lvl w:ilvl="1">
      <w:start w:val="1"/>
      <w:numFmt w:val="decimal"/>
      <w:lvlText w:val="%1.%2."/>
      <w:lvlJc w:val="left"/>
      <w:pPr>
        <w:tabs>
          <w:tab w:val="num" w:pos="0"/>
        </w:tabs>
        <w:ind w:left="432" w:hanging="432"/>
      </w:pPr>
      <w:rPr>
        <w:sz w:val="20"/>
        <w:i w:val="false"/>
        <w:b w:val="false"/>
        <w:szCs w:val="20"/>
        <w:rFonts w:ascii="Arial" w:hAnsi="Arial"/>
        <w:color w:val="000000"/>
      </w:rPr>
    </w:lvl>
    <w:lvl w:ilvl="2">
      <w:start w:val="1"/>
      <w:numFmt w:val="none"/>
      <w:suff w:val="nothing"/>
      <w:lvlText w:val="10.20.%1."/>
      <w:lvlJc w:val="left"/>
      <w:pPr>
        <w:tabs>
          <w:tab w:val="num" w:pos="0"/>
        </w:tabs>
        <w:ind w:left="1224" w:hanging="504"/>
      </w:pPr>
      <w:rPr>
        <w:sz w:val="24"/>
        <w:b/>
        <w:szCs w:val="20"/>
        <w:rFonts w:ascii="Arial" w:hAnsi="Arial" w:eastAsia="SimSun" w:cs="SimSun"/>
        <w:color w:val="000000"/>
      </w:rPr>
    </w:lvl>
    <w:lvl w:ilvl="3">
      <w:start w:val="1"/>
      <w:numFmt w:val="decimal"/>
      <w:lvlText w:val="%1.%2.%3.%4."/>
      <w:lvlJc w:val="left"/>
      <w:pPr>
        <w:tabs>
          <w:tab w:val="num" w:pos="0"/>
        </w:tabs>
        <w:ind w:left="1728" w:hanging="647"/>
      </w:pPr>
      <w:rPr>
        <w:sz w:val="20"/>
        <w:b/>
        <w:szCs w:val="20"/>
        <w:rFonts w:ascii="Arial" w:hAnsi="Arial"/>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decimal"/>
      <w:lvlText w:val="12.33.%1."/>
      <w:lvlJc w:val="left"/>
      <w:pPr>
        <w:tabs>
          <w:tab w:val="num" w:pos="0"/>
        </w:tabs>
        <w:ind w:left="360" w:hanging="360"/>
      </w:pPr>
      <w:rPr>
        <w:sz w:val="24"/>
        <w:b/>
        <w:szCs w:val="20"/>
        <w:rFonts w:ascii="Calibri" w:hAnsi="Calibri" w:eastAsia="SimSun" w:cs="SimSun"/>
      </w:rPr>
    </w:lvl>
    <w:lvl w:ilvl="1">
      <w:start w:val="1"/>
      <w:numFmt w:val="decimal"/>
      <w:lvlText w:val="%1.%2."/>
      <w:lvlJc w:val="left"/>
      <w:pPr>
        <w:tabs>
          <w:tab w:val="num" w:pos="0"/>
        </w:tabs>
        <w:ind w:left="432" w:hanging="432"/>
      </w:pPr>
      <w:rPr>
        <w:sz w:val="20"/>
        <w:i w:val="false"/>
        <w:b w:val="false"/>
        <w:szCs w:val="20"/>
        <w:rFonts w:ascii="Arial" w:hAnsi="Arial"/>
        <w:color w:val="000000"/>
      </w:rPr>
    </w:lvl>
    <w:lvl w:ilvl="2">
      <w:start w:val="1"/>
      <w:numFmt w:val="decimal"/>
      <w:lvlText w:val="%1.%2.%3."/>
      <w:lvlJc w:val="left"/>
      <w:pPr>
        <w:tabs>
          <w:tab w:val="num" w:pos="0"/>
        </w:tabs>
        <w:ind w:left="1224" w:hanging="504"/>
      </w:pPr>
      <w:rPr>
        <w:sz w:val="20"/>
        <w:b w:val="false"/>
        <w:szCs w:val="20"/>
        <w:rFonts w:ascii="Arial" w:hAnsi="Arial"/>
        <w:color w:val="000000"/>
      </w:rPr>
    </w:lvl>
    <w:lvl w:ilvl="3">
      <w:start w:val="1"/>
      <w:numFmt w:val="none"/>
      <w:suff w:val="nothing"/>
      <w:lvlText w:val="10.33.%1."/>
      <w:lvlJc w:val="left"/>
      <w:pPr>
        <w:tabs>
          <w:tab w:val="num" w:pos="0"/>
        </w:tabs>
        <w:ind w:left="1728" w:hanging="647"/>
      </w:pPr>
      <w:rPr>
        <w:sz w:val="24"/>
        <w:b/>
        <w:szCs w:val="20"/>
        <w:rFonts w:ascii="Arial" w:hAnsi="Arial" w:eastAsia="SimSun" w:cs="SimSun"/>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decimal"/>
      <w:lvlText w:val="12.34.%1."/>
      <w:lvlJc w:val="left"/>
      <w:pPr>
        <w:tabs>
          <w:tab w:val="num" w:pos="0"/>
        </w:tabs>
        <w:ind w:left="360" w:hanging="360"/>
      </w:pPr>
      <w:rPr>
        <w:sz w:val="24"/>
        <w:b/>
        <w:szCs w:val="20"/>
        <w:rFonts w:ascii="Calibri" w:hAnsi="Calibri" w:eastAsia="SimSun" w:cs="SimSun"/>
      </w:rPr>
    </w:lvl>
    <w:lvl w:ilvl="1">
      <w:start w:val="1"/>
      <w:numFmt w:val="decimal"/>
      <w:lvlText w:val="%1.%2."/>
      <w:lvlJc w:val="left"/>
      <w:pPr>
        <w:tabs>
          <w:tab w:val="num" w:pos="0"/>
        </w:tabs>
        <w:ind w:left="432" w:hanging="432"/>
      </w:pPr>
      <w:rPr>
        <w:sz w:val="20"/>
        <w:i w:val="false"/>
        <w:b w:val="false"/>
        <w:szCs w:val="20"/>
        <w:rFonts w:ascii="Arial" w:hAnsi="Arial"/>
        <w:color w:val="000000"/>
      </w:rPr>
    </w:lvl>
    <w:lvl w:ilvl="2">
      <w:start w:val="1"/>
      <w:numFmt w:val="none"/>
      <w:suff w:val="nothing"/>
      <w:lvlText w:val="10.34.%1."/>
      <w:lvlJc w:val="left"/>
      <w:pPr>
        <w:tabs>
          <w:tab w:val="num" w:pos="0"/>
        </w:tabs>
        <w:ind w:left="1224" w:hanging="504"/>
      </w:pPr>
      <w:rPr>
        <w:sz w:val="20"/>
        <w:b w:val="false"/>
        <w:szCs w:val="20"/>
        <w:rFonts w:ascii="SimSun" w:hAnsi="SimSun" w:eastAsia="SimSun" w:cs="SimSun"/>
        <w:color w:val="000000"/>
      </w:rPr>
    </w:lvl>
    <w:lvl w:ilvl="3">
      <w:start w:val="1"/>
      <w:numFmt w:val="decimal"/>
      <w:lvlText w:val="%1.%2.%3.%4."/>
      <w:lvlJc w:val="left"/>
      <w:pPr>
        <w:tabs>
          <w:tab w:val="num" w:pos="0"/>
        </w:tabs>
        <w:ind w:left="1728" w:hanging="647"/>
      </w:pPr>
      <w:rPr>
        <w:sz w:val="20"/>
        <w:b/>
        <w:szCs w:val="20"/>
        <w:rFonts w:ascii="Arial" w:hAnsi="Arial"/>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decimal"/>
      <w:lvlText w:val="12.35.%1."/>
      <w:lvlJc w:val="left"/>
      <w:pPr>
        <w:tabs>
          <w:tab w:val="num" w:pos="0"/>
        </w:tabs>
        <w:ind w:left="360" w:hanging="360"/>
      </w:pPr>
      <w:rPr>
        <w:sz w:val="24"/>
        <w:b/>
        <w:szCs w:val="20"/>
        <w:rFonts w:ascii="Calibri" w:hAnsi="Calibri" w:eastAsia="SimSun" w:cs="SimSun"/>
      </w:rPr>
    </w:lvl>
    <w:lvl w:ilvl="1">
      <w:start w:val="1"/>
      <w:numFmt w:val="decimal"/>
      <w:lvlText w:val="%1.%2."/>
      <w:lvlJc w:val="left"/>
      <w:pPr>
        <w:tabs>
          <w:tab w:val="num" w:pos="0"/>
        </w:tabs>
        <w:ind w:left="432" w:hanging="432"/>
      </w:pPr>
      <w:rPr>
        <w:sz w:val="20"/>
        <w:i w:val="false"/>
        <w:b w:val="false"/>
        <w:szCs w:val="20"/>
        <w:rFonts w:ascii="Arial" w:hAnsi="Arial"/>
        <w:color w:val="000000"/>
      </w:rPr>
    </w:lvl>
    <w:lvl w:ilvl="2">
      <w:start w:val="1"/>
      <w:numFmt w:val="none"/>
      <w:suff w:val="nothing"/>
      <w:lvlText w:val="%1."/>
      <w:lvlJc w:val="left"/>
      <w:pPr>
        <w:tabs>
          <w:tab w:val="num" w:pos="0"/>
        </w:tabs>
        <w:ind w:left="1224" w:hanging="504"/>
      </w:pPr>
      <w:rPr>
        <w:sz w:val="20"/>
        <w:b w:val="false"/>
        <w:szCs w:val="20"/>
        <w:rFonts w:ascii="SimSun" w:hAnsi="SimSun" w:eastAsia="SimSun" w:cs="SimSun"/>
        <w:color w:val="000000"/>
      </w:rPr>
    </w:lvl>
    <w:lvl w:ilvl="3">
      <w:start w:val="1"/>
      <w:numFmt w:val="decimal"/>
      <w:lvlText w:val="%1.%2.%3.%4."/>
      <w:lvlJc w:val="left"/>
      <w:pPr>
        <w:tabs>
          <w:tab w:val="num" w:pos="0"/>
        </w:tabs>
        <w:ind w:left="1728" w:hanging="647"/>
      </w:pPr>
      <w:rPr>
        <w:sz w:val="20"/>
        <w:b/>
        <w:szCs w:val="20"/>
        <w:rFonts w:ascii="Arial" w:hAnsi="Arial"/>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lsdException w:name="heading 2" w:uiPriority="0" w:semiHidden="0" w:unhideWhenUsed="0"/>
    <w:lsdException w:name="heading 3" w:uiPriority="0" w:semiHidden="0" w:unhideWhenUsed="0"/>
    <w:lsdException w:name="heading 4" w:uiPriority="0" w:semiHidden="0" w:unhideWhenUsed="0"/>
    <w:lsdException w:name="heading 5" w:uiPriority="0" w:semiHidden="0" w:unhideWhenUsed="0"/>
    <w:lsdException w:name="heading 6" w:uiPriority="0" w:semiHidden="0" w:unhideWhenUsed="0"/>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qFormat="1"/>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0" w:semiHidden="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0" w:semiHidden="0"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semiHidden="0" w:unhideWhenUsed="0"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st Paragraph" w:uiPriority="34" w:semiHidden="0" w:unhideWhenUsed="0" w:qFormat="1"/>
  </w:latentStyles>
  <w:style w:type="paragraph" w:styleId="Normal" w:default="1">
    <w:name w:val="Normal"/>
    <w:uiPriority w:val="0"/>
    <w:qFormat/>
    <w:pPr>
      <w:widowControl/>
      <w:suppressAutoHyphens w:val="true"/>
      <w:bidi w:val="0"/>
      <w:spacing w:before="0" w:after="0"/>
      <w:jc w:val="left"/>
    </w:pPr>
    <w:rPr>
      <w:rFonts w:ascii="Ecofont_Spranq_eco_Sans" w:hAnsi="Ecofont_Spranq_eco_Sans" w:eastAsia="Ecofont_Spranq_eco_Sans" w:cs="Ecofont_Spranq_eco_Sans"/>
      <w:color w:val="auto"/>
      <w:kern w:val="0"/>
      <w:sz w:val="24"/>
      <w:szCs w:val="24"/>
      <w:lang w:val="pt-BR" w:eastAsia="pt-BR" w:bidi="ar-SA"/>
    </w:rPr>
  </w:style>
  <w:style w:type="character" w:styleId="DefaultParagraphFont" w:default="1">
    <w:name w:val="Default Paragraph Font"/>
    <w:uiPriority w:val="1"/>
    <w:semiHidden/>
    <w:unhideWhenUsed/>
    <w:qFormat/>
    <w:rPr/>
  </w:style>
  <w:style w:type="character" w:styleId="Hyperlink" w:customStyle="1">
    <w:name w:val="Hyperlink"/>
    <w:uiPriority w:val="0"/>
    <w:qFormat/>
    <w:rPr>
      <w:color w:val="000080"/>
      <w:u w:val="single"/>
      <w:lang w:val="zh-CN" w:eastAsia="zh-CN" w:bidi="zh-CN"/>
    </w:rPr>
  </w:style>
  <w:style w:type="character" w:styleId="TextodebaloChar" w:customStyle="1">
    <w:name w:val="Texto de balão Char"/>
    <w:basedOn w:val="DefaultParagraphFont"/>
    <w:link w:val="BalloonText"/>
    <w:uiPriority w:val="99"/>
    <w:semiHidden/>
    <w:qFormat/>
    <w:rPr>
      <w:rFonts w:ascii="Tahoma" w:hAnsi="Tahoma" w:eastAsia="Ecofont_Spranq_eco_Sans" w:cs="Tahoma"/>
      <w:sz w:val="16"/>
      <w:szCs w:val="16"/>
    </w:rPr>
  </w:style>
  <w:style w:type="character" w:styleId="lrzxr" w:customStyle="1">
    <w:name w:val="lrzxr"/>
    <w:basedOn w:val="DefaultParagraphFont"/>
    <w:uiPriority w:val="0"/>
    <w:qFormat/>
    <w:rPr/>
  </w:style>
  <w:style w:type="character" w:styleId="Smbolosdenumerao">
    <w:name w:val="Símbolos de numeração"/>
    <w:qForma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uiPriority w:val="0"/>
    <w:qFormat/>
    <w:pPr>
      <w:suppressLineNumbers/>
    </w:pPr>
    <w:rPr>
      <w:rFonts w:cs="Mangal"/>
    </w:rPr>
  </w:style>
  <w:style w:type="paragraph" w:styleId="NormalWeb">
    <w:name w:val="Normal (Web)"/>
    <w:basedOn w:val="Normal"/>
    <w:uiPriority w:val="99"/>
    <w:qFormat/>
    <w:pPr>
      <w:tabs>
        <w:tab w:val="clear" w:pos="720"/>
        <w:tab w:val="right" w:pos="8640" w:leader="none"/>
      </w:tabs>
      <w:suppressAutoHyphens w:val="true"/>
      <w:spacing w:lineRule="auto" w:line="276" w:before="120" w:after="120"/>
      <w:jc w:val="both"/>
    </w:pPr>
    <w:rPr>
      <w:rFonts w:ascii="Times New Roman" w:hAnsi="Times New Roman" w:eastAsia="Times New Roman" w:cs="Times New Roman"/>
      <w:lang w:eastAsia="ar-SA"/>
    </w:rPr>
  </w:style>
  <w:style w:type="paragraph" w:styleId="CabealhoeRodap">
    <w:name w:val="Cabeçalho e Rodapé"/>
    <w:basedOn w:val="Normal"/>
    <w:qFormat/>
    <w:pPr/>
    <w:rPr/>
  </w:style>
  <w:style w:type="paragraph" w:styleId="Cabealhoerodap1">
    <w:name w:val="Cabeçalho e rodapé1"/>
    <w:basedOn w:val="Normal"/>
    <w:qFormat/>
    <w:pPr/>
    <w:rPr/>
  </w:style>
  <w:style w:type="paragraph" w:styleId="Header">
    <w:name w:val="Header"/>
    <w:basedOn w:val="Normal"/>
    <w:uiPriority w:val="99"/>
    <w:semiHidden/>
    <w:unhideWhenUsed/>
    <w:qFormat/>
    <w:pPr>
      <w:tabs>
        <w:tab w:val="clear" w:pos="720"/>
        <w:tab w:val="center" w:pos="4153" w:leader="none"/>
        <w:tab w:val="right" w:pos="8306" w:leader="none"/>
      </w:tabs>
      <w:snapToGrid w:val="false"/>
    </w:pPr>
    <w:rPr>
      <w:sz w:val="18"/>
      <w:szCs w:val="18"/>
    </w:rPr>
  </w:style>
  <w:style w:type="paragraph" w:styleId="BalloonText">
    <w:name w:val="Balloon Text"/>
    <w:basedOn w:val="Normal"/>
    <w:link w:val="TextodebaloChar"/>
    <w:uiPriority w:val="99"/>
    <w:semiHidden/>
    <w:unhideWhenUsed/>
    <w:qFormat/>
    <w:pPr/>
    <w:rPr>
      <w:rFonts w:ascii="Tahoma" w:hAnsi="Tahoma" w:cs="Tahoma"/>
      <w:sz w:val="16"/>
      <w:szCs w:val="16"/>
    </w:rPr>
  </w:style>
  <w:style w:type="paragraph" w:styleId="Ttulo11" w:customStyle="1">
    <w:name w:val="Título 11"/>
    <w:basedOn w:val="Normal"/>
    <w:uiPriority w:val="0"/>
    <w:qFormat/>
    <w:pPr>
      <w:keepNext w:val="true"/>
      <w:keepLines/>
      <w:spacing w:before="480" w:after="0"/>
      <w:outlineLvl w:val="0"/>
    </w:pPr>
    <w:rPr>
      <w:rFonts w:ascii="Calibri" w:hAnsi="Calibri" w:eastAsia="Calibri" w:cs="Calibri"/>
      <w:b/>
      <w:color w:val="2F5496"/>
      <w:sz w:val="28"/>
      <w:szCs w:val="28"/>
    </w:rPr>
  </w:style>
  <w:style w:type="paragraph" w:styleId="Ttulo21" w:customStyle="1">
    <w:name w:val="Título 21"/>
    <w:basedOn w:val="Normal"/>
    <w:uiPriority w:val="0"/>
    <w:qFormat/>
    <w:pPr>
      <w:keepNext w:val="true"/>
      <w:tabs>
        <w:tab w:val="clear" w:pos="720"/>
        <w:tab w:val="left" w:pos="1701" w:leader="none"/>
      </w:tabs>
      <w:jc w:val="center"/>
      <w:outlineLvl w:val="1"/>
    </w:pPr>
    <w:rPr>
      <w:rFonts w:ascii="Times New Roman" w:hAnsi="Times New Roman" w:eastAsia="Times New Roman" w:cs="Times New Roman"/>
      <w:b/>
      <w:color w:val="000000"/>
    </w:rPr>
  </w:style>
  <w:style w:type="paragraph" w:styleId="Ttulo31" w:customStyle="1">
    <w:name w:val="Título 31"/>
    <w:basedOn w:val="Normal"/>
    <w:uiPriority w:val="0"/>
    <w:qFormat/>
    <w:pPr>
      <w:keepNext w:val="true"/>
      <w:keepLines/>
      <w:spacing w:before="40" w:after="0"/>
      <w:outlineLvl w:val="2"/>
    </w:pPr>
    <w:rPr>
      <w:rFonts w:ascii="Calibri" w:hAnsi="Calibri" w:eastAsia="Calibri" w:cs="Calibri"/>
      <w:color w:val="1F3863"/>
    </w:rPr>
  </w:style>
  <w:style w:type="paragraph" w:styleId="Ttulo41" w:customStyle="1">
    <w:name w:val="Título 41"/>
    <w:basedOn w:val="Normal"/>
    <w:uiPriority w:val="0"/>
    <w:qFormat/>
    <w:pPr>
      <w:keepNext w:val="true"/>
      <w:keepLines/>
      <w:spacing w:before="240" w:after="40"/>
      <w:outlineLvl w:val="3"/>
    </w:pPr>
    <w:rPr>
      <w:b/>
    </w:rPr>
  </w:style>
  <w:style w:type="paragraph" w:styleId="Ttulo51" w:customStyle="1">
    <w:name w:val="Título 51"/>
    <w:basedOn w:val="Normal"/>
    <w:uiPriority w:val="0"/>
    <w:qFormat/>
    <w:pPr>
      <w:keepNext w:val="true"/>
      <w:keepLines/>
      <w:spacing w:before="220" w:after="40"/>
      <w:outlineLvl w:val="4"/>
    </w:pPr>
    <w:rPr>
      <w:b/>
      <w:sz w:val="22"/>
      <w:szCs w:val="22"/>
    </w:rPr>
  </w:style>
  <w:style w:type="paragraph" w:styleId="Ttulo61" w:customStyle="1">
    <w:name w:val="Título 61"/>
    <w:basedOn w:val="Normal"/>
    <w:uiPriority w:val="0"/>
    <w:qFormat/>
    <w:pPr>
      <w:keepNext w:val="true"/>
      <w:keepLines/>
      <w:spacing w:before="200" w:after="40"/>
      <w:outlineLvl w:val="5"/>
    </w:pPr>
    <w:rPr>
      <w:b/>
      <w:sz w:val="20"/>
      <w:szCs w:val="20"/>
    </w:rPr>
  </w:style>
  <w:style w:type="paragraph" w:styleId="Ttulo1" w:customStyle="1">
    <w:name w:val="Título1"/>
    <w:basedOn w:val="Normal"/>
    <w:next w:val="Corpodetexto1"/>
    <w:uiPriority w:val="0"/>
    <w:qFormat/>
    <w:pPr>
      <w:keepNext w:val="true"/>
      <w:spacing w:before="240" w:after="120"/>
    </w:pPr>
    <w:rPr>
      <w:rFonts w:ascii="Liberation Sans" w:hAnsi="Liberation Sans" w:eastAsia="Microsoft YaHei" w:cs="Mangal"/>
      <w:sz w:val="28"/>
      <w:szCs w:val="28"/>
    </w:rPr>
  </w:style>
  <w:style w:type="paragraph" w:styleId="Corpodetexto1" w:customStyle="1">
    <w:name w:val="Corpo de texto1"/>
    <w:basedOn w:val="Normal"/>
    <w:uiPriority w:val="0"/>
    <w:qFormat/>
    <w:pPr>
      <w:spacing w:lineRule="auto" w:line="288" w:before="0" w:after="140"/>
    </w:pPr>
    <w:rPr/>
  </w:style>
  <w:style w:type="paragraph" w:styleId="Lista1" w:customStyle="1">
    <w:name w:val="Lista1"/>
    <w:basedOn w:val="Corpodetexto1"/>
    <w:uiPriority w:val="0"/>
    <w:qFormat/>
    <w:pPr/>
    <w:rPr>
      <w:rFonts w:cs="Mangal"/>
    </w:rPr>
  </w:style>
  <w:style w:type="paragraph" w:styleId="Legenda1" w:customStyle="1">
    <w:name w:val="Legenda1"/>
    <w:basedOn w:val="Normal"/>
    <w:uiPriority w:val="0"/>
    <w:qFormat/>
    <w:pPr>
      <w:suppressLineNumbers/>
      <w:spacing w:before="120" w:after="120"/>
    </w:pPr>
    <w:rPr>
      <w:rFonts w:cs="Mangal"/>
      <w:i/>
      <w:iCs/>
    </w:rPr>
  </w:style>
  <w:style w:type="paragraph" w:styleId="Subttulo1" w:customStyle="1">
    <w:name w:val="Subtítulo1"/>
    <w:basedOn w:val="Normal"/>
    <w:uiPriority w:val="0"/>
    <w:qFormat/>
    <w:pPr>
      <w:keepNext w:val="true"/>
      <w:keepLines/>
      <w:spacing w:before="360" w:after="80"/>
    </w:pPr>
    <w:rPr>
      <w:rFonts w:ascii="Georgia" w:hAnsi="Georgia" w:eastAsia="Georgia" w:cs="Georgia"/>
      <w:i/>
      <w:color w:val="666666"/>
      <w:sz w:val="48"/>
      <w:szCs w:val="48"/>
    </w:rPr>
  </w:style>
  <w:style w:type="paragraph" w:styleId="Title" w:customStyle="1">
    <w:name w:val="Title"/>
    <w:basedOn w:val="Normal"/>
    <w:uiPriority w:val="0"/>
    <w:qFormat/>
    <w:pPr>
      <w:keepNext w:val="true"/>
      <w:keepLines/>
      <w:spacing w:before="480" w:after="120"/>
    </w:pPr>
    <w:rPr>
      <w:b/>
      <w:sz w:val="72"/>
      <w:szCs w:val="72"/>
    </w:rPr>
  </w:style>
  <w:style w:type="paragraph" w:styleId="Rodap1" w:customStyle="1">
    <w:name w:val="Rodapé1"/>
    <w:basedOn w:val="Normal"/>
    <w:uiPriority w:val="0"/>
    <w:qFormat/>
    <w:pPr/>
    <w:rPr/>
  </w:style>
  <w:style w:type="paragraph" w:styleId="Standard" w:customStyle="1">
    <w:name w:val="Standard"/>
    <w:uiPriority w:val="0"/>
    <w:qFormat/>
    <w:pPr>
      <w:widowControl/>
      <w:suppressAutoHyphens w:val="true"/>
      <w:bidi w:val="0"/>
      <w:spacing w:lineRule="auto" w:line="276" w:before="0" w:after="200"/>
      <w:jc w:val="left"/>
      <w:textAlignment w:val="baseline"/>
    </w:pPr>
    <w:rPr>
      <w:rFonts w:ascii="Liberation Serif" w:hAnsi="Liberation Serif" w:eastAsia="NSimSun" w:cs="Arial"/>
      <w:color w:val="auto"/>
      <w:kern w:val="2"/>
      <w:sz w:val="24"/>
      <w:szCs w:val="24"/>
      <w:lang w:val="pt-BR" w:eastAsia="zh-CN" w:bidi="hi-IN"/>
    </w:rPr>
  </w:style>
  <w:style w:type="paragraph" w:styleId="Contedodatabela" w:customStyle="1">
    <w:name w:val="Conteúdo da tabela"/>
    <w:basedOn w:val="Normal"/>
    <w:uiPriority w:val="0"/>
    <w:qFormat/>
    <w:pPr>
      <w:keepNext w:val="true"/>
      <w:suppressLineNumbers/>
      <w:shd w:val="clear" w:color="auto" w:fill="FFFFFF"/>
      <w:tabs>
        <w:tab w:val="clear" w:pos="720"/>
        <w:tab w:val="left" w:pos="708" w:leader="none"/>
      </w:tabs>
      <w:suppressAutoHyphens w:val="true"/>
      <w:textAlignment w:val="baseline"/>
    </w:pPr>
    <w:rPr>
      <w:rFonts w:cs="Tahoma"/>
      <w:color w:val="00000A"/>
    </w:rPr>
  </w:style>
  <w:style w:type="paragraph" w:styleId="ListParagraph">
    <w:name w:val="List Paragraph"/>
    <w:basedOn w:val="Normal"/>
    <w:uiPriority w:val="34"/>
    <w:qFormat/>
    <w:pPr>
      <w:ind w:left="708"/>
    </w:pPr>
    <w:rPr/>
  </w:style>
  <w:style w:type="paragraph" w:styleId="Footer">
    <w:name w:val="Footer"/>
    <w:basedOn w:val="CabealhoeRodap"/>
    <w:pPr/>
    <w:rPr/>
  </w:style>
  <w:style w:type="table" w:default="1" w:styleId="3">
    <w:name w:val="Normal Table"/>
    <w:uiPriority w:val="99"/>
    <w:semiHidden/>
    <w:unhideWhenUsed/>
    <w:tblPr>
      <w:tblCellMar>
        <w:top w:w="0" w:type="dxa"/>
        <w:left w:w="108" w:type="dxa"/>
        <w:bottom w:w="0" w:type="dxa"/>
        <w:right w:w="108" w:type="dxa"/>
      </w:tblCellMar>
    </w:tblPr>
  </w:style>
  <w:style w:type="table" w:customStyle="1" w:styleId="32">
    <w:name w:val="Table Normal1"/>
    <w:uiPriority w:val="0"/>
    <w:qFormat/>
    <w:tblPr>
      <w:tblCellMar>
        <w:top w:w="0" w:type="dxa"/>
        <w:left w:w="0" w:type="dxa"/>
        <w:bottom w:w="0" w:type="dxa"/>
        <w:right w:w="0" w:type="dxa"/>
      </w:tblCellMar>
    </w:tblPr>
  </w:style>
  <w:style w:type="table" w:customStyle="1" w:styleId="33">
    <w:name w:val="_Style 12"/>
    <w:basedOn w:val="32"/>
    <w:uiPriority w:val="0"/>
    <w:qFormat/>
    <w:tblPr>
      <w:tblCellMar>
        <w:top w:w="75" w:type="dxa"/>
        <w:left w:w="75" w:type="dxa"/>
        <w:bottom w:w="75" w:type="dxa"/>
        <w:right w:w="75" w:type="dxa"/>
      </w:tblCellMar>
    </w:tblPr>
  </w:style>
  <w:style w:type="table" w:customStyle="1" w:styleId="34">
    <w:name w:val="_Style 13"/>
    <w:basedOn w:val="32"/>
    <w:uiPriority w:val="0"/>
    <w:qFormat/>
    <w:tblPr>
      <w:tblCellMar>
        <w:top w:w="75" w:type="dxa"/>
        <w:left w:w="75" w:type="dxa"/>
        <w:bottom w:w="75" w:type="dxa"/>
        <w:right w:w="75" w:type="dxa"/>
      </w:tblCellMar>
    </w:tblPr>
  </w:style>
  <w:style w:type="table" w:customStyle="1" w:styleId="35">
    <w:name w:val="_Style 14"/>
    <w:basedOn w:val="32"/>
    <w:uiPriority w:val="0"/>
    <w:qFormat/>
    <w:tblPr>
      <w:tblCellMar>
        <w:top w:w="75" w:type="dxa"/>
        <w:left w:w="75" w:type="dxa"/>
        <w:bottom w:w="75" w:type="dxa"/>
        <w:right w:w="75" w:type="dxa"/>
      </w:tblCellMar>
    </w:tblPr>
  </w:style>
  <w:style w:type="table" w:customStyle="1" w:styleId="36">
    <w:name w:val="_Style 15"/>
    <w:basedOn w:val="32"/>
    <w:uiPriority w:val="0"/>
    <w:qFormat/>
    <w:tblPr>
      <w:tblCellMar>
        <w:top w:w="75" w:type="dxa"/>
        <w:left w:w="75" w:type="dxa"/>
        <w:bottom w:w="75" w:type="dxa"/>
        <w:right w:w="7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298</TotalTime>
  <Application>LibreOffice/24.2.7.2$Windows_X86_64 LibreOffice_project/ee3885777aa7032db5a9b65deec9457448a91162</Application>
  <AppVersion>15.0000</AppVersion>
  <Pages>12</Pages>
  <Words>5900</Words>
  <Characters>33637</Characters>
  <CharactersWithSpaces>39247</CharactersWithSpaces>
  <Paragraphs>203</Paragraphs>
  <Company>Eaton Corp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2021-04-20T11:22:00Z</dcterms:created>
  <dc:creator>Marcos Guimaraes</dc:creator>
  <dc:description/>
  <dc:language>pt-BR</dc:language>
  <cp:lastModifiedBy/>
  <dcterms:modified xsi:type="dcterms:W3CDTF">2025-08-12T15:53:57Z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65D2996A009446628BA4CB3508AAE582</vt:lpwstr>
  </property>
  <property fmtid="{D5CDD505-2E9C-101B-9397-08002B2CF9AE}" pid="3" name="KSOProductBuildVer">
    <vt:lpwstr>1046-12.2.0.17119</vt:lpwstr>
  </property>
  <property fmtid="{D5CDD505-2E9C-101B-9397-08002B2CF9AE}" pid="4" name="LinksUpToDate">
    <vt:bool>0</vt:bool>
  </property>
  <property fmtid="{D5CDD505-2E9C-101B-9397-08002B2CF9AE}" pid="5" name="ScaleCrop">
    <vt:bool>0</vt:bool>
  </property>
</Properties>
</file>