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and Why Spring Boot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Spring boot automatically done the 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Starter dependencies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Explore the main class annotation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Explore the component scan annotation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application.properties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Explore the ResponseEntity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Explore the Service annotation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Explore the different types of request with postman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Explore the Logger and logging levels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Profiles in Spring boot application and some terminal commands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Spring Boot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Rapid Development: Spring Boot provides a streamlined and efficient way to develop Java-based applications. It comes with sensible defaults and auto-configuration, reducing the amount of boilerplate code needed to set up a project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Simplified Configuration: Spring Boot reduces the complexity of configuring your application by providing a set of default configurations. It also offers externalized configuration options, allowing you to easily customize settings without modifying code.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Embedded Server: Spring Boot includes an embedded servlet container (Tomcat, Jetty, or Undertow), eliminating the need to deploy your application to a separate server. This simplifies deployment and makes it easier to run your application locally for testing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Microservices Support: Spring Boot is well-suited for building microservices architectures. It provides features like RESTful web services support, easy integration with other Spring projects (e.g., Spring Cloud), and built-in support for service discovery, making it an ideal choice for developing microservices-based applications.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Production-Ready Features: Spring Boot includes several production-ready features out of the box, such as metrics, health checks, and monitoring. This helps you build applications that are reliable, scalable, and easy to manage in a production environment.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Externalized Configuration: Spring Boot allows externalizing configuration, enabling developers to configure their applications using properties files, YAML files, environment variables, or command-line arguments. This makes it easier to manage configurations across different environments without modifying the codebase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Spring Boot Starters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Spring Boot starters are a set of pre-configured dependencies that are commonly used together to accelerate the development of specific types of applications. They help streamline the dependency management process and provide a cohesive set of libraries for common tasks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Spring-boot-starter-web, spring-boot-starter-data-jpa, spring-boot-starter-test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LOGGING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Benefits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Logging Levels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Performance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Customization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Custom Layout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LOGGING Levels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ALL &gt; TRACE &gt; DEBUGG &gt; INFO &gt; WARN &gt; ERROR &gt; FATAL &gt; OFF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