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97E5" w14:textId="77777777" w:rsidR="00871460" w:rsidRPr="00871460" w:rsidRDefault="00871460" w:rsidP="00871460">
      <w:pPr>
        <w:widowControl w:val="0"/>
        <w:spacing w:after="0" w:line="240" w:lineRule="auto"/>
        <w:jc w:val="center"/>
        <w:rPr>
          <w:rFonts w:eastAsia="宋体" w:cs="Times New Roman"/>
          <w:b/>
          <w:bCs/>
          <w:kern w:val="2"/>
          <w:sz w:val="28"/>
          <w:szCs w:val="28"/>
          <w:lang w:eastAsia="zh-CN"/>
        </w:rPr>
      </w:pPr>
      <w:r w:rsidRPr="00871460">
        <w:rPr>
          <w:rFonts w:eastAsia="宋体" w:cs="Times New Roman"/>
          <w:b/>
          <w:bCs/>
          <w:kern w:val="2"/>
          <w:sz w:val="28"/>
          <w:szCs w:val="28"/>
          <w:lang w:eastAsia="zh-CN"/>
        </w:rPr>
        <w:t>Cover Letter for ISTAI 2026 Submission</w:t>
      </w:r>
    </w:p>
    <w:p w14:paraId="73A217FB" w14:textId="1350F5E8" w:rsidR="00871460" w:rsidRPr="00871460" w:rsidRDefault="00871460" w:rsidP="00871460">
      <w:pPr>
        <w:widowControl w:val="0"/>
        <w:spacing w:after="0" w:line="240" w:lineRule="auto"/>
        <w:jc w:val="both"/>
        <w:rPr>
          <w:rFonts w:eastAsia="宋体" w:cs="Times New Roman"/>
          <w:kern w:val="2"/>
          <w:sz w:val="24"/>
          <w:szCs w:val="24"/>
          <w:lang w:eastAsia="zh-CN"/>
        </w:rPr>
      </w:pPr>
      <w:r>
        <w:rPr>
          <w:rFonts w:eastAsia="宋体" w:cs="Times New Roman" w:hint="eastAsia"/>
          <w:kern w:val="2"/>
          <w:sz w:val="24"/>
          <w:szCs w:val="24"/>
          <w:lang w:eastAsia="zh-CN"/>
        </w:rPr>
        <w:t>S</w:t>
      </w:r>
      <w:r>
        <w:rPr>
          <w:rFonts w:eastAsia="宋体" w:cs="Times New Roman"/>
          <w:kern w:val="2"/>
          <w:sz w:val="24"/>
          <w:szCs w:val="24"/>
          <w:lang w:eastAsia="zh-CN"/>
        </w:rPr>
        <w:t>un</w:t>
      </w:r>
      <w:r w:rsidR="00F42CDD">
        <w:rPr>
          <w:rFonts w:eastAsia="宋体" w:cs="Times New Roman" w:hint="eastAsia"/>
          <w:kern w:val="2"/>
          <w:sz w:val="24"/>
          <w:szCs w:val="24"/>
          <w:lang w:eastAsia="zh-CN"/>
        </w:rPr>
        <w:t xml:space="preserve"> </w:t>
      </w:r>
      <w:proofErr w:type="spellStart"/>
      <w:r>
        <w:rPr>
          <w:rFonts w:eastAsia="宋体" w:cs="Times New Roman" w:hint="eastAsia"/>
          <w:kern w:val="2"/>
          <w:sz w:val="24"/>
          <w:szCs w:val="24"/>
          <w:lang w:eastAsia="zh-CN"/>
        </w:rPr>
        <w:t>Qihang</w:t>
      </w:r>
      <w:proofErr w:type="spellEnd"/>
    </w:p>
    <w:p w14:paraId="2C7EE5F4"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Beijing University of Posts and Telecommunications</w:t>
      </w:r>
    </w:p>
    <w:p w14:paraId="1B489F87" w14:textId="3896D7C1"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qhsun@bupt.edu.cn</w:t>
      </w:r>
    </w:p>
    <w:p w14:paraId="4C1CC85F" w14:textId="7D48F3F2" w:rsidR="00871460" w:rsidRPr="00871460" w:rsidRDefault="00871460" w:rsidP="00871460">
      <w:pPr>
        <w:widowControl w:val="0"/>
        <w:spacing w:after="0" w:line="240" w:lineRule="auto"/>
        <w:jc w:val="both"/>
        <w:rPr>
          <w:rFonts w:eastAsia="宋体" w:cs="Times New Roman"/>
          <w:kern w:val="2"/>
          <w:sz w:val="24"/>
          <w:szCs w:val="24"/>
          <w:lang w:eastAsia="zh-CN"/>
        </w:rPr>
      </w:pPr>
      <w:r>
        <w:rPr>
          <w:rFonts w:eastAsia="宋体" w:cs="Times New Roman" w:hint="eastAsia"/>
          <w:kern w:val="2"/>
          <w:sz w:val="24"/>
          <w:szCs w:val="24"/>
          <w:lang w:eastAsia="zh-CN"/>
        </w:rPr>
        <w:t>18299327156</w:t>
      </w:r>
    </w:p>
    <w:p w14:paraId="69C1DDDA" w14:textId="42C62108" w:rsid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2026.</w:t>
      </w:r>
      <w:r>
        <w:rPr>
          <w:rFonts w:eastAsia="宋体" w:cs="Times New Roman" w:hint="eastAsia"/>
          <w:kern w:val="2"/>
          <w:sz w:val="24"/>
          <w:szCs w:val="24"/>
          <w:lang w:eastAsia="zh-CN"/>
        </w:rPr>
        <w:t>5.13</w:t>
      </w:r>
    </w:p>
    <w:p w14:paraId="580CD527"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p>
    <w:p w14:paraId="4D68EA82"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Dear Honorable Program Committee Members,</w:t>
      </w:r>
    </w:p>
    <w:p w14:paraId="4CF94FCC"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p>
    <w:p w14:paraId="13772565"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 xml:space="preserve">We are pleased to submit our original research paper entitled "A Sparse Bayesian Learning Approach to Multi-Component Jitter Decomposition" for consideration of presentation and publication at </w:t>
      </w:r>
      <w:proofErr w:type="gramStart"/>
      <w:r w:rsidRPr="00871460">
        <w:rPr>
          <w:rFonts w:eastAsia="宋体" w:cs="Times New Roman"/>
          <w:kern w:val="2"/>
          <w:sz w:val="24"/>
          <w:szCs w:val="24"/>
          <w:lang w:eastAsia="zh-CN"/>
        </w:rPr>
        <w:t>The</w:t>
      </w:r>
      <w:proofErr w:type="gramEnd"/>
      <w:r w:rsidRPr="00871460">
        <w:rPr>
          <w:rFonts w:eastAsia="宋体" w:cs="Times New Roman"/>
          <w:kern w:val="2"/>
          <w:sz w:val="24"/>
          <w:szCs w:val="24"/>
          <w:lang w:eastAsia="zh-CN"/>
        </w:rPr>
        <w:t xml:space="preserve"> 11th International Symposium on Test Automation &amp; Instrumentation (ISTAI 2026).</w:t>
      </w:r>
    </w:p>
    <w:p w14:paraId="5CE256D3"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p>
    <w:p w14:paraId="7229D343"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 xml:space="preserve">This paper focuses on accurate jitter decomposition from time interval error (TIE) sequences, which is critical for signal integrity evaluation in high-speed digital communication. Existing frequency-domain methods rely on FFT-based peak finding to identify periodic jitter (PJ) frequencies. However, the non-uniform edge distribution of PRBS signals violates the uniform sampling assumption of FFT, leading to systematic frequency estimation offsets that propagate through the least-squares fitting process and degrade the accuracy of all jitter components. To address this issue, we propose a sparse Bayesian learning (SBL) approach that replaces the single-frequency column with a redundant frequency dictionary, and employs the automatic relevance determination (ARD) mechanism to directly select active PJ frequencies without requiring prior frequency knowledge. Simulation results on PRBS-7 sequences at 2 Gbps demonstrate that the proposed method restricts PJ estimation error to within 0.5 </w:t>
      </w:r>
      <w:proofErr w:type="spellStart"/>
      <w:r w:rsidRPr="00871460">
        <w:rPr>
          <w:rFonts w:eastAsia="宋体" w:cs="Times New Roman"/>
          <w:kern w:val="2"/>
          <w:sz w:val="24"/>
          <w:szCs w:val="24"/>
          <w:lang w:eastAsia="zh-CN"/>
        </w:rPr>
        <w:t>ps</w:t>
      </w:r>
      <w:proofErr w:type="spellEnd"/>
      <w:r w:rsidRPr="00871460">
        <w:rPr>
          <w:rFonts w:eastAsia="宋体" w:cs="Times New Roman"/>
          <w:kern w:val="2"/>
          <w:sz w:val="24"/>
          <w:szCs w:val="24"/>
          <w:lang w:eastAsia="zh-CN"/>
        </w:rPr>
        <w:t xml:space="preserve"> across 100 kHz–15 MHz, substantially outperforming the baseline.</w:t>
      </w:r>
    </w:p>
    <w:p w14:paraId="499A9FC9"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p>
    <w:p w14:paraId="4BF0B1F8"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The topic of this paper is highly relevant to the scope of ISTAI, particularly in the areas of test automation, signal processing, instrumentation measurement, and high-speed system testing. We confirm that this work is original, has not been published elsewhere, and is not under review for any other conference or journal. All authors have approved the submission and agree to the publication terms of ISTAI 2026.</w:t>
      </w:r>
    </w:p>
    <w:p w14:paraId="6BE849AA"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p>
    <w:p w14:paraId="495EDF0A" w14:textId="7F9BCBF1"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Thank you very much for your time and consideration. We look forward to your positive feedback and the opportunity to present this work at ISTAI 2026.</w:t>
      </w:r>
    </w:p>
    <w:p w14:paraId="579F6C35"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p>
    <w:p w14:paraId="1A070479" w14:textId="77777777" w:rsidR="00871460" w:rsidRPr="00871460" w:rsidRDefault="00871460" w:rsidP="00871460">
      <w:pPr>
        <w:widowControl w:val="0"/>
        <w:spacing w:after="0" w:line="240" w:lineRule="auto"/>
        <w:jc w:val="both"/>
        <w:rPr>
          <w:rFonts w:eastAsia="宋体" w:cs="Times New Roman"/>
          <w:kern w:val="2"/>
          <w:sz w:val="24"/>
          <w:szCs w:val="24"/>
          <w:lang w:eastAsia="zh-CN"/>
        </w:rPr>
      </w:pPr>
      <w:r w:rsidRPr="00871460">
        <w:rPr>
          <w:rFonts w:eastAsia="宋体" w:cs="Times New Roman"/>
          <w:kern w:val="2"/>
          <w:sz w:val="24"/>
          <w:szCs w:val="24"/>
          <w:lang w:eastAsia="zh-CN"/>
        </w:rPr>
        <w:t>Sincerely,</w:t>
      </w:r>
    </w:p>
    <w:p w14:paraId="1A4359EB" w14:textId="4DA9BD04" w:rsidR="00871460" w:rsidRPr="00871460" w:rsidRDefault="00871460" w:rsidP="00871460">
      <w:pPr>
        <w:widowControl w:val="0"/>
        <w:spacing w:after="0" w:line="240" w:lineRule="auto"/>
        <w:jc w:val="both"/>
        <w:rPr>
          <w:rFonts w:eastAsia="宋体" w:cs="Times New Roman"/>
          <w:kern w:val="2"/>
          <w:sz w:val="24"/>
          <w:szCs w:val="24"/>
          <w:lang w:eastAsia="zh-CN"/>
        </w:rPr>
      </w:pPr>
      <w:proofErr w:type="spellStart"/>
      <w:r w:rsidRPr="00871460">
        <w:rPr>
          <w:rFonts w:eastAsia="宋体" w:cs="Times New Roman"/>
          <w:kern w:val="2"/>
          <w:sz w:val="24"/>
          <w:szCs w:val="24"/>
          <w:lang w:eastAsia="zh-CN"/>
        </w:rPr>
        <w:t>SunQihang</w:t>
      </w:r>
      <w:proofErr w:type="spellEnd"/>
      <w:r w:rsidRPr="00871460">
        <w:rPr>
          <w:rFonts w:eastAsia="宋体" w:cs="Times New Roman"/>
          <w:kern w:val="2"/>
          <w:sz w:val="24"/>
          <w:szCs w:val="24"/>
          <w:lang w:eastAsia="zh-CN"/>
        </w:rPr>
        <w:t>,</w:t>
      </w:r>
      <w:r>
        <w:rPr>
          <w:rFonts w:eastAsia="宋体" w:cs="Times New Roman" w:hint="eastAsia"/>
          <w:kern w:val="2"/>
          <w:sz w:val="24"/>
          <w:szCs w:val="24"/>
          <w:lang w:eastAsia="zh-CN"/>
        </w:rPr>
        <w:t xml:space="preserve"> </w:t>
      </w:r>
      <w:proofErr w:type="spellStart"/>
      <w:r w:rsidR="000E2714" w:rsidRPr="00871460">
        <w:rPr>
          <w:rFonts w:eastAsia="宋体" w:cs="Times New Roman"/>
          <w:kern w:val="2"/>
          <w:sz w:val="24"/>
          <w:szCs w:val="24"/>
          <w:lang w:eastAsia="zh-CN"/>
        </w:rPr>
        <w:t>ZhangZhensheng</w:t>
      </w:r>
      <w:proofErr w:type="spellEnd"/>
      <w:r w:rsidR="000E2714" w:rsidRPr="00871460">
        <w:rPr>
          <w:rFonts w:eastAsia="宋体" w:cs="Times New Roman"/>
          <w:kern w:val="2"/>
          <w:sz w:val="24"/>
          <w:szCs w:val="24"/>
          <w:lang w:eastAsia="zh-CN"/>
        </w:rPr>
        <w:t>,</w:t>
      </w:r>
      <w:r w:rsidR="000E2714">
        <w:rPr>
          <w:rFonts w:eastAsia="宋体" w:cs="Times New Roman" w:hint="eastAsia"/>
          <w:kern w:val="2"/>
          <w:sz w:val="24"/>
          <w:szCs w:val="24"/>
          <w:lang w:eastAsia="zh-CN"/>
        </w:rPr>
        <w:t xml:space="preserve"> </w:t>
      </w:r>
      <w:proofErr w:type="spellStart"/>
      <w:r w:rsidR="000E2714" w:rsidRPr="00871460">
        <w:rPr>
          <w:rFonts w:eastAsia="宋体" w:cs="Times New Roman"/>
          <w:kern w:val="2"/>
          <w:sz w:val="24"/>
          <w:szCs w:val="24"/>
          <w:lang w:eastAsia="zh-CN"/>
        </w:rPr>
        <w:t>PengJing</w:t>
      </w:r>
      <w:proofErr w:type="spellEnd"/>
      <w:r w:rsidR="000E2714" w:rsidRPr="00871460">
        <w:rPr>
          <w:rFonts w:eastAsia="宋体" w:cs="Times New Roman"/>
          <w:kern w:val="2"/>
          <w:sz w:val="24"/>
          <w:szCs w:val="24"/>
          <w:lang w:eastAsia="zh-CN"/>
        </w:rPr>
        <w:t>,</w:t>
      </w:r>
      <w:r w:rsidR="000E2714">
        <w:rPr>
          <w:rFonts w:eastAsia="宋体" w:cs="Times New Roman" w:hint="eastAsia"/>
          <w:kern w:val="2"/>
          <w:sz w:val="24"/>
          <w:szCs w:val="24"/>
          <w:lang w:eastAsia="zh-CN"/>
        </w:rPr>
        <w:t xml:space="preserve"> </w:t>
      </w:r>
      <w:proofErr w:type="spellStart"/>
      <w:r w:rsidRPr="00871460">
        <w:rPr>
          <w:rFonts w:eastAsia="宋体" w:cs="Times New Roman"/>
          <w:kern w:val="2"/>
          <w:sz w:val="24"/>
          <w:szCs w:val="24"/>
          <w:lang w:eastAsia="zh-CN"/>
        </w:rPr>
        <w:t>LiZihao</w:t>
      </w:r>
      <w:proofErr w:type="spellEnd"/>
      <w:r w:rsidRPr="00871460">
        <w:rPr>
          <w:rFonts w:eastAsia="宋体" w:cs="Times New Roman"/>
          <w:kern w:val="2"/>
          <w:sz w:val="24"/>
          <w:szCs w:val="24"/>
          <w:lang w:eastAsia="zh-CN"/>
        </w:rPr>
        <w:t xml:space="preserve">, </w:t>
      </w:r>
      <w:proofErr w:type="spellStart"/>
      <w:r w:rsidR="00562B28">
        <w:rPr>
          <w:rFonts w:eastAsia="宋体" w:cs="Times New Roman" w:hint="eastAsia"/>
          <w:kern w:val="2"/>
          <w:sz w:val="24"/>
          <w:szCs w:val="24"/>
          <w:lang w:eastAsia="zh-CN"/>
        </w:rPr>
        <w:t>XuZhengshan</w:t>
      </w:r>
      <w:proofErr w:type="spellEnd"/>
      <w:r w:rsidRPr="00871460">
        <w:rPr>
          <w:rFonts w:eastAsia="宋体" w:cs="Times New Roman"/>
          <w:kern w:val="2"/>
          <w:sz w:val="24"/>
          <w:szCs w:val="24"/>
          <w:lang w:eastAsia="zh-CN"/>
        </w:rPr>
        <w:t>,</w:t>
      </w:r>
      <w:r>
        <w:rPr>
          <w:rFonts w:eastAsia="宋体" w:cs="Times New Roman" w:hint="eastAsia"/>
          <w:kern w:val="2"/>
          <w:sz w:val="24"/>
          <w:szCs w:val="24"/>
          <w:lang w:eastAsia="zh-CN"/>
        </w:rPr>
        <w:t xml:space="preserve"> </w:t>
      </w:r>
      <w:proofErr w:type="spellStart"/>
      <w:r w:rsidRPr="00871460">
        <w:rPr>
          <w:rFonts w:eastAsia="宋体" w:cs="Times New Roman"/>
          <w:kern w:val="2"/>
          <w:sz w:val="24"/>
          <w:szCs w:val="24"/>
          <w:lang w:eastAsia="zh-CN"/>
        </w:rPr>
        <w:t>ZhaoTonggang</w:t>
      </w:r>
      <w:proofErr w:type="spellEnd"/>
      <w:r w:rsidRPr="00871460">
        <w:rPr>
          <w:rFonts w:eastAsia="宋体" w:cs="Times New Roman"/>
          <w:kern w:val="2"/>
          <w:sz w:val="24"/>
          <w:szCs w:val="24"/>
          <w:lang w:eastAsia="zh-CN"/>
        </w:rPr>
        <w:t>*</w:t>
      </w:r>
    </w:p>
    <w:p w14:paraId="42086329" w14:textId="4310E00D" w:rsidR="003021CF" w:rsidRPr="00871460" w:rsidRDefault="003021CF" w:rsidP="00871460">
      <w:pPr>
        <w:widowControl w:val="0"/>
        <w:spacing w:after="0" w:line="240" w:lineRule="auto"/>
        <w:jc w:val="both"/>
        <w:rPr>
          <w:rFonts w:eastAsia="宋体" w:cs="Times New Roman"/>
          <w:kern w:val="2"/>
          <w:sz w:val="24"/>
          <w:szCs w:val="24"/>
          <w:lang w:eastAsia="zh-CN"/>
        </w:rPr>
      </w:pPr>
    </w:p>
    <w:sectPr w:rsidR="003021CF" w:rsidRPr="0087146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448FA" w14:textId="77777777" w:rsidR="006319E7" w:rsidRDefault="006319E7" w:rsidP="00D728E3">
      <w:pPr>
        <w:spacing w:after="0" w:line="240" w:lineRule="auto"/>
      </w:pPr>
      <w:r>
        <w:separator/>
      </w:r>
    </w:p>
  </w:endnote>
  <w:endnote w:type="continuationSeparator" w:id="0">
    <w:p w14:paraId="7E13B07A" w14:textId="77777777" w:rsidR="006319E7" w:rsidRDefault="006319E7" w:rsidP="00D72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B63A4" w14:textId="77777777" w:rsidR="006319E7" w:rsidRDefault="006319E7" w:rsidP="00D728E3">
      <w:pPr>
        <w:spacing w:after="0" w:line="240" w:lineRule="auto"/>
      </w:pPr>
      <w:r>
        <w:separator/>
      </w:r>
    </w:p>
  </w:footnote>
  <w:footnote w:type="continuationSeparator" w:id="0">
    <w:p w14:paraId="188F1BFB" w14:textId="77777777" w:rsidR="006319E7" w:rsidRDefault="006319E7" w:rsidP="00D72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6911867">
    <w:abstractNumId w:val="8"/>
  </w:num>
  <w:num w:numId="2" w16cid:durableId="1641304281">
    <w:abstractNumId w:val="6"/>
  </w:num>
  <w:num w:numId="3" w16cid:durableId="1095594338">
    <w:abstractNumId w:val="5"/>
  </w:num>
  <w:num w:numId="4" w16cid:durableId="1935017141">
    <w:abstractNumId w:val="4"/>
  </w:num>
  <w:num w:numId="5" w16cid:durableId="1546407620">
    <w:abstractNumId w:val="7"/>
  </w:num>
  <w:num w:numId="6" w16cid:durableId="1788309430">
    <w:abstractNumId w:val="3"/>
  </w:num>
  <w:num w:numId="7" w16cid:durableId="1722442512">
    <w:abstractNumId w:val="2"/>
  </w:num>
  <w:num w:numId="8" w16cid:durableId="214199620">
    <w:abstractNumId w:val="1"/>
  </w:num>
  <w:num w:numId="9" w16cid:durableId="49761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14"/>
    <w:rsid w:val="0015074B"/>
    <w:rsid w:val="00200491"/>
    <w:rsid w:val="0029639D"/>
    <w:rsid w:val="003021CF"/>
    <w:rsid w:val="00326F90"/>
    <w:rsid w:val="00562B28"/>
    <w:rsid w:val="006319E7"/>
    <w:rsid w:val="00871460"/>
    <w:rsid w:val="00A43B1C"/>
    <w:rsid w:val="00AA1D8D"/>
    <w:rsid w:val="00B47730"/>
    <w:rsid w:val="00BD032C"/>
    <w:rsid w:val="00CB0664"/>
    <w:rsid w:val="00D728E3"/>
    <w:rsid w:val="00EB4DA5"/>
    <w:rsid w:val="00F42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9FC67A"/>
  <w14:defaultImageDpi w14:val="300"/>
  <w15:docId w15:val="{4F4B8C23-ED56-4BCF-A913-F5AD05E32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Date"/>
    <w:basedOn w:val="a1"/>
    <w:next w:val="a1"/>
    <w:link w:val="affa"/>
    <w:uiPriority w:val="99"/>
    <w:semiHidden/>
    <w:unhideWhenUsed/>
    <w:rsid w:val="00871460"/>
    <w:pPr>
      <w:ind w:leftChars="2500" w:left="100"/>
    </w:pPr>
  </w:style>
  <w:style w:type="character" w:customStyle="1" w:styleId="affa">
    <w:name w:val="日期 字符"/>
    <w:basedOn w:val="a2"/>
    <w:link w:val="aff9"/>
    <w:uiPriority w:val="99"/>
    <w:semiHidden/>
    <w:rsid w:val="00871460"/>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启航 孙</cp:lastModifiedBy>
  <cp:revision>6</cp:revision>
  <dcterms:created xsi:type="dcterms:W3CDTF">2013-12-23T23:15:00Z</dcterms:created>
  <dcterms:modified xsi:type="dcterms:W3CDTF">2026-05-13T07:42:00Z</dcterms:modified>
  <cp:category/>
</cp:coreProperties>
</file>