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058E" w14:textId="73D59CF3"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Response to Reviewers</w:t>
      </w:r>
    </w:p>
    <w:p w14:paraId="0C5DDF3F"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We sincerely thank the reviewers and the editor for their careful reading and constructive comments. We have revised the manuscript substantially in response to all comments. The major revisions include: 1) augmenting the original LS-FFT comparison with a stronger refined frequency-domain baseline, LS-NUDFT, while additionally evaluating parabolic interpolation as a supplementary check; 2) adding a sample-size verification experiment and a brief theoretical explanation for the ISI estimation bias; 3) adding a new multi-PJ experiment section covering five coexisting scenarios; 4) revising the abstract, introduction, experimental discussion, and conclusion to include the new quantitative results; and 5) updating the references with recent journal papers and addressing all editorial-formatting requirements.</w:t>
      </w:r>
    </w:p>
    <w:p w14:paraId="0E5968AC" w14:textId="77777777" w:rsidR="001C4F6C" w:rsidRPr="001C4F6C" w:rsidRDefault="001C4F6C" w:rsidP="001C4F6C">
      <w:pPr>
        <w:rPr>
          <w:rFonts w:ascii="Times New Roman" w:hAnsi="Times New Roman" w:cs="Times New Roman"/>
          <w:sz w:val="20"/>
          <w:szCs w:val="20"/>
        </w:rPr>
      </w:pPr>
    </w:p>
    <w:p w14:paraId="18EEEBD3"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Q1: The original manuscript only compares with LS-FFT and does not include more advanced frequency-domain correction methods such as interpolation-based refinement or non-uniform DFT.</w:t>
      </w:r>
    </w:p>
    <w:p w14:paraId="20D9B63A"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We appreciate this important suggestion. In the revision process, we evaluated two refined frequency-domain corrections: LS-FFT with parabolic peak interpolation and LS-NUDFT. The parabolic interpolation results showed only limited and frequency-dependent improvement, and therefore we did not include it in the main manuscript. Instead, we incorporated LS-NUDFT, which is the stronger and more effective representative refined frequency-domain baseline, into the revised manuscript. For all LS-based methods, the subsequent least-squares fitting stage is kept identical so that the comparison isolates the influence of PJ frequency estimation. The new experiments show that LS-NUDFT substantially improves over the original LS-FFT, while the proposed SBL method still achieves lower average and maximum PJ estimation errors in both test cases. For PJ = 10 ps, the mean and maximum errors are 0.481 ps and 0.628 ps for LS-NUDFT, compared with 0.305 ps and 0.499 ps for SBL. For PJ = 6 ps, they are 0.598 ps and 0.691 ps for LS-NUDFT, compared with 0.282 ps and 0.434 ps for SBL. We also updated Table 1 to include a full three-method comparison (LS-FFT, LS-NUDFT, and SBL) at 0.1, 1.0, and 10.0 MHz. The revised results show that DCD errors are comparable across all three methods, while LS-NUDFT significantly reduces the RJ leakage observed in LS-FFT, and SBL remains the most stable overall. These revisions are reflected in Section 4, Fig. 4, Table 1, and the corresponding discussion.</w:t>
      </w:r>
    </w:p>
    <w:p w14:paraId="0F01EAAD" w14:textId="77777777" w:rsidR="001C4F6C" w:rsidRPr="001C4F6C" w:rsidRDefault="001C4F6C" w:rsidP="001C4F6C">
      <w:pPr>
        <w:rPr>
          <w:rFonts w:ascii="Times New Roman" w:hAnsi="Times New Roman" w:cs="Times New Roman"/>
          <w:sz w:val="20"/>
          <w:szCs w:val="20"/>
        </w:rPr>
      </w:pPr>
    </w:p>
    <w:p w14:paraId="7747C708"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Q2: The explanation of the approximately 0.30 ps ISI error lacks theoretical support and verification by a sample-size experiment.</w:t>
      </w:r>
    </w:p>
    <w:p w14:paraId="17AB66BC"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 xml:space="preserve">Thank you for pointing out that the original explanation was not sufficiently supported. In the revised manuscript, we added both a brief theoretical clarification and a sample-size verification result. The ISI component is estimated from conditional means over the 2^L pattern bins of the ISI sub-matrix, so the residual fluctuation introduced by RJ decreases approximately with the order of sigma_RJ / sqrt(N / </w:t>
      </w:r>
      <w:r w:rsidRPr="001C4F6C">
        <w:rPr>
          <w:rFonts w:ascii="Times New Roman" w:hAnsi="Times New Roman" w:cs="Times New Roman"/>
          <w:sz w:val="20"/>
          <w:szCs w:val="20"/>
        </w:rPr>
        <w:lastRenderedPageBreak/>
        <w:t>2^L). To verify this explanation, we carried out a sample-size experiment with N ranging from 5,000 to 100,000 and found that the ISI estimation error decreases monotonically for both methods. For example, the SBL ISI error decreases from 0.33 ps at N = 50,000 to 0.25 ps at N = 100,000, and LS-FFT shows the same trend. Additional verification experiments also support this interpretation. These results indicate that the observed bias is mainly a finite-sample statistical effect of the ISI sub-model rather than a PJ-frequency-dependent error. The explanation below Table 1 in Section 4 has been revised accordingly.</w:t>
      </w:r>
    </w:p>
    <w:p w14:paraId="7DB689B7" w14:textId="77777777" w:rsidR="001C4F6C" w:rsidRPr="001C4F6C" w:rsidRDefault="001C4F6C" w:rsidP="001C4F6C">
      <w:pPr>
        <w:rPr>
          <w:rFonts w:ascii="Times New Roman" w:hAnsi="Times New Roman" w:cs="Times New Roman"/>
          <w:sz w:val="20"/>
          <w:szCs w:val="20"/>
        </w:rPr>
      </w:pPr>
    </w:p>
    <w:p w14:paraId="71653CC6"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Q3: The original manuscript does not test the identification and decomposition accuracy when two or more PJ frequencies coexist.</w:t>
      </w:r>
    </w:p>
    <w:p w14:paraId="53D95CA2"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We agree that validation under multiple PJ sources is necessary. In the revised manuscript, we added a new multi-PJ experiment section including five scenarios: two dual-tone cases with different separations, one wide-separation dual-tone case, and two triple-tone cases. In these scenarios, the proposed SBL method completes true PJ frequency component identification in all five cases without presetting the number of PJ components. The average PJ estimation error of SBL over the five scenarios is 0.18 ps, and in the most challenging near-frequency dual-tone case (1.00/1.05 MHz), the PJ error remains 0.02 ps. We also added LS-NUDFT as a stronger multi-tone spectrum-domain baseline. Although LS-NUDFT can cover the true frequencies within the ±100 kHz matching tolerance, its subsequent joint least-squares fitting becomes unstable in the near-frequency dual-tone case, leading to a PJ error of 14.16 ps and an RJ error of 3.61 ps. These results show that SBL not only identifies the active frequencies, but also provides more stable coefficient recovery when the candidate columns are highly correlated. A new multi-PJ subsection and Table 2 have therefore been added in Section 4, and the conclusion has been updated accordingly.</w:t>
      </w:r>
    </w:p>
    <w:p w14:paraId="270A1BAF" w14:textId="77777777" w:rsidR="001C4F6C" w:rsidRPr="001C4F6C" w:rsidRDefault="001C4F6C" w:rsidP="001C4F6C">
      <w:pPr>
        <w:rPr>
          <w:rFonts w:ascii="Times New Roman" w:hAnsi="Times New Roman" w:cs="Times New Roman"/>
          <w:sz w:val="20"/>
          <w:szCs w:val="20"/>
        </w:rPr>
      </w:pPr>
    </w:p>
    <w:p w14:paraId="40E629D9"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Q4: The conclusion section should include corresponding quantitative data to support the final conclusions.</w:t>
      </w:r>
    </w:p>
    <w:p w14:paraId="58E0501C"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We agree and have revised the conclusion to include quantitative results from both the single-PJ and multi-PJ experiments. The revised conclusion now states that, in single-PJ scenarios over 100 kHz–15 MHz, the SBL PJ estimation error remains within 0.5 ps and the RJ error within 0.02 ps. It also reports that, in five multi-PJ scenarios, the mean PJ error is 0.18 ps and the PJ error in the near-frequency dual-tone case is 0.02 ps. Section 5 has been rewritten accordingly.</w:t>
      </w:r>
    </w:p>
    <w:p w14:paraId="06C830A4" w14:textId="77777777" w:rsidR="001C4F6C" w:rsidRPr="001C4F6C" w:rsidRDefault="001C4F6C" w:rsidP="001C4F6C">
      <w:pPr>
        <w:rPr>
          <w:rFonts w:ascii="Times New Roman" w:hAnsi="Times New Roman" w:cs="Times New Roman"/>
          <w:sz w:val="20"/>
          <w:szCs w:val="20"/>
        </w:rPr>
      </w:pPr>
    </w:p>
    <w:p w14:paraId="41ACEF9E"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Q5: More journal papers published in the last three years should be included in the reference list.</w:t>
      </w:r>
    </w:p>
    <w:p w14:paraId="22716960" w14:textId="77777777" w:rsidR="001C4F6C" w:rsidRPr="001C4F6C" w:rsidRDefault="001C4F6C" w:rsidP="001C4F6C">
      <w:pPr>
        <w:rPr>
          <w:rFonts w:ascii="Times New Roman" w:hAnsi="Times New Roman" w:cs="Times New Roman"/>
          <w:sz w:val="20"/>
          <w:szCs w:val="20"/>
        </w:rPr>
      </w:pPr>
      <w:r w:rsidRPr="001C4F6C">
        <w:rPr>
          <w:rFonts w:ascii="Times New Roman" w:hAnsi="Times New Roman" w:cs="Times New Roman"/>
          <w:sz w:val="20"/>
          <w:szCs w:val="20"/>
        </w:rPr>
        <w:t xml:space="preserve">Thank you for the suggestion. We have added several recent journal papers to the revised manuscript, </w:t>
      </w:r>
      <w:r w:rsidRPr="001C4F6C">
        <w:rPr>
          <w:rFonts w:ascii="Times New Roman" w:hAnsi="Times New Roman" w:cs="Times New Roman"/>
          <w:sz w:val="20"/>
          <w:szCs w:val="20"/>
        </w:rPr>
        <w:lastRenderedPageBreak/>
        <w:t>including recent work on oscilloscope jitter compensation, feature-interaction neural networks for jitter component analysis, and off-grid sparse Bayesian learning. These additions strengthen both the application background and the methodological context of the paper. The reference list and the corresponding citations in the introduction and method discussion have been revised accordingly.</w:t>
      </w:r>
    </w:p>
    <w:p w14:paraId="6EEC83D1" w14:textId="77777777" w:rsidR="001C4F6C" w:rsidRPr="001C4F6C" w:rsidRDefault="001C4F6C" w:rsidP="001C4F6C">
      <w:pPr>
        <w:rPr>
          <w:rFonts w:ascii="Times New Roman" w:hAnsi="Times New Roman" w:cs="Times New Roman"/>
          <w:sz w:val="20"/>
          <w:szCs w:val="20"/>
        </w:rPr>
      </w:pPr>
    </w:p>
    <w:p w14:paraId="26B72407" w14:textId="77777777" w:rsidR="00E5606B" w:rsidRPr="00E5606B" w:rsidRDefault="00E5606B" w:rsidP="00E5606B">
      <w:pPr>
        <w:rPr>
          <w:rFonts w:ascii="Times New Roman" w:hAnsi="Times New Roman" w:cs="Times New Roman" w:hint="eastAsia"/>
          <w:sz w:val="20"/>
          <w:szCs w:val="20"/>
        </w:rPr>
      </w:pPr>
      <w:r w:rsidRPr="00E5606B">
        <w:rPr>
          <w:rFonts w:ascii="Times New Roman" w:hAnsi="Times New Roman" w:cs="Times New Roman" w:hint="eastAsia"/>
          <w:sz w:val="20"/>
          <w:szCs w:val="20"/>
        </w:rPr>
        <w:t>Editorial Comments (Q6</w:t>
      </w:r>
      <w:r w:rsidRPr="00E5606B">
        <w:rPr>
          <w:rFonts w:ascii="Times New Roman" w:hAnsi="Times New Roman" w:cs="Times New Roman" w:hint="eastAsia"/>
          <w:sz w:val="20"/>
          <w:szCs w:val="20"/>
        </w:rPr>
        <w:t>–</w:t>
      </w:r>
      <w:r w:rsidRPr="00E5606B">
        <w:rPr>
          <w:rFonts w:ascii="Times New Roman" w:hAnsi="Times New Roman" w:cs="Times New Roman" w:hint="eastAsia"/>
          <w:sz w:val="20"/>
          <w:szCs w:val="20"/>
        </w:rPr>
        <w:t>Q9)</w:t>
      </w:r>
    </w:p>
    <w:p w14:paraId="73BC463F" w14:textId="18DFE2FD" w:rsidR="00E5606B" w:rsidRPr="00E5606B" w:rsidRDefault="00E5606B" w:rsidP="00E5606B">
      <w:pPr>
        <w:rPr>
          <w:rFonts w:ascii="Times New Roman" w:hAnsi="Times New Roman" w:cs="Times New Roman" w:hint="eastAsia"/>
          <w:sz w:val="20"/>
          <w:szCs w:val="20"/>
        </w:rPr>
      </w:pPr>
      <w:r w:rsidRPr="00E5606B">
        <w:rPr>
          <w:rFonts w:ascii="Times New Roman" w:hAnsi="Times New Roman" w:cs="Times New Roman" w:hint="eastAsia"/>
          <w:sz w:val="20"/>
          <w:szCs w:val="20"/>
        </w:rPr>
        <w:t>All editorial comments have been addressed in the revised manuscript: the affiliation numbering has been removed (Q6), all keywords have been fully capitalised (Q7), Fig. 3 has been replaced with a higher-resolution version (Q8), and the notation for vectors and matrices has been revised to bold italic throughout the equations (Q9).</w:t>
      </w:r>
    </w:p>
    <w:p w14:paraId="37723BA0" w14:textId="77777777" w:rsidR="00E5606B" w:rsidRPr="00E5606B" w:rsidRDefault="00E5606B" w:rsidP="00E5606B">
      <w:pPr>
        <w:rPr>
          <w:rFonts w:ascii="Times New Roman" w:hAnsi="Times New Roman" w:cs="Times New Roman" w:hint="eastAsia"/>
          <w:sz w:val="20"/>
          <w:szCs w:val="20"/>
        </w:rPr>
      </w:pPr>
      <w:r w:rsidRPr="00E5606B">
        <w:rPr>
          <w:rFonts w:ascii="Times New Roman" w:hAnsi="Times New Roman" w:cs="Times New Roman" w:hint="eastAsia"/>
          <w:sz w:val="20"/>
          <w:szCs w:val="20"/>
        </w:rPr>
        <w:t>Q10: The abstract in Chinese and the Conference Proceeding Copyright Form should also be provided.</w:t>
      </w:r>
    </w:p>
    <w:p w14:paraId="34663E65" w14:textId="77777777" w:rsidR="00E5606B" w:rsidRPr="00E5606B" w:rsidRDefault="00E5606B" w:rsidP="00E5606B">
      <w:pPr>
        <w:rPr>
          <w:rFonts w:ascii="Times New Roman" w:hAnsi="Times New Roman" w:cs="Times New Roman" w:hint="eastAsia"/>
          <w:sz w:val="20"/>
          <w:szCs w:val="20"/>
        </w:rPr>
      </w:pPr>
      <w:r w:rsidRPr="00E5606B">
        <w:rPr>
          <w:rFonts w:ascii="Times New Roman" w:hAnsi="Times New Roman" w:cs="Times New Roman" w:hint="eastAsia"/>
          <w:sz w:val="20"/>
          <w:szCs w:val="20"/>
        </w:rPr>
        <w:t>The Chinese abstract and the Conference Proceeding Copyright Form have been prepared and will be submitted together with the revised manuscript.</w:t>
      </w:r>
    </w:p>
    <w:p w14:paraId="4F7F42D1" w14:textId="3CE3660E" w:rsidR="0092183B" w:rsidRPr="001C4F6C" w:rsidRDefault="0092183B" w:rsidP="00E5606B">
      <w:pPr>
        <w:rPr>
          <w:rFonts w:ascii="Times New Roman" w:hAnsi="Times New Roman" w:cs="Times New Roman"/>
          <w:sz w:val="20"/>
          <w:szCs w:val="20"/>
        </w:rPr>
      </w:pPr>
    </w:p>
    <w:sectPr w:rsidR="0092183B" w:rsidRPr="001C4F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FD0EF" w14:textId="77777777" w:rsidR="00BB29B4" w:rsidRDefault="00BB29B4" w:rsidP="00DD31D3">
      <w:pPr>
        <w:spacing w:after="0" w:line="240" w:lineRule="auto"/>
        <w:rPr>
          <w:rFonts w:hint="eastAsia"/>
        </w:rPr>
      </w:pPr>
      <w:r>
        <w:separator/>
      </w:r>
    </w:p>
  </w:endnote>
  <w:endnote w:type="continuationSeparator" w:id="0">
    <w:p w14:paraId="5B31DEEC" w14:textId="77777777" w:rsidR="00BB29B4" w:rsidRDefault="00BB29B4" w:rsidP="00DD31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4DDE" w14:textId="77777777" w:rsidR="00BB29B4" w:rsidRDefault="00BB29B4" w:rsidP="00DD31D3">
      <w:pPr>
        <w:spacing w:after="0" w:line="240" w:lineRule="auto"/>
        <w:rPr>
          <w:rFonts w:hint="eastAsia"/>
        </w:rPr>
      </w:pPr>
      <w:r>
        <w:separator/>
      </w:r>
    </w:p>
  </w:footnote>
  <w:footnote w:type="continuationSeparator" w:id="0">
    <w:p w14:paraId="72BB961F" w14:textId="77777777" w:rsidR="00BB29B4" w:rsidRDefault="00BB29B4" w:rsidP="00DD31D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97"/>
    <w:rsid w:val="001C4F6C"/>
    <w:rsid w:val="002640A8"/>
    <w:rsid w:val="00322797"/>
    <w:rsid w:val="00573A21"/>
    <w:rsid w:val="005A5E4B"/>
    <w:rsid w:val="005B2693"/>
    <w:rsid w:val="00620710"/>
    <w:rsid w:val="006B3276"/>
    <w:rsid w:val="006E2026"/>
    <w:rsid w:val="007A6798"/>
    <w:rsid w:val="008E1C40"/>
    <w:rsid w:val="00905B44"/>
    <w:rsid w:val="0092183B"/>
    <w:rsid w:val="00A07911"/>
    <w:rsid w:val="00BB29B4"/>
    <w:rsid w:val="00C55897"/>
    <w:rsid w:val="00DD31D3"/>
    <w:rsid w:val="00E56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8983A"/>
  <w15:chartTrackingRefBased/>
  <w15:docId w15:val="{812D69CE-7415-4F6E-B49B-18639B30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27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27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27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27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27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27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27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27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27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27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27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27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2797"/>
    <w:rPr>
      <w:rFonts w:cstheme="majorBidi"/>
      <w:color w:val="0F4761" w:themeColor="accent1" w:themeShade="BF"/>
      <w:sz w:val="28"/>
      <w:szCs w:val="28"/>
    </w:rPr>
  </w:style>
  <w:style w:type="character" w:customStyle="1" w:styleId="50">
    <w:name w:val="标题 5 字符"/>
    <w:basedOn w:val="a0"/>
    <w:link w:val="5"/>
    <w:uiPriority w:val="9"/>
    <w:semiHidden/>
    <w:rsid w:val="00322797"/>
    <w:rPr>
      <w:rFonts w:cstheme="majorBidi"/>
      <w:color w:val="0F4761" w:themeColor="accent1" w:themeShade="BF"/>
      <w:sz w:val="24"/>
    </w:rPr>
  </w:style>
  <w:style w:type="character" w:customStyle="1" w:styleId="60">
    <w:name w:val="标题 6 字符"/>
    <w:basedOn w:val="a0"/>
    <w:link w:val="6"/>
    <w:uiPriority w:val="9"/>
    <w:semiHidden/>
    <w:rsid w:val="00322797"/>
    <w:rPr>
      <w:rFonts w:cstheme="majorBidi"/>
      <w:b/>
      <w:bCs/>
      <w:color w:val="0F4761" w:themeColor="accent1" w:themeShade="BF"/>
    </w:rPr>
  </w:style>
  <w:style w:type="character" w:customStyle="1" w:styleId="70">
    <w:name w:val="标题 7 字符"/>
    <w:basedOn w:val="a0"/>
    <w:link w:val="7"/>
    <w:uiPriority w:val="9"/>
    <w:semiHidden/>
    <w:rsid w:val="00322797"/>
    <w:rPr>
      <w:rFonts w:cstheme="majorBidi"/>
      <w:b/>
      <w:bCs/>
      <w:color w:val="595959" w:themeColor="text1" w:themeTint="A6"/>
    </w:rPr>
  </w:style>
  <w:style w:type="character" w:customStyle="1" w:styleId="80">
    <w:name w:val="标题 8 字符"/>
    <w:basedOn w:val="a0"/>
    <w:link w:val="8"/>
    <w:uiPriority w:val="9"/>
    <w:semiHidden/>
    <w:rsid w:val="00322797"/>
    <w:rPr>
      <w:rFonts w:cstheme="majorBidi"/>
      <w:color w:val="595959" w:themeColor="text1" w:themeTint="A6"/>
    </w:rPr>
  </w:style>
  <w:style w:type="character" w:customStyle="1" w:styleId="90">
    <w:name w:val="标题 9 字符"/>
    <w:basedOn w:val="a0"/>
    <w:link w:val="9"/>
    <w:uiPriority w:val="9"/>
    <w:semiHidden/>
    <w:rsid w:val="00322797"/>
    <w:rPr>
      <w:rFonts w:eastAsiaTheme="majorEastAsia" w:cstheme="majorBidi"/>
      <w:color w:val="595959" w:themeColor="text1" w:themeTint="A6"/>
    </w:rPr>
  </w:style>
  <w:style w:type="paragraph" w:styleId="a3">
    <w:name w:val="Title"/>
    <w:basedOn w:val="a"/>
    <w:next w:val="a"/>
    <w:link w:val="a4"/>
    <w:uiPriority w:val="10"/>
    <w:qFormat/>
    <w:rsid w:val="003227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27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7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27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797"/>
    <w:pPr>
      <w:spacing w:before="160"/>
      <w:jc w:val="center"/>
    </w:pPr>
    <w:rPr>
      <w:i/>
      <w:iCs/>
      <w:color w:val="404040" w:themeColor="text1" w:themeTint="BF"/>
    </w:rPr>
  </w:style>
  <w:style w:type="character" w:customStyle="1" w:styleId="a8">
    <w:name w:val="引用 字符"/>
    <w:basedOn w:val="a0"/>
    <w:link w:val="a7"/>
    <w:uiPriority w:val="29"/>
    <w:rsid w:val="00322797"/>
    <w:rPr>
      <w:i/>
      <w:iCs/>
      <w:color w:val="404040" w:themeColor="text1" w:themeTint="BF"/>
    </w:rPr>
  </w:style>
  <w:style w:type="paragraph" w:styleId="a9">
    <w:name w:val="List Paragraph"/>
    <w:basedOn w:val="a"/>
    <w:uiPriority w:val="34"/>
    <w:qFormat/>
    <w:rsid w:val="00322797"/>
    <w:pPr>
      <w:ind w:left="720"/>
      <w:contextualSpacing/>
    </w:pPr>
  </w:style>
  <w:style w:type="character" w:styleId="aa">
    <w:name w:val="Intense Emphasis"/>
    <w:basedOn w:val="a0"/>
    <w:uiPriority w:val="21"/>
    <w:qFormat/>
    <w:rsid w:val="00322797"/>
    <w:rPr>
      <w:i/>
      <w:iCs/>
      <w:color w:val="0F4761" w:themeColor="accent1" w:themeShade="BF"/>
    </w:rPr>
  </w:style>
  <w:style w:type="paragraph" w:styleId="ab">
    <w:name w:val="Intense Quote"/>
    <w:basedOn w:val="a"/>
    <w:next w:val="a"/>
    <w:link w:val="ac"/>
    <w:uiPriority w:val="30"/>
    <w:qFormat/>
    <w:rsid w:val="0032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2797"/>
    <w:rPr>
      <w:i/>
      <w:iCs/>
      <w:color w:val="0F4761" w:themeColor="accent1" w:themeShade="BF"/>
    </w:rPr>
  </w:style>
  <w:style w:type="character" w:styleId="ad">
    <w:name w:val="Intense Reference"/>
    <w:basedOn w:val="a0"/>
    <w:uiPriority w:val="32"/>
    <w:qFormat/>
    <w:rsid w:val="00322797"/>
    <w:rPr>
      <w:b/>
      <w:bCs/>
      <w:smallCaps/>
      <w:color w:val="0F4761" w:themeColor="accent1" w:themeShade="BF"/>
      <w:spacing w:val="5"/>
    </w:rPr>
  </w:style>
  <w:style w:type="paragraph" w:styleId="ae">
    <w:name w:val="header"/>
    <w:basedOn w:val="a"/>
    <w:link w:val="af"/>
    <w:uiPriority w:val="99"/>
    <w:unhideWhenUsed/>
    <w:rsid w:val="00DD31D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D31D3"/>
    <w:rPr>
      <w:sz w:val="18"/>
      <w:szCs w:val="18"/>
    </w:rPr>
  </w:style>
  <w:style w:type="paragraph" w:styleId="af0">
    <w:name w:val="footer"/>
    <w:basedOn w:val="a"/>
    <w:link w:val="af1"/>
    <w:uiPriority w:val="99"/>
    <w:unhideWhenUsed/>
    <w:rsid w:val="00DD31D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D31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1020</Words>
  <Characters>5815</Characters>
  <Application>Microsoft Office Word</Application>
  <DocSecurity>0</DocSecurity>
  <Lines>48</Lines>
  <Paragraphs>13</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启航 孙</dc:creator>
  <cp:keywords/>
  <dc:description/>
  <cp:lastModifiedBy>启航 孙</cp:lastModifiedBy>
  <cp:revision>5</cp:revision>
  <dcterms:created xsi:type="dcterms:W3CDTF">2026-06-05T08:15:00Z</dcterms:created>
  <dcterms:modified xsi:type="dcterms:W3CDTF">2026-06-06T02:53:00Z</dcterms:modified>
</cp:coreProperties>
</file>