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宋体"/>
          <w:b/>
          <w:sz w:val="20"/>
        </w:rPr>
        <w:t>Table 2  多 PJ 共存场景下的分解误差 (ps)</w:t>
      </w:r>
    </w:p>
    <w:tbl>
      <w:tblPr>
        <w:tblW w:type="auto" w:w="0"/>
        <w:jc w:val="center"/>
        <w:tblLayout w:type="fixed"/>
        <w:tblLook w:firstColumn="1" w:firstRow="1" w:lastColumn="0" w:lastRow="0" w:noHBand="1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360" w:hRule="atLeast"/>
        </w:trPr>
        <w:tc>
          <w:tcPr>
            <w:tcW w:type="dxa" w:w="3528"/>
            <w:vMerge w:val="restart"/>
            <w:vAlign w:val="center"/>
            <w:tcBorders>
              <w:left w:val="single" w:sz="4" w:space="0" w:color="000000"/>
              <w:top w:val="single" w:sz="8" w:space="0" w:color="000000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2721"/>
            <w:gridSpan w:val="3"/>
            <w:vAlign w:val="center"/>
            <w:tcBorders>
              <w:left w:val="nil"/>
              <w:top w:val="single" w:sz="8" w:space="0" w:color="000000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PJ 误差 (ps)</w:t>
            </w:r>
          </w:p>
        </w:tc>
        <w:tc>
          <w:tcPr>
            <w:tcW w:type="dxa" w:w="2721"/>
            <w:gridSpan w:val="3"/>
            <w:vAlign w:val="center"/>
            <w:tcBorders>
              <w:left w:val="nil"/>
              <w:top w:val="single" w:sz="8" w:space="0" w:color="000000"/>
              <w:right w:val="single" w:sz="4" w:space="0" w:color="000000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RJ 误差 (ps)</w:t>
            </w:r>
          </w:p>
        </w:tc>
      </w:tr>
      <w:tr>
        <w:trPr>
          <w:trHeight w:val="360" w:hRule="atLeast"/>
        </w:trPr>
        <w:tc>
          <w:tcPr>
            <w:tcW w:type="dxa" w:w="3528"/>
            <w:vMerge/>
          </w:tcPr>
          <w:p/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LS-FFT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LS-NUDFT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SBL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LS-FFT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LS-NUDFT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SBL</w:t>
            </w:r>
          </w:p>
        </w:tc>
      </w:tr>
      <w:tr>
        <w:trPr>
          <w:trHeight w:val="360" w:hRule="atLeast"/>
        </w:trPr>
        <w:tc>
          <w:tcPr>
            <w:tcW w:type="dxa" w:w="3528"/>
            <w:vAlign w:val="center"/>
            <w:tcBorders>
              <w:left w:val="single" w:sz="4" w:space="0" w:color="000000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双音 1.0 / 5.0 MHz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10.55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0.24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3.66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</w:tr>
      <w:tr>
        <w:trPr>
          <w:trHeight w:val="360" w:hRule="atLeast"/>
        </w:trPr>
        <w:tc>
          <w:tcPr>
            <w:tcW w:type="dxa" w:w="3528"/>
            <w:vAlign w:val="center"/>
            <w:tcBorders>
              <w:left w:val="single" w:sz="4" w:space="0" w:color="000000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双音 1.00 / 1.05 MHz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1.95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14.16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0.02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3.61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</w:tr>
      <w:tr>
        <w:trPr>
          <w:trHeight w:val="360" w:hRule="atLeast"/>
        </w:trPr>
        <w:tc>
          <w:tcPr>
            <w:tcW w:type="dxa" w:w="3528"/>
            <w:vAlign w:val="center"/>
            <w:tcBorders>
              <w:left w:val="single" w:sz="4" w:space="0" w:color="000000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双音 1.10 / 1.30 MHz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3.58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0.15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1.20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</w:tr>
      <w:tr>
        <w:trPr>
          <w:trHeight w:val="360" w:hRule="atLeast"/>
        </w:trPr>
        <w:tc>
          <w:tcPr>
            <w:tcW w:type="dxa" w:w="3528"/>
            <w:vAlign w:val="center"/>
            <w:tcBorders>
              <w:left w:val="single" w:sz="4" w:space="0" w:color="000000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三音 0.5 / 2 / 8 MHz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7.04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0.32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2.35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</w:tr>
      <w:tr>
        <w:trPr>
          <w:trHeight w:val="360" w:hRule="atLeast"/>
        </w:trPr>
        <w:tc>
          <w:tcPr>
            <w:tcW w:type="dxa" w:w="3528"/>
            <w:vAlign w:val="center"/>
            <w:tcBorders>
              <w:left w:val="single" w:sz="4" w:space="0" w:color="000000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三音 1.1 / 3.7 / 11.3 MHz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8.34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0.04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2.19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</w:tr>
      <w:tr>
        <w:trPr>
          <w:trHeight w:val="360" w:hRule="atLeast"/>
        </w:trPr>
        <w:tc>
          <w:tcPr>
            <w:tcW w:type="dxa" w:w="3528"/>
            <w:vAlign w:val="center"/>
            <w:tcBorders>
              <w:left w:val="single" w:sz="4" w:space="0" w:color="000000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均值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6.29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3.00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0.18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2.01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nil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0.74</w:t>
            </w:r>
          </w:p>
        </w:tc>
        <w:tc>
          <w:tcPr>
            <w:tcW w:type="dxa" w:w="907"/>
            <w:vAlign w:val="center"/>
            <w:tcBorders>
              <w:left w:val="nil"/>
              <w:top w:val="nil"/>
              <w:right w:val="single" w:sz="4" w:space="0" w:color="000000"/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0.01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宋体"/>
          <w:sz w:val="18"/>
        </w:rPr>
        <w:t>注：频率识别以 ±100 kHz 为匹配容差；LS-FFT 在多 PJ 场景下按单 PJ 假设仅搜索一个主峰。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