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F99" w:rsidRPr="005757E6" w:rsidRDefault="00380F99" w:rsidP="00380F99">
      <w:pPr>
        <w:suppressAutoHyphens w:val="0"/>
        <w:autoSpaceDN/>
        <w:spacing w:line="259" w:lineRule="auto"/>
        <w:textAlignment w:val="auto"/>
        <w:rPr>
          <w:noProof/>
        </w:rPr>
      </w:pPr>
      <w:bookmarkStart w:id="0" w:name="_GoBack"/>
      <w:bookmarkEnd w:id="0"/>
    </w:p>
    <w:p w:rsidR="00380F99" w:rsidRPr="005757E6" w:rsidRDefault="00380F99" w:rsidP="00380F99">
      <w:pPr>
        <w:suppressAutoHyphens w:val="0"/>
        <w:autoSpaceDN/>
        <w:spacing w:line="259" w:lineRule="auto"/>
        <w:jc w:val="both"/>
        <w:textAlignment w:val="auto"/>
      </w:pPr>
      <w:r w:rsidRPr="005757E6">
        <w:rPr>
          <w:noProof/>
          <w:lang w:eastAsia="es-ES"/>
        </w:rPr>
        <w:drawing>
          <wp:inline distT="0" distB="0" distL="0" distR="0" wp14:anchorId="5F50778A" wp14:editId="2D06CB11">
            <wp:extent cx="1958661" cy="504967"/>
            <wp:effectExtent l="0" t="0" r="381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rsidR="00380F99" w:rsidRPr="005757E6" w:rsidRDefault="00380F99" w:rsidP="00380F99">
      <w:pPr>
        <w:suppressAutoHyphens w:val="0"/>
        <w:autoSpaceDN/>
        <w:spacing w:line="259" w:lineRule="auto"/>
        <w:jc w:val="both"/>
        <w:textAlignment w:val="auto"/>
      </w:pPr>
    </w:p>
    <w:p w:rsidR="00380F99" w:rsidRPr="005757E6" w:rsidRDefault="00380F99" w:rsidP="00380F99">
      <w:pPr>
        <w:suppressAutoHyphens w:val="0"/>
        <w:autoSpaceDN/>
        <w:spacing w:line="259" w:lineRule="auto"/>
        <w:jc w:val="both"/>
        <w:textAlignment w:val="auto"/>
      </w:pPr>
    </w:p>
    <w:p w:rsidR="00380F99" w:rsidRPr="005757E6" w:rsidRDefault="00380F99" w:rsidP="00380F99">
      <w:pPr>
        <w:suppressAutoHyphens w:val="0"/>
        <w:autoSpaceDN/>
        <w:spacing w:line="259" w:lineRule="auto"/>
        <w:jc w:val="both"/>
        <w:textAlignment w:val="auto"/>
      </w:pPr>
    </w:p>
    <w:p w:rsidR="00380F99" w:rsidRPr="005757E6" w:rsidRDefault="00380F99" w:rsidP="00380F99">
      <w:pPr>
        <w:suppressAutoHyphens w:val="0"/>
        <w:autoSpaceDN/>
        <w:spacing w:line="259" w:lineRule="auto"/>
        <w:jc w:val="both"/>
        <w:textAlignment w:val="auto"/>
      </w:pPr>
    </w:p>
    <w:p w:rsidR="00380F99" w:rsidRPr="005757E6" w:rsidRDefault="00380F99" w:rsidP="00380F99">
      <w:pPr>
        <w:suppressAutoHyphens w:val="0"/>
        <w:autoSpaceDN/>
        <w:spacing w:line="259" w:lineRule="auto"/>
        <w:jc w:val="center"/>
        <w:textAlignment w:val="auto"/>
      </w:pPr>
      <w:r w:rsidRPr="005757E6">
        <w:rPr>
          <w:noProof/>
          <w:lang w:eastAsia="es-ES"/>
        </w:rPr>
        <w:drawing>
          <wp:inline distT="0" distB="0" distL="0" distR="0" wp14:anchorId="78A90E29" wp14:editId="08912393">
            <wp:extent cx="5400040" cy="19100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rsidR="00380F99" w:rsidRPr="005757E6" w:rsidRDefault="00380F99" w:rsidP="00380F99">
      <w:pPr>
        <w:suppressAutoHyphens w:val="0"/>
        <w:autoSpaceDN/>
        <w:spacing w:line="259" w:lineRule="auto"/>
        <w:textAlignment w:val="auto"/>
      </w:pPr>
    </w:p>
    <w:p w:rsidR="00380F99" w:rsidRPr="005757E6" w:rsidRDefault="00380F99" w:rsidP="00380F99">
      <w:pPr>
        <w:suppressAutoHyphens w:val="0"/>
        <w:autoSpaceDN/>
        <w:spacing w:line="259" w:lineRule="auto"/>
        <w:textAlignment w:val="auto"/>
      </w:pPr>
    </w:p>
    <w:p w:rsidR="00380F99" w:rsidRPr="005757E6" w:rsidRDefault="00380F99" w:rsidP="00380F99">
      <w:pPr>
        <w:suppressAutoHyphens w:val="0"/>
        <w:autoSpaceDN/>
        <w:spacing w:line="259" w:lineRule="auto"/>
        <w:textAlignment w:val="auto"/>
      </w:pPr>
    </w:p>
    <w:p w:rsidR="00380F99" w:rsidRPr="005757E6" w:rsidRDefault="00380F99" w:rsidP="00380F99">
      <w:pPr>
        <w:suppressAutoHyphens w:val="0"/>
        <w:autoSpaceDN/>
        <w:spacing w:line="259" w:lineRule="auto"/>
        <w:textAlignment w:val="auto"/>
      </w:pPr>
    </w:p>
    <w:p w:rsidR="00380F99" w:rsidRPr="005757E6" w:rsidRDefault="00380F99" w:rsidP="00380F99">
      <w:pPr>
        <w:suppressAutoHyphens w:val="0"/>
        <w:autoSpaceDN/>
        <w:spacing w:line="259" w:lineRule="auto"/>
        <w:jc w:val="right"/>
        <w:textAlignment w:val="auto"/>
        <w:rPr>
          <w:b/>
          <w:color w:val="FFC000"/>
          <w:sz w:val="44"/>
        </w:rPr>
      </w:pPr>
      <w:r w:rsidRPr="005757E6">
        <w:rPr>
          <w:b/>
          <w:color w:val="FFC000"/>
          <w:sz w:val="44"/>
        </w:rPr>
        <w:t>Documentación</w:t>
      </w:r>
    </w:p>
    <w:p w:rsidR="00380F99" w:rsidRPr="005757E6" w:rsidRDefault="00380F99" w:rsidP="00380F99">
      <w:pPr>
        <w:suppressAutoHyphens w:val="0"/>
        <w:autoSpaceDN/>
        <w:spacing w:after="0"/>
        <w:jc w:val="right"/>
        <w:textAlignment w:val="auto"/>
      </w:pPr>
      <w:r w:rsidRPr="005757E6">
        <w:t>Distintivo informativo de zona videovigilada</w:t>
      </w:r>
    </w:p>
    <w:p w:rsidR="00380F99" w:rsidRPr="005757E6" w:rsidRDefault="00380F99" w:rsidP="00380F99">
      <w:pPr>
        <w:suppressAutoHyphens w:val="0"/>
        <w:autoSpaceDN/>
        <w:spacing w:after="0"/>
        <w:jc w:val="right"/>
        <w:textAlignment w:val="auto"/>
      </w:pPr>
      <w:r w:rsidRPr="005757E6">
        <w:t>Cláusulas informativas</w:t>
      </w:r>
    </w:p>
    <w:p w:rsidR="00380F99" w:rsidRPr="005757E6" w:rsidRDefault="00380F99" w:rsidP="00380F99">
      <w:pPr>
        <w:suppressAutoHyphens w:val="0"/>
        <w:autoSpaceDN/>
        <w:spacing w:after="0"/>
        <w:jc w:val="right"/>
        <w:textAlignment w:val="auto"/>
      </w:pPr>
      <w:r w:rsidRPr="005757E6">
        <w:t>Contratos con encargados del tratamiento</w:t>
      </w:r>
    </w:p>
    <w:p w:rsidR="00380F99" w:rsidRPr="005757E6" w:rsidRDefault="00380F99" w:rsidP="00380F99">
      <w:pPr>
        <w:suppressAutoHyphens w:val="0"/>
        <w:autoSpaceDN/>
        <w:spacing w:after="0"/>
        <w:jc w:val="right"/>
        <w:textAlignment w:val="auto"/>
      </w:pPr>
      <w:r w:rsidRPr="005757E6">
        <w:t>Registro de actividades de tratamiento</w:t>
      </w:r>
    </w:p>
    <w:p w:rsidR="00380F99" w:rsidRPr="005757E6" w:rsidRDefault="00380F99" w:rsidP="00380F99">
      <w:pPr>
        <w:suppressAutoHyphens w:val="0"/>
        <w:autoSpaceDN/>
        <w:spacing w:after="0"/>
        <w:jc w:val="right"/>
        <w:textAlignment w:val="auto"/>
      </w:pPr>
      <w:r w:rsidRPr="005757E6">
        <w:t>Anexo informativo</w:t>
      </w:r>
    </w:p>
    <w:p w:rsidR="00380F99" w:rsidRPr="005757E6" w:rsidRDefault="00380F99" w:rsidP="00380F99">
      <w:pPr>
        <w:suppressAutoHyphens w:val="0"/>
        <w:autoSpaceDN/>
        <w:textAlignment w:val="auto"/>
      </w:pPr>
    </w:p>
    <w:p w:rsidR="00380F99" w:rsidRPr="005757E6" w:rsidRDefault="00380F99" w:rsidP="00380F99">
      <w:pPr>
        <w:suppressAutoHyphens w:val="0"/>
        <w:autoSpaceDN/>
        <w:spacing w:line="259" w:lineRule="auto"/>
        <w:textAlignment w:val="auto"/>
      </w:pPr>
    </w:p>
    <w:p w:rsidR="00380F99" w:rsidRPr="005757E6" w:rsidRDefault="00380F99" w:rsidP="00380F99">
      <w:pPr>
        <w:suppressAutoHyphens w:val="0"/>
        <w:autoSpaceDN/>
        <w:spacing w:line="259" w:lineRule="auto"/>
        <w:textAlignment w:val="auto"/>
      </w:pPr>
    </w:p>
    <w:p w:rsidR="00380F99" w:rsidRPr="005757E6" w:rsidRDefault="00380F99" w:rsidP="00380F99">
      <w:pPr>
        <w:suppressAutoHyphens w:val="0"/>
        <w:autoSpaceDN/>
        <w:spacing w:line="259" w:lineRule="auto"/>
        <w:textAlignment w:val="auto"/>
      </w:pPr>
    </w:p>
    <w:p w:rsidR="00380F99" w:rsidRPr="005757E6" w:rsidRDefault="00380F99" w:rsidP="00380F99">
      <w:pPr>
        <w:suppressAutoHyphens w:val="0"/>
        <w:autoSpaceDN/>
        <w:spacing w:line="259" w:lineRule="auto"/>
        <w:textAlignment w:val="auto"/>
      </w:pPr>
    </w:p>
    <w:p w:rsidR="00380F99" w:rsidRPr="005757E6" w:rsidRDefault="00380F99" w:rsidP="00380F99">
      <w:pPr>
        <w:suppressAutoHyphens w:val="0"/>
        <w:autoSpaceDN/>
        <w:spacing w:line="259" w:lineRule="auto"/>
        <w:textAlignment w:val="auto"/>
      </w:pPr>
    </w:p>
    <w:p w:rsidR="00380F99" w:rsidRPr="00B64AF5" w:rsidRDefault="00380F99" w:rsidP="00380F99">
      <w:pPr>
        <w:suppressAutoHyphens w:val="0"/>
        <w:rPr>
          <w:rFonts w:asciiTheme="minorHAnsi" w:hAnsiTheme="minorHAnsi" w:cs="Calibri"/>
          <w:sz w:val="24"/>
          <w:szCs w:val="24"/>
        </w:rPr>
      </w:pPr>
    </w:p>
    <w:p w:rsidR="00380F99" w:rsidRDefault="00380F99">
      <w:pPr>
        <w:suppressAutoHyphens w:val="0"/>
        <w:rPr>
          <w:rFonts w:asciiTheme="minorHAnsi" w:hAnsiTheme="minorHAnsi"/>
        </w:rPr>
      </w:pPr>
      <w:r>
        <w:rPr>
          <w:rFonts w:asciiTheme="minorHAnsi" w:hAnsiTheme="minorHAnsi"/>
        </w:rPr>
        <w:br w:type="page"/>
      </w:r>
    </w:p>
    <w:p w:rsidR="00922043" w:rsidRDefault="001F525E" w:rsidP="00922043">
      <w:pPr>
        <w:suppressAutoHyphens w:val="0"/>
        <w:spacing w:beforeLines="120" w:before="288" w:afterLines="120" w:after="288"/>
        <w:contextualSpacing/>
        <w:rPr>
          <w:rFonts w:asciiTheme="minorHAnsi" w:hAnsiTheme="minorHAnsi"/>
        </w:rPr>
      </w:pPr>
      <w:r>
        <w:rPr>
          <w:rFonts w:asciiTheme="minorHAnsi" w:hAnsiTheme="minorHAnsi"/>
          <w:noProof/>
          <w:lang w:eastAsia="es-ES"/>
        </w:rPr>
        <w:lastRenderedPageBreak/>
        <w:drawing>
          <wp:anchor distT="0" distB="0" distL="114300" distR="114300" simplePos="0" relativeHeight="251658240" behindDoc="1" locked="0" layoutInCell="1" allowOverlap="1" wp14:anchorId="6CDDA8EA" wp14:editId="74248D95">
            <wp:simplePos x="0" y="0"/>
            <wp:positionH relativeFrom="margin">
              <wp:align>center</wp:align>
            </wp:positionH>
            <wp:positionV relativeFrom="margin">
              <wp:align>center</wp:align>
            </wp:positionV>
            <wp:extent cx="6730365" cy="97910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Default="00922043" w:rsidP="002202BB">
      <w:pPr>
        <w:suppressAutoHyphens w:val="0"/>
        <w:spacing w:after="0"/>
        <w:ind w:left="-284"/>
        <w:rPr>
          <w:rFonts w:asciiTheme="minorHAnsi" w:hAnsiTheme="minorHAnsi"/>
          <w:sz w:val="26"/>
          <w:szCs w:val="26"/>
        </w:rPr>
      </w:pPr>
    </w:p>
    <w:p w:rsidR="00B72F01" w:rsidRPr="00B12C64" w:rsidRDefault="00B72F01"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sz w:val="26"/>
          <w:szCs w:val="26"/>
        </w:rPr>
      </w:pPr>
    </w:p>
    <w:p w:rsidR="00922043" w:rsidRPr="00B12C64" w:rsidRDefault="00922043" w:rsidP="002202BB">
      <w:pPr>
        <w:suppressAutoHyphens w:val="0"/>
        <w:spacing w:after="0"/>
        <w:ind w:left="-284"/>
        <w:rPr>
          <w:rFonts w:asciiTheme="minorHAnsi" w:hAnsiTheme="minorHAnsi"/>
          <w:b/>
          <w:sz w:val="26"/>
          <w:szCs w:val="26"/>
        </w:rPr>
      </w:pPr>
      <w:r>
        <w:rPr>
          <w:b/>
          <w:sz w:val="26"/>
        </w:rPr>
        <w:t>AutoGest - 44444444B</w:t>
      </w: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r>
        <w:rPr>
          <w:b/>
          <w:sz w:val="26"/>
        </w:rPr>
        <w:t>AutoGest</w:t>
      </w:r>
    </w:p>
    <w:p w:rsidR="00922043" w:rsidRPr="00B12C64" w:rsidRDefault="00922043" w:rsidP="002202BB">
      <w:pPr>
        <w:suppressAutoHyphens w:val="0"/>
        <w:spacing w:after="0"/>
        <w:ind w:left="-284"/>
        <w:rPr>
          <w:rFonts w:asciiTheme="minorHAnsi" w:hAnsiTheme="minorHAnsi"/>
          <w:b/>
          <w:sz w:val="26"/>
          <w:szCs w:val="26"/>
        </w:rPr>
      </w:pPr>
      <w:r>
        <w:rPr>
          <w:b/>
          <w:sz w:val="26"/>
        </w:rPr>
        <w:t>Universidad de Alicante</w:t>
      </w:r>
    </w:p>
    <w:p w:rsidR="00922043" w:rsidRPr="00B12C64" w:rsidRDefault="00EE5EA0" w:rsidP="002202BB">
      <w:pPr>
        <w:suppressAutoHyphens w:val="0"/>
        <w:spacing w:after="0"/>
        <w:ind w:left="-284"/>
        <w:rPr>
          <w:rFonts w:asciiTheme="minorHAnsi" w:hAnsiTheme="minorHAnsi"/>
          <w:b/>
          <w:sz w:val="26"/>
          <w:szCs w:val="26"/>
        </w:rPr>
      </w:pPr>
      <w:r>
        <w:rPr>
          <w:b/>
          <w:sz w:val="26"/>
        </w:rPr>
        <w:t>Correo electrónico: apm226@alu.ua.es</w:t>
      </w: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p>
    <w:p w:rsidR="00922043" w:rsidRPr="00B12C64" w:rsidRDefault="00922043" w:rsidP="002202BB">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rsidR="00922043" w:rsidRPr="00B12C64" w:rsidRDefault="00922043" w:rsidP="002202BB">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rsidR="00922043" w:rsidRPr="00B12C64" w:rsidRDefault="00922043" w:rsidP="002202BB">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rsidR="00922043" w:rsidRDefault="00922043" w:rsidP="002202BB">
      <w:pPr>
        <w:suppressAutoHyphens w:val="0"/>
        <w:ind w:left="-284"/>
        <w:rPr>
          <w:rFonts w:asciiTheme="minorHAnsi" w:hAnsiTheme="minorHAnsi" w:cs="Calibri"/>
          <w:b/>
          <w:sz w:val="40"/>
          <w:szCs w:val="40"/>
        </w:rPr>
        <w:sectPr w:rsidR="00922043" w:rsidSect="00675417">
          <w:footerReference w:type="default" r:id="rId11"/>
          <w:pgSz w:w="11906" w:h="16838"/>
          <w:pgMar w:top="1417" w:right="1700" w:bottom="1417" w:left="1701" w:header="720" w:footer="720" w:gutter="0"/>
          <w:cols w:space="720"/>
          <w:titlePg/>
          <w:docGrid w:linePitch="299"/>
        </w:sectPr>
      </w:pPr>
      <w:r w:rsidRPr="00B12C64">
        <w:rPr>
          <w:rFonts w:asciiTheme="minorHAnsi" w:hAnsiTheme="minorHAnsi"/>
          <w:b/>
          <w:sz w:val="26"/>
          <w:szCs w:val="26"/>
        </w:rPr>
        <w:t>Plazo de conservación: 1 mes desde la captación</w:t>
      </w:r>
      <w:r>
        <w:rPr>
          <w:rFonts w:asciiTheme="minorHAnsi" w:hAnsiTheme="minorHAnsi" w:cs="Calibri"/>
          <w:b/>
          <w:sz w:val="40"/>
          <w:szCs w:val="40"/>
        </w:rPr>
        <w:t xml:space="preserve"> </w:t>
      </w:r>
    </w:p>
    <w:p w:rsidR="00B64AF5" w:rsidRPr="00EF53C7" w:rsidRDefault="00B64AF5" w:rsidP="00B64AF5">
      <w:pPr>
        <w:keepNext/>
        <w:jc w:val="center"/>
        <w:rPr>
          <w:rFonts w:asciiTheme="minorHAnsi" w:hAnsiTheme="minorHAnsi" w:cs="Calibri"/>
          <w:b/>
          <w:sz w:val="24"/>
          <w:szCs w:val="24"/>
        </w:rPr>
      </w:pPr>
      <w:proofErr w:type="gramStart"/>
      <w:r w:rsidRPr="00EF53C7">
        <w:rPr>
          <w:rFonts w:asciiTheme="minorHAnsi" w:hAnsiTheme="minorHAnsi" w:cs="Calibri"/>
          <w:b/>
          <w:sz w:val="24"/>
          <w:szCs w:val="24"/>
        </w:rPr>
        <w:lastRenderedPageBreak/>
        <w:t>DOCUMENTACI</w:t>
      </w:r>
      <w:r w:rsidR="001C704B">
        <w:rPr>
          <w:rFonts w:asciiTheme="minorHAnsi" w:hAnsiTheme="minorHAnsi" w:cs="Calibri"/>
          <w:b/>
          <w:sz w:val="24"/>
          <w:szCs w:val="24"/>
        </w:rPr>
        <w:t>Ó</w:t>
      </w:r>
      <w:r w:rsidRPr="00EF53C7">
        <w:rPr>
          <w:rFonts w:asciiTheme="minorHAnsi" w:hAnsiTheme="minorHAnsi" w:cs="Calibri"/>
          <w:b/>
          <w:sz w:val="24"/>
          <w:szCs w:val="24"/>
        </w:rPr>
        <w:t>N A REVISAR</w:t>
      </w:r>
      <w:proofErr w:type="gramEnd"/>
    </w:p>
    <w:p w:rsidR="00B2262B" w:rsidRPr="00EF53C7" w:rsidRDefault="00B2262B" w:rsidP="00B2262B">
      <w:pPr>
        <w:keepNext/>
        <w:jc w:val="both"/>
        <w:rPr>
          <w:rFonts w:asciiTheme="minorHAnsi" w:hAnsiTheme="minorHAnsi" w:cs="Calibri"/>
          <w:sz w:val="24"/>
          <w:szCs w:val="24"/>
        </w:rPr>
      </w:pPr>
      <w:r>
        <w:rPr>
          <w:rFonts w:asciiTheme="minorHAnsi" w:hAnsiTheme="minorHAnsi" w:cs="Calibri"/>
          <w:sz w:val="24"/>
          <w:szCs w:val="24"/>
        </w:rPr>
        <w:t>Este documento contiene las clá</w:t>
      </w:r>
      <w:r w:rsidRPr="00EF53C7">
        <w:rPr>
          <w:rFonts w:asciiTheme="minorHAnsi" w:hAnsiTheme="minorHAnsi" w:cs="Calibri"/>
          <w:sz w:val="24"/>
          <w:szCs w:val="24"/>
        </w:rPr>
        <w:t xml:space="preserve">usulas informativas que debe incluir en los formularios de solicitud de información, </w:t>
      </w:r>
      <w:r>
        <w:rPr>
          <w:rFonts w:asciiTheme="minorHAnsi" w:hAnsiTheme="minorHAnsi" w:cs="Calibri"/>
          <w:sz w:val="24"/>
          <w:szCs w:val="24"/>
        </w:rPr>
        <w:t xml:space="preserve">las cláusulas contractuales, en materia de protección de datos, </w:t>
      </w:r>
      <w:r w:rsidRPr="00EF53C7">
        <w:rPr>
          <w:rFonts w:asciiTheme="minorHAnsi" w:hAnsiTheme="minorHAnsi" w:cs="Calibri"/>
          <w:sz w:val="24"/>
          <w:szCs w:val="24"/>
        </w:rPr>
        <w:t xml:space="preserve">a anexar </w:t>
      </w:r>
      <w:r>
        <w:rPr>
          <w:rFonts w:asciiTheme="minorHAnsi" w:hAnsiTheme="minorHAnsi" w:cs="Calibri"/>
          <w:sz w:val="24"/>
          <w:szCs w:val="24"/>
        </w:rPr>
        <w:t>a</w:t>
      </w:r>
      <w:r w:rsidRPr="00EF53C7">
        <w:rPr>
          <w:rFonts w:asciiTheme="minorHAnsi" w:hAnsiTheme="minorHAnsi" w:cs="Calibri"/>
          <w:sz w:val="24"/>
          <w:szCs w:val="24"/>
        </w:rPr>
        <w:t xml:space="preserve"> cada uno de los contratos de prestación de servicios</w:t>
      </w:r>
      <w:r>
        <w:rPr>
          <w:rFonts w:asciiTheme="minorHAnsi" w:hAnsiTheme="minorHAnsi" w:cs="Calibri"/>
          <w:sz w:val="24"/>
          <w:szCs w:val="24"/>
        </w:rPr>
        <w:t xml:space="preserve"> que suscriba con los encargados de tratamiento</w:t>
      </w:r>
      <w:r w:rsidRPr="00EF53C7">
        <w:rPr>
          <w:rFonts w:asciiTheme="minorHAnsi" w:hAnsiTheme="minorHAnsi" w:cs="Calibri"/>
          <w:sz w:val="24"/>
          <w:szCs w:val="24"/>
        </w:rPr>
        <w:t>, el registro de actividades de tratamiento y un anexo con</w:t>
      </w:r>
      <w:r>
        <w:rPr>
          <w:rFonts w:asciiTheme="minorHAnsi" w:hAnsiTheme="minorHAnsi" w:cs="Calibri"/>
          <w:sz w:val="24"/>
          <w:szCs w:val="24"/>
        </w:rPr>
        <w:t xml:space="preserve"> las directrices para atender las solicitudes de ejercicio de derechos en materia de protección de datos que reciba de los interesados, las</w:t>
      </w:r>
      <w:r w:rsidRPr="00EF53C7">
        <w:rPr>
          <w:rFonts w:asciiTheme="minorHAnsi" w:hAnsiTheme="minorHAnsi" w:cs="Calibri"/>
          <w:sz w:val="24"/>
          <w:szCs w:val="24"/>
        </w:rPr>
        <w:t xml:space="preserve"> recomendaciones sobre </w:t>
      </w:r>
      <w:r>
        <w:rPr>
          <w:rFonts w:asciiTheme="minorHAnsi" w:hAnsiTheme="minorHAnsi" w:cs="Calibri"/>
          <w:sz w:val="24"/>
          <w:szCs w:val="24"/>
        </w:rPr>
        <w:t xml:space="preserve">las </w:t>
      </w:r>
      <w:r w:rsidRPr="00EF53C7">
        <w:rPr>
          <w:rFonts w:asciiTheme="minorHAnsi" w:hAnsiTheme="minorHAnsi" w:cs="Calibri"/>
          <w:sz w:val="24"/>
          <w:szCs w:val="24"/>
        </w:rPr>
        <w:t xml:space="preserve">medidas de seguridad </w:t>
      </w:r>
      <w:r>
        <w:rPr>
          <w:rFonts w:asciiTheme="minorHAnsi" w:hAnsiTheme="minorHAnsi" w:cs="Calibri"/>
          <w:sz w:val="24"/>
          <w:szCs w:val="24"/>
        </w:rPr>
        <w:t xml:space="preserve">mínimas que debería implantar en la organización y los requisitos a seguir para un correcto tratamiento de las imágenes captadas </w:t>
      </w:r>
      <w:r w:rsidRPr="00EF53C7">
        <w:rPr>
          <w:rFonts w:asciiTheme="minorHAnsi" w:hAnsiTheme="minorHAnsi" w:cs="Calibri"/>
          <w:sz w:val="24"/>
          <w:szCs w:val="24"/>
        </w:rPr>
        <w:t xml:space="preserve">por </w:t>
      </w:r>
      <w:r>
        <w:rPr>
          <w:rFonts w:asciiTheme="minorHAnsi" w:hAnsiTheme="minorHAnsi" w:cs="Calibri"/>
          <w:sz w:val="24"/>
          <w:szCs w:val="24"/>
        </w:rPr>
        <w:t xml:space="preserve">las </w:t>
      </w:r>
      <w:r w:rsidRPr="00EF53C7">
        <w:rPr>
          <w:rFonts w:asciiTheme="minorHAnsi" w:hAnsiTheme="minorHAnsi" w:cs="Calibri"/>
          <w:sz w:val="24"/>
          <w:szCs w:val="24"/>
        </w:rPr>
        <w:t>cámaras de videovigilancia</w:t>
      </w:r>
      <w:r w:rsidR="00782214">
        <w:rPr>
          <w:rFonts w:asciiTheme="minorHAnsi" w:hAnsiTheme="minorHAnsi" w:cs="Calibri"/>
          <w:sz w:val="24"/>
          <w:szCs w:val="24"/>
        </w:rPr>
        <w:t xml:space="preserve"> j</w:t>
      </w:r>
      <w:r w:rsidR="00782214" w:rsidRPr="00782214">
        <w:rPr>
          <w:rFonts w:asciiTheme="minorHAnsi" w:hAnsiTheme="minorHAnsi" w:cs="Calibri"/>
          <w:sz w:val="24"/>
          <w:szCs w:val="24"/>
        </w:rPr>
        <w:t>unto con el cartel informativo para señalizar la zona videovigilada, ya cumplimentado con los datos del responsable del tratamiento.</w:t>
      </w:r>
      <w:r w:rsidRPr="00EF53C7">
        <w:rPr>
          <w:rFonts w:asciiTheme="minorHAnsi" w:hAnsiTheme="minorHAnsi" w:cs="Calibri"/>
          <w:sz w:val="24"/>
          <w:szCs w:val="24"/>
        </w:rPr>
        <w:t>.</w:t>
      </w:r>
    </w:p>
    <w:p w:rsidR="00566168" w:rsidRDefault="00B2262B" w:rsidP="00F65432">
      <w:pPr>
        <w:jc w:val="both"/>
        <w:rPr>
          <w:rFonts w:asciiTheme="minorHAnsi" w:hAnsiTheme="minorHAnsi" w:cs="Calibri"/>
          <w:sz w:val="24"/>
          <w:szCs w:val="24"/>
        </w:rPr>
      </w:pPr>
      <w:r w:rsidRPr="00EF53C7">
        <w:rPr>
          <w:rFonts w:asciiTheme="minorHAnsi" w:hAnsiTheme="minorHAnsi" w:cs="Calibri"/>
          <w:sz w:val="24"/>
          <w:szCs w:val="24"/>
        </w:rPr>
        <w:t xml:space="preserve">La documentación </w:t>
      </w:r>
      <w:r>
        <w:rPr>
          <w:rFonts w:asciiTheme="minorHAnsi" w:hAnsiTheme="minorHAnsi" w:cs="Calibri"/>
          <w:sz w:val="24"/>
          <w:szCs w:val="24"/>
        </w:rPr>
        <w:t xml:space="preserve">generada </w:t>
      </w:r>
      <w:r w:rsidRPr="00EF53C7">
        <w:rPr>
          <w:rFonts w:asciiTheme="minorHAnsi" w:hAnsiTheme="minorHAnsi" w:cs="Calibri"/>
          <w:sz w:val="24"/>
          <w:szCs w:val="24"/>
        </w:rPr>
        <w:t xml:space="preserve">está </w:t>
      </w:r>
      <w:r>
        <w:rPr>
          <w:rFonts w:asciiTheme="minorHAnsi" w:hAnsiTheme="minorHAnsi" w:cs="Calibri"/>
          <w:sz w:val="24"/>
          <w:szCs w:val="24"/>
        </w:rPr>
        <w:t xml:space="preserve">adaptada </w:t>
      </w:r>
      <w:r w:rsidRPr="00EF53C7">
        <w:rPr>
          <w:rFonts w:asciiTheme="minorHAnsi" w:hAnsiTheme="minorHAnsi" w:cs="Calibri"/>
          <w:sz w:val="24"/>
          <w:szCs w:val="24"/>
        </w:rPr>
        <w:t xml:space="preserve">a </w:t>
      </w:r>
      <w:r>
        <w:rPr>
          <w:rFonts w:asciiTheme="minorHAnsi" w:hAnsiTheme="minorHAnsi" w:cs="Calibri"/>
          <w:sz w:val="24"/>
          <w:szCs w:val="24"/>
        </w:rPr>
        <w:t xml:space="preserve">la información facilitada para </w:t>
      </w:r>
      <w:r w:rsidRPr="00EF53C7">
        <w:rPr>
          <w:rFonts w:asciiTheme="minorHAnsi" w:hAnsiTheme="minorHAnsi" w:cs="Calibri"/>
          <w:sz w:val="24"/>
          <w:szCs w:val="24"/>
        </w:rPr>
        <w:t xml:space="preserve">cada uno de los tratamientos que ha seleccionado al cumplimentar </w:t>
      </w:r>
      <w:r>
        <w:rPr>
          <w:rFonts w:asciiTheme="minorHAnsi" w:hAnsiTheme="minorHAnsi" w:cs="Calibri"/>
          <w:sz w:val="24"/>
          <w:szCs w:val="24"/>
        </w:rPr>
        <w:t>la aplicación</w:t>
      </w:r>
      <w:r w:rsidRPr="00EF53C7">
        <w:rPr>
          <w:rFonts w:asciiTheme="minorHAnsi" w:hAnsiTheme="minorHAnsi" w:cs="Calibri"/>
          <w:sz w:val="24"/>
          <w:szCs w:val="24"/>
        </w:rPr>
        <w:t>.</w:t>
      </w:r>
      <w:r w:rsidR="00653AA1" w:rsidRPr="00346227">
        <w:rPr>
          <w:rFonts w:asciiTheme="minorHAnsi" w:hAnsiTheme="minorHAnsi" w:cs="Calibri"/>
          <w:sz w:val="24"/>
          <w:szCs w:val="24"/>
        </w:rPr>
        <w:t xml:space="preserve"> </w:t>
      </w:r>
    </w:p>
    <w:p w:rsidR="008332C4" w:rsidRDefault="008332C4" w:rsidP="00F65432">
      <w:pPr>
        <w:jc w:val="both"/>
        <w:rPr>
          <w:rFonts w:asciiTheme="minorHAnsi" w:hAnsiTheme="minorHAnsi" w:cs="Calibri"/>
          <w:sz w:val="24"/>
          <w:szCs w:val="24"/>
        </w:rPr>
      </w:pPr>
    </w:p>
    <w:p w:rsidR="00566168" w:rsidRDefault="00566168" w:rsidP="00566168">
      <w:pPr>
        <w:suppressAutoHyphens w:val="0"/>
        <w:spacing w:before="120" w:after="120"/>
        <w:jc w:val="both"/>
        <w:textAlignment w:val="auto"/>
        <w:rPr>
          <w:rFonts w:cs="Calibri"/>
          <w:b/>
          <w:color w:val="FF0000"/>
          <w:sz w:val="24"/>
          <w:u w:val="single"/>
        </w:rPr>
      </w:pPr>
      <w:r w:rsidRPr="006E0413">
        <w:rPr>
          <w:rFonts w:cs="Calibri"/>
          <w:b/>
          <w:color w:val="FF0000"/>
          <w:sz w:val="24"/>
          <w:u w:val="single"/>
        </w:rPr>
        <w:t>AVISO: No olvide firmar la última hoja de cada uno de los contratos que se han obtenido.</w:t>
      </w:r>
    </w:p>
    <w:p w:rsidR="005D4CAA" w:rsidRDefault="0086264F">
      <w:r>
        <w:br w:type="page"/>
      </w:r>
    </w:p>
    <w:p w:rsidR="00566168" w:rsidRPr="00AE185D" w:rsidRDefault="00566168" w:rsidP="00256BE3">
      <w:pPr>
        <w:keepNext/>
        <w:jc w:val="center"/>
        <w:rPr>
          <w:rFonts w:asciiTheme="minorHAnsi" w:hAnsiTheme="minorHAnsi"/>
          <w:b/>
          <w:sz w:val="32"/>
          <w:szCs w:val="32"/>
        </w:rPr>
      </w:pPr>
      <w:r w:rsidRPr="00AE185D">
        <w:rPr>
          <w:rFonts w:asciiTheme="minorHAnsi" w:hAnsiTheme="minorHAnsi"/>
          <w:b/>
          <w:sz w:val="32"/>
          <w:szCs w:val="32"/>
        </w:rPr>
        <w:t xml:space="preserve">ANEXO </w:t>
      </w:r>
    </w:p>
    <w:p w:rsidR="00566168" w:rsidRDefault="00566168" w:rsidP="00256BE3">
      <w:pPr>
        <w:keepNext/>
        <w:jc w:val="both"/>
        <w:rPr>
          <w:rFonts w:asciiTheme="minorHAnsi" w:hAnsiTheme="minorHAnsi"/>
          <w:b/>
          <w:sz w:val="24"/>
          <w:szCs w:val="24"/>
        </w:rPr>
      </w:pPr>
    </w:p>
    <w:p w:rsidR="00566168" w:rsidRPr="00346227" w:rsidRDefault="00566168" w:rsidP="00256BE3">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rsidR="00566168" w:rsidRDefault="00566168" w:rsidP="00256BE3">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rsidR="00566168" w:rsidRDefault="00566168" w:rsidP="00256BE3">
      <w:pPr>
        <w:keepNext/>
        <w:jc w:val="both"/>
        <w:rPr>
          <w:rFonts w:asciiTheme="minorHAnsi" w:hAnsiTheme="minorHAnsi"/>
          <w:sz w:val="24"/>
          <w:szCs w:val="24"/>
        </w:rPr>
      </w:pPr>
    </w:p>
    <w:p w:rsidR="00566168" w:rsidRPr="00AE185D" w:rsidRDefault="00566168" w:rsidP="00256BE3">
      <w:pPr>
        <w:keepNext/>
        <w:jc w:val="center"/>
        <w:rPr>
          <w:rFonts w:asciiTheme="minorHAnsi" w:hAnsiTheme="minorHAnsi"/>
          <w:b/>
          <w:sz w:val="24"/>
          <w:szCs w:val="24"/>
        </w:rPr>
      </w:pPr>
      <w:r w:rsidRPr="00AE185D">
        <w:rPr>
          <w:rFonts w:asciiTheme="minorHAnsi" w:hAnsiTheme="minorHAnsi"/>
          <w:b/>
          <w:sz w:val="24"/>
          <w:szCs w:val="24"/>
        </w:rPr>
        <w:t>ATENCIÓN DEL EJERCICIO DE DERECHOS</w:t>
      </w:r>
    </w:p>
    <w:p w:rsidR="00566168" w:rsidRPr="00AE185D" w:rsidRDefault="00566168" w:rsidP="00256BE3">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rsidR="00566168" w:rsidRDefault="00566168" w:rsidP="00256BE3">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rsidR="00566168" w:rsidRDefault="00566168" w:rsidP="00256BE3">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rsidR="00566168" w:rsidRDefault="00566168" w:rsidP="00256BE3">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rsidR="00566168" w:rsidRPr="00DA4B3A" w:rsidRDefault="00566168" w:rsidP="00256BE3">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Las solicitudes deben responderse en el plazo de 1 mes desde su recepción, pudiendo prorrogarse en otros dos meses teniendo en cuenta la complejidad o el número de solicitudes, pero en ese caso debe informarse al interesado de la prórroga en el plazo de un mes a partir de la recepción de la solicitud, indicando los motivos de la dilación.</w:t>
      </w:r>
    </w:p>
    <w:p w:rsidR="00566168" w:rsidRDefault="00566168" w:rsidP="00256BE3">
      <w:pPr>
        <w:pStyle w:val="Prrafodelista"/>
        <w:autoSpaceDN/>
        <w:spacing w:after="200" w:line="276" w:lineRule="auto"/>
        <w:ind w:left="1440"/>
        <w:contextualSpacing/>
        <w:jc w:val="both"/>
        <w:textAlignment w:val="auto"/>
        <w:rPr>
          <w:rFonts w:asciiTheme="minorHAnsi" w:hAnsiTheme="minorHAnsi"/>
          <w:sz w:val="24"/>
          <w:szCs w:val="24"/>
        </w:rPr>
      </w:pPr>
    </w:p>
    <w:p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86264F">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rsidR="00566168" w:rsidRPr="00346227" w:rsidRDefault="0086264F" w:rsidP="00256BE3">
      <w:pPr>
        <w:pStyle w:val="Prrafodelista"/>
        <w:numPr>
          <w:ilvl w:val="0"/>
          <w:numId w:val="8"/>
        </w:numPr>
        <w:ind w:left="1068"/>
        <w:jc w:val="both"/>
        <w:rPr>
          <w:rFonts w:asciiTheme="minorHAnsi" w:hAnsiTheme="minorHAnsi"/>
          <w:sz w:val="24"/>
          <w:szCs w:val="24"/>
        </w:rPr>
      </w:pPr>
      <w:hyperlink r:id="rId12" w:history="1">
        <w:r w:rsidR="00566168" w:rsidRPr="007B2D9D">
          <w:rPr>
            <w:rStyle w:val="Hipervnculo"/>
            <w:rFonts w:asciiTheme="minorHAnsi" w:hAnsiTheme="minorHAnsi"/>
            <w:sz w:val="24"/>
            <w:szCs w:val="24"/>
          </w:rPr>
          <w:t>Formulario para el ejercicio del derecho de acceso.</w:t>
        </w:r>
      </w:hyperlink>
    </w:p>
    <w:p w:rsidR="00566168" w:rsidRPr="00AE185D" w:rsidRDefault="00566168" w:rsidP="00256BE3">
      <w:pPr>
        <w:pStyle w:val="Prrafodelista"/>
        <w:rPr>
          <w:rFonts w:asciiTheme="minorHAnsi" w:hAnsiTheme="minorHAnsi"/>
          <w:sz w:val="24"/>
          <w:szCs w:val="24"/>
        </w:rPr>
      </w:pPr>
    </w:p>
    <w:p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rsidR="00566168" w:rsidRPr="00346227" w:rsidRDefault="0086264F" w:rsidP="00256BE3">
      <w:pPr>
        <w:pStyle w:val="Prrafodelista"/>
        <w:numPr>
          <w:ilvl w:val="0"/>
          <w:numId w:val="8"/>
        </w:numPr>
        <w:ind w:left="1068"/>
        <w:jc w:val="both"/>
        <w:rPr>
          <w:rFonts w:asciiTheme="minorHAnsi" w:hAnsiTheme="minorHAnsi"/>
          <w:sz w:val="24"/>
          <w:szCs w:val="24"/>
        </w:rPr>
      </w:pPr>
      <w:hyperlink r:id="rId13" w:history="1">
        <w:r w:rsidR="00566168" w:rsidRPr="007B2D9D">
          <w:rPr>
            <w:rStyle w:val="Hipervnculo"/>
            <w:rFonts w:asciiTheme="minorHAnsi" w:hAnsiTheme="minorHAnsi"/>
            <w:sz w:val="24"/>
            <w:szCs w:val="24"/>
          </w:rPr>
          <w:t>Formulario para el ejercicio del derecho de rectificación</w:t>
        </w:r>
      </w:hyperlink>
    </w:p>
    <w:p w:rsidR="00566168" w:rsidRDefault="00566168" w:rsidP="00256BE3">
      <w:pPr>
        <w:pStyle w:val="Prrafodelista"/>
        <w:autoSpaceDN/>
        <w:spacing w:after="200" w:line="276" w:lineRule="auto"/>
        <w:contextualSpacing/>
        <w:jc w:val="both"/>
        <w:textAlignment w:val="auto"/>
        <w:rPr>
          <w:rFonts w:asciiTheme="minorHAnsi" w:hAnsiTheme="minorHAnsi"/>
          <w:sz w:val="24"/>
          <w:szCs w:val="24"/>
        </w:rPr>
      </w:pPr>
    </w:p>
    <w:p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rsidR="00566168" w:rsidRDefault="0086264F" w:rsidP="00256BE3">
      <w:pPr>
        <w:pStyle w:val="Prrafodelista"/>
        <w:numPr>
          <w:ilvl w:val="0"/>
          <w:numId w:val="8"/>
        </w:numPr>
        <w:ind w:left="1068"/>
        <w:jc w:val="both"/>
        <w:rPr>
          <w:rFonts w:asciiTheme="minorHAnsi" w:hAnsiTheme="minorHAnsi"/>
          <w:sz w:val="24"/>
          <w:szCs w:val="24"/>
        </w:rPr>
      </w:pPr>
      <w:hyperlink r:id="rId14"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rsidR="00566168" w:rsidRDefault="00566168" w:rsidP="00256BE3">
      <w:pPr>
        <w:pStyle w:val="Prrafodelista"/>
        <w:autoSpaceDN/>
        <w:spacing w:after="200" w:line="276" w:lineRule="auto"/>
        <w:ind w:left="1440"/>
        <w:contextualSpacing/>
        <w:jc w:val="both"/>
        <w:textAlignment w:val="auto"/>
        <w:rPr>
          <w:rFonts w:asciiTheme="minorHAnsi" w:hAnsiTheme="minorHAnsi"/>
          <w:sz w:val="24"/>
          <w:szCs w:val="24"/>
        </w:rPr>
      </w:pPr>
    </w:p>
    <w:p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rsidR="00566168" w:rsidRDefault="0086264F" w:rsidP="00256BE3">
      <w:pPr>
        <w:pStyle w:val="Prrafodelista"/>
        <w:numPr>
          <w:ilvl w:val="0"/>
          <w:numId w:val="8"/>
        </w:numPr>
        <w:ind w:left="1068"/>
        <w:jc w:val="both"/>
        <w:rPr>
          <w:rFonts w:asciiTheme="minorHAnsi" w:hAnsiTheme="minorHAnsi"/>
          <w:sz w:val="24"/>
          <w:szCs w:val="24"/>
        </w:rPr>
      </w:pPr>
      <w:hyperlink r:id="rId15"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rsidR="00566168" w:rsidRDefault="00566168" w:rsidP="00256BE3">
      <w:pPr>
        <w:pStyle w:val="Prrafodelista"/>
        <w:autoSpaceDN/>
        <w:spacing w:after="200" w:line="276" w:lineRule="auto"/>
        <w:ind w:left="1440"/>
        <w:contextualSpacing/>
        <w:jc w:val="both"/>
        <w:textAlignment w:val="auto"/>
        <w:rPr>
          <w:rFonts w:asciiTheme="minorHAnsi" w:hAnsiTheme="minorHAnsi"/>
          <w:sz w:val="24"/>
          <w:szCs w:val="24"/>
        </w:rPr>
      </w:pPr>
    </w:p>
    <w:p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rsidR="00566168" w:rsidRDefault="0086264F" w:rsidP="00256BE3">
      <w:pPr>
        <w:pStyle w:val="Prrafodelista"/>
        <w:numPr>
          <w:ilvl w:val="0"/>
          <w:numId w:val="8"/>
        </w:numPr>
        <w:ind w:left="1068"/>
        <w:jc w:val="both"/>
        <w:rPr>
          <w:rFonts w:asciiTheme="minorHAnsi" w:hAnsiTheme="minorHAnsi"/>
          <w:sz w:val="24"/>
          <w:szCs w:val="24"/>
        </w:rPr>
      </w:pPr>
      <w:hyperlink r:id="rId16"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rsidR="00566168" w:rsidRDefault="00566168" w:rsidP="00256BE3">
      <w:pPr>
        <w:pStyle w:val="Prrafodelista"/>
        <w:autoSpaceDN/>
        <w:spacing w:after="200" w:line="276" w:lineRule="auto"/>
        <w:contextualSpacing/>
        <w:jc w:val="both"/>
        <w:textAlignment w:val="auto"/>
        <w:rPr>
          <w:rFonts w:asciiTheme="minorHAnsi" w:hAnsiTheme="minorHAnsi"/>
          <w:sz w:val="24"/>
          <w:szCs w:val="24"/>
        </w:rPr>
      </w:pPr>
    </w:p>
    <w:p w:rsidR="00566168" w:rsidRPr="00AE185D" w:rsidRDefault="00566168" w:rsidP="00256BE3">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desproporcionado, facilitando al interesado información acerca de dichos destinatarios, si así lo solicita. </w:t>
      </w:r>
    </w:p>
    <w:p w:rsidR="00566168" w:rsidRPr="00641DA2" w:rsidRDefault="0086264F" w:rsidP="00256BE3">
      <w:pPr>
        <w:pStyle w:val="Prrafodelista"/>
        <w:numPr>
          <w:ilvl w:val="0"/>
          <w:numId w:val="27"/>
        </w:numPr>
        <w:jc w:val="both"/>
        <w:rPr>
          <w:rFonts w:asciiTheme="minorHAnsi" w:hAnsiTheme="minorHAnsi"/>
          <w:sz w:val="24"/>
          <w:szCs w:val="24"/>
        </w:rPr>
      </w:pPr>
      <w:hyperlink r:id="rId17" w:history="1">
        <w:r w:rsidR="00566168" w:rsidRPr="007319EC">
          <w:rPr>
            <w:rStyle w:val="Hipervnculo"/>
            <w:rFonts w:asciiTheme="minorHAnsi" w:hAnsiTheme="minorHAnsi"/>
            <w:sz w:val="24"/>
            <w:szCs w:val="24"/>
          </w:rPr>
          <w:t>Formulario para el ejercicio de la limitación del tratamiento.</w:t>
        </w:r>
      </w:hyperlink>
    </w:p>
    <w:p w:rsidR="00566168" w:rsidRDefault="00566168" w:rsidP="00256BE3">
      <w:pPr>
        <w:jc w:val="both"/>
        <w:rPr>
          <w:rFonts w:asciiTheme="minorHAnsi" w:hAnsiTheme="minorHAnsi"/>
          <w:sz w:val="24"/>
          <w:szCs w:val="24"/>
        </w:rPr>
      </w:pPr>
    </w:p>
    <w:p w:rsidR="00566168" w:rsidRDefault="00566168" w:rsidP="00256BE3">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rsidR="00566168" w:rsidRPr="00346227" w:rsidRDefault="00566168" w:rsidP="00256BE3">
      <w:pPr>
        <w:jc w:val="both"/>
        <w:rPr>
          <w:rFonts w:asciiTheme="minorHAnsi" w:hAnsiTheme="minorHAnsi"/>
          <w:sz w:val="24"/>
          <w:szCs w:val="24"/>
        </w:rPr>
      </w:pPr>
    </w:p>
    <w:p w:rsidR="00566168" w:rsidRDefault="00566168" w:rsidP="00256BE3">
      <w:pPr>
        <w:keepNext/>
        <w:jc w:val="center"/>
        <w:rPr>
          <w:rFonts w:asciiTheme="minorHAnsi" w:hAnsiTheme="minorHAnsi"/>
          <w:b/>
          <w:sz w:val="24"/>
          <w:szCs w:val="24"/>
        </w:rPr>
      </w:pPr>
      <w:r>
        <w:rPr>
          <w:rFonts w:asciiTheme="minorHAnsi" w:hAnsiTheme="minorHAnsi"/>
          <w:b/>
          <w:sz w:val="24"/>
          <w:szCs w:val="24"/>
        </w:rPr>
        <w:t>MEDIDAS DE SEGURIDAD</w:t>
      </w:r>
    </w:p>
    <w:p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rsidR="00566168" w:rsidRDefault="00566168" w:rsidP="00256BE3">
      <w:pPr>
        <w:keepNext/>
        <w:rPr>
          <w:rFonts w:asciiTheme="minorHAnsi" w:hAnsiTheme="minorHAnsi"/>
          <w:b/>
          <w:sz w:val="24"/>
          <w:szCs w:val="24"/>
        </w:rPr>
      </w:pPr>
    </w:p>
    <w:p w:rsidR="00566168" w:rsidRPr="00346227" w:rsidRDefault="00566168" w:rsidP="00256BE3">
      <w:pPr>
        <w:keepNext/>
        <w:jc w:val="both"/>
        <w:rPr>
          <w:rFonts w:asciiTheme="minorHAnsi" w:hAnsiTheme="minorHAnsi"/>
          <w:b/>
          <w:sz w:val="24"/>
          <w:szCs w:val="24"/>
        </w:rPr>
      </w:pPr>
      <w:r w:rsidRPr="00346227">
        <w:rPr>
          <w:rFonts w:asciiTheme="minorHAnsi" w:hAnsiTheme="minorHAnsi"/>
          <w:b/>
          <w:sz w:val="24"/>
          <w:szCs w:val="24"/>
        </w:rPr>
        <w:t>MEDIDAS ORGANIZATIVAS</w:t>
      </w:r>
    </w:p>
    <w:p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rsidR="00566168" w:rsidRPr="00346227" w:rsidRDefault="00566168" w:rsidP="00256BE3">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rsidR="00566168" w:rsidRPr="00346227" w:rsidRDefault="00566168" w:rsidP="00256BE3">
      <w:pPr>
        <w:pStyle w:val="Prrafodelista"/>
        <w:keepNext/>
        <w:numPr>
          <w:ilvl w:val="0"/>
          <w:numId w:val="8"/>
        </w:numPr>
        <w:autoSpaceDN/>
        <w:spacing w:after="200" w:line="276" w:lineRule="auto"/>
        <w:ind w:left="714" w:hanging="357"/>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sta consideración incluye las pantallas que se utilicen para la visualización de imágenes del sistema de videovigilancia. Cuando se ausente del puesto de trabajo, se procederá al bloqueo de la pantalla o al cierre de la sesión.</w:t>
      </w:r>
    </w:p>
    <w:p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datos personales protegidos durante las consultas telefónicas, correos electrónicos, etc.</w:t>
      </w:r>
    </w:p>
    <w:p w:rsidR="00566168" w:rsidRPr="00346227"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rsidR="00566168" w:rsidRDefault="00566168" w:rsidP="00256BE3">
      <w:pPr>
        <w:pStyle w:val="Prrafodelista"/>
        <w:ind w:left="1440"/>
        <w:jc w:val="both"/>
        <w:rPr>
          <w:rFonts w:asciiTheme="minorHAnsi" w:hAnsiTheme="minorHAnsi"/>
          <w:sz w:val="24"/>
          <w:szCs w:val="24"/>
        </w:rPr>
      </w:pPr>
    </w:p>
    <w:p w:rsidR="00566168" w:rsidRPr="00346227" w:rsidRDefault="00566168" w:rsidP="00256BE3">
      <w:pPr>
        <w:pStyle w:val="Prrafodelista"/>
        <w:keepNext/>
        <w:numPr>
          <w:ilvl w:val="0"/>
          <w:numId w:val="8"/>
        </w:numPr>
        <w:autoSpaceDN/>
        <w:spacing w:after="200" w:line="276" w:lineRule="auto"/>
        <w:ind w:left="714" w:hanging="357"/>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rsidR="00566168" w:rsidRPr="00354BA3"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18"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rsidR="00566168" w:rsidRPr="00346227" w:rsidRDefault="00566168" w:rsidP="00256BE3">
      <w:pPr>
        <w:pStyle w:val="Prrafodelista"/>
        <w:ind w:left="1440"/>
        <w:jc w:val="both"/>
        <w:rPr>
          <w:rFonts w:asciiTheme="minorHAnsi" w:hAnsiTheme="minorHAnsi"/>
          <w:sz w:val="24"/>
          <w:szCs w:val="24"/>
        </w:rPr>
      </w:pPr>
    </w:p>
    <w:p w:rsidR="00566168" w:rsidRPr="00346227" w:rsidRDefault="00566168" w:rsidP="00256BE3">
      <w:pPr>
        <w:keepNext/>
        <w:jc w:val="both"/>
        <w:rPr>
          <w:rFonts w:asciiTheme="minorHAnsi" w:hAnsiTheme="minorHAnsi"/>
          <w:b/>
          <w:sz w:val="24"/>
          <w:szCs w:val="24"/>
        </w:rPr>
      </w:pPr>
      <w:r w:rsidRPr="00346227">
        <w:rPr>
          <w:rFonts w:asciiTheme="minorHAnsi" w:hAnsiTheme="minorHAnsi"/>
          <w:b/>
          <w:sz w:val="24"/>
          <w:szCs w:val="24"/>
        </w:rPr>
        <w:t>MEDIDAS TÉCNICAS</w:t>
      </w:r>
    </w:p>
    <w:p w:rsidR="00566168" w:rsidRPr="00943594" w:rsidRDefault="00566168" w:rsidP="00256BE3">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recomienda disponer de perfiles con derechos de administración para la instalación y configuración del sistema y usuarios sin privilegios o derechos de administración para el acceso a los datos personales. Esta medida evitará que en caso de ataque de ciberseguridad puedan obtenerse privilegios de acceso o modificar el sistema operativo.</w:t>
      </w:r>
    </w:p>
    <w:p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rsidR="00566168" w:rsidRPr="00AE185D"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19"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Ciberseguridad. En ningún caso se compartirán las contraseñas ni se dejarán anotadas en lugar común y el acceso de personas distintas del usuario.</w:t>
      </w:r>
    </w:p>
    <w:p w:rsidR="00566168" w:rsidRPr="00943594" w:rsidRDefault="00566168" w:rsidP="00256BE3">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rsidR="00566168" w:rsidRDefault="00566168" w:rsidP="00256BE3">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proofErr w:type="gramStart"/>
      <w:r w:rsidRPr="00AE185D">
        <w:rPr>
          <w:rFonts w:asciiTheme="minorHAnsi" w:hAnsiTheme="minorHAnsi"/>
          <w:b/>
          <w:sz w:val="24"/>
          <w:szCs w:val="24"/>
        </w:rPr>
        <w:t>MALWARE</w:t>
      </w:r>
      <w:proofErr w:type="gramEnd"/>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rsidR="00566168"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rsidR="00566168" w:rsidRPr="00AE185D" w:rsidRDefault="00566168" w:rsidP="00256BE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rsidR="00566168" w:rsidRPr="00346227" w:rsidRDefault="00566168" w:rsidP="00256BE3">
      <w:pPr>
        <w:pStyle w:val="Prrafodelista"/>
        <w:ind w:left="1440"/>
        <w:jc w:val="both"/>
        <w:rPr>
          <w:rFonts w:asciiTheme="minorHAnsi" w:hAnsiTheme="minorHAnsi"/>
          <w:sz w:val="24"/>
          <w:szCs w:val="24"/>
        </w:rPr>
      </w:pPr>
    </w:p>
    <w:p w:rsidR="00566168" w:rsidRPr="00346227" w:rsidRDefault="00566168" w:rsidP="00256BE3">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rsidR="00566168" w:rsidRPr="004078BC" w:rsidRDefault="00566168" w:rsidP="00256BE3">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Ciberseguridad (INCIBE) en su página web </w:t>
      </w:r>
      <w:hyperlink r:id="rId20"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1"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rsidR="00566168" w:rsidRDefault="00566168" w:rsidP="00256BE3">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apartado de </w:t>
      </w:r>
      <w:hyperlink r:id="rId22"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3"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4"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5"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rsidR="00566168" w:rsidRDefault="00566168" w:rsidP="00256BE3">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6"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rsidR="00566168" w:rsidRDefault="00566168" w:rsidP="00256BE3">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27"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ciberseguridad, entre ellas </w:t>
      </w:r>
      <w:hyperlink r:id="rId28"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29"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0"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rsidR="00566168" w:rsidRDefault="0086264F" w:rsidP="00256BE3">
      <w:pPr>
        <w:pStyle w:val="Prrafodelista"/>
        <w:numPr>
          <w:ilvl w:val="0"/>
          <w:numId w:val="31"/>
        </w:numPr>
        <w:jc w:val="both"/>
        <w:rPr>
          <w:rFonts w:asciiTheme="minorHAnsi" w:hAnsiTheme="minorHAnsi"/>
          <w:iCs/>
          <w:sz w:val="24"/>
          <w:szCs w:val="24"/>
        </w:rPr>
      </w:pPr>
      <w:hyperlink r:id="rId31"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rsidR="00566168" w:rsidRPr="00AE185D" w:rsidRDefault="0086264F" w:rsidP="00256BE3">
      <w:pPr>
        <w:pStyle w:val="Prrafodelista"/>
        <w:numPr>
          <w:ilvl w:val="0"/>
          <w:numId w:val="31"/>
        </w:numPr>
        <w:jc w:val="both"/>
        <w:rPr>
          <w:rFonts w:asciiTheme="minorHAnsi" w:hAnsiTheme="minorHAnsi"/>
          <w:iCs/>
          <w:sz w:val="24"/>
          <w:szCs w:val="24"/>
        </w:rPr>
      </w:pPr>
      <w:hyperlink r:id="rId32"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rsidR="00566168" w:rsidRDefault="00566168" w:rsidP="00256BE3">
      <w:pPr>
        <w:jc w:val="both"/>
        <w:rPr>
          <w:rFonts w:asciiTheme="minorHAnsi" w:hAnsiTheme="minorHAnsi"/>
          <w:iCs/>
          <w:sz w:val="24"/>
          <w:szCs w:val="24"/>
        </w:rPr>
      </w:pPr>
    </w:p>
    <w:p w:rsidR="00566168" w:rsidRDefault="00566168" w:rsidP="00256BE3">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3"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4"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rsidR="00566168" w:rsidRPr="00AE185D" w:rsidRDefault="00566168" w:rsidP="00256BE3">
      <w:pPr>
        <w:jc w:val="both"/>
        <w:rPr>
          <w:rFonts w:asciiTheme="minorHAnsi" w:hAnsiTheme="minorHAnsi"/>
          <w:iCs/>
          <w:sz w:val="24"/>
          <w:szCs w:val="24"/>
        </w:rPr>
      </w:pPr>
    </w:p>
    <w:p w:rsidR="00566168" w:rsidRDefault="00566168" w:rsidP="00256BE3">
      <w:pPr>
        <w:keepNext/>
        <w:autoSpaceDN/>
        <w:spacing w:after="200" w:line="276" w:lineRule="auto"/>
        <w:contextualSpacing/>
        <w:jc w:val="center"/>
        <w:textAlignment w:val="auto"/>
        <w:rPr>
          <w:rFonts w:asciiTheme="minorHAnsi" w:hAnsiTheme="minorHAnsi"/>
          <w:b/>
          <w:sz w:val="24"/>
          <w:szCs w:val="24"/>
        </w:rPr>
      </w:pPr>
      <w:bookmarkStart w:id="1" w:name="_Hlk2688268"/>
      <w:r w:rsidRPr="00AE185D">
        <w:rPr>
          <w:rFonts w:asciiTheme="minorHAnsi" w:hAnsiTheme="minorHAnsi"/>
          <w:b/>
          <w:sz w:val="24"/>
          <w:szCs w:val="24"/>
        </w:rPr>
        <w:t xml:space="preserve">CAPTACIÓN DE IMÁGENES CON CÁMARAS Y FINALIDAD DE SEGURIDAD </w:t>
      </w:r>
    </w:p>
    <w:p w:rsidR="00566168" w:rsidRDefault="00566168" w:rsidP="00256BE3">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rsidR="00566168" w:rsidRDefault="00566168" w:rsidP="00256BE3">
      <w:pPr>
        <w:keepNext/>
        <w:autoSpaceDN/>
        <w:spacing w:after="200" w:line="276" w:lineRule="auto"/>
        <w:contextualSpacing/>
        <w:jc w:val="both"/>
        <w:textAlignment w:val="auto"/>
        <w:rPr>
          <w:rFonts w:asciiTheme="minorHAnsi" w:hAnsiTheme="minorHAnsi"/>
          <w:sz w:val="24"/>
          <w:szCs w:val="24"/>
        </w:rPr>
      </w:pPr>
    </w:p>
    <w:p w:rsidR="00566168" w:rsidRPr="00AE185D" w:rsidRDefault="00566168" w:rsidP="00256BE3">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videovigilancia sea conforme a la normativa de protección de datos. No obstante, se recomienda la consulta de la </w:t>
      </w:r>
      <w:hyperlink r:id="rId35"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rsidR="00566168" w:rsidRDefault="00566168" w:rsidP="00256BE3">
      <w:pPr>
        <w:autoSpaceDN/>
        <w:spacing w:after="200" w:line="276" w:lineRule="auto"/>
        <w:contextualSpacing/>
        <w:jc w:val="both"/>
        <w:textAlignment w:val="auto"/>
        <w:rPr>
          <w:rFonts w:asciiTheme="minorHAnsi" w:hAnsiTheme="minorHAnsi"/>
          <w:b/>
          <w:sz w:val="24"/>
          <w:szCs w:val="24"/>
        </w:rPr>
      </w:pPr>
    </w:p>
    <w:p w:rsidR="00566168" w:rsidRPr="00AE185D" w:rsidRDefault="00566168" w:rsidP="00256BE3">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rsidR="00566168" w:rsidRPr="00AE185D" w:rsidRDefault="00566168" w:rsidP="00256BE3">
      <w:pPr>
        <w:pStyle w:val="Prrafodelista"/>
        <w:autoSpaceDN/>
        <w:spacing w:after="200" w:line="276" w:lineRule="auto"/>
        <w:contextualSpacing/>
        <w:jc w:val="both"/>
        <w:textAlignment w:val="auto"/>
        <w:rPr>
          <w:rFonts w:asciiTheme="minorHAnsi" w:hAnsiTheme="minorHAnsi"/>
          <w:b/>
          <w:sz w:val="24"/>
          <w:szCs w:val="24"/>
        </w:rPr>
      </w:pPr>
    </w:p>
    <w:p w:rsidR="00566168" w:rsidRPr="00AE185D" w:rsidRDefault="00566168" w:rsidP="00256BE3">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rsidR="00566168" w:rsidRDefault="00566168" w:rsidP="00256BE3">
      <w:pPr>
        <w:pStyle w:val="Prrafodelista"/>
        <w:autoSpaceDN/>
        <w:spacing w:after="200" w:line="276" w:lineRule="auto"/>
        <w:contextualSpacing/>
        <w:jc w:val="both"/>
        <w:textAlignment w:val="auto"/>
        <w:rPr>
          <w:rFonts w:asciiTheme="minorHAnsi" w:hAnsiTheme="minorHAnsi"/>
          <w:b/>
          <w:sz w:val="24"/>
          <w:szCs w:val="24"/>
        </w:rPr>
      </w:pPr>
    </w:p>
    <w:p w:rsidR="00566168" w:rsidRPr="00AE185D" w:rsidRDefault="00566168" w:rsidP="00256BE3">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rsidR="00566168" w:rsidRDefault="00566168" w:rsidP="00256BE3">
      <w:pPr>
        <w:pStyle w:val="Prrafodelista"/>
        <w:autoSpaceDN/>
        <w:spacing w:after="200" w:line="276" w:lineRule="auto"/>
        <w:contextualSpacing/>
        <w:jc w:val="both"/>
        <w:textAlignment w:val="auto"/>
        <w:rPr>
          <w:rFonts w:asciiTheme="minorHAnsi" w:hAnsiTheme="minorHAnsi"/>
          <w:b/>
          <w:sz w:val="24"/>
          <w:szCs w:val="24"/>
        </w:rPr>
      </w:pPr>
    </w:p>
    <w:p w:rsidR="0083724B" w:rsidRPr="00CA758A" w:rsidRDefault="00566168" w:rsidP="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6264F" w:rsidRPr="00CA758A">
        <w:rPr>
          <w:rFonts w:asciiTheme="minorHAnsi" w:hAnsiTheme="minorHAnsi"/>
          <w:sz w:val="24"/>
          <w:szCs w:val="24"/>
        </w:rPr>
        <w:t>Dispone de modelos, tanto del pictograma como del texto, en la página web de la Agencia.</w:t>
      </w:r>
    </w:p>
    <w:p w:rsidR="00566168" w:rsidRPr="0083724B" w:rsidRDefault="0086264F" w:rsidP="00256BE3">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6" w:history="1">
        <w:r w:rsidR="00566168" w:rsidRPr="0083724B">
          <w:rPr>
            <w:rStyle w:val="Hipervnculo"/>
            <w:rFonts w:asciiTheme="minorHAnsi" w:hAnsiTheme="minorHAnsi"/>
            <w:sz w:val="24"/>
            <w:szCs w:val="24"/>
          </w:rPr>
          <w:t>Modelo de cartel de aviso de zona videovigilada</w:t>
        </w:r>
      </w:hyperlink>
      <w:r w:rsidR="00566168" w:rsidRPr="0083724B">
        <w:rPr>
          <w:rFonts w:asciiTheme="minorHAnsi" w:hAnsiTheme="minorHAnsi"/>
          <w:sz w:val="24"/>
          <w:szCs w:val="24"/>
        </w:rPr>
        <w:t>.</w:t>
      </w:r>
    </w:p>
    <w:p w:rsidR="00566168" w:rsidRPr="00AE185D" w:rsidRDefault="00566168" w:rsidP="00256BE3">
      <w:pPr>
        <w:pStyle w:val="Prrafodelista"/>
        <w:autoSpaceDN/>
        <w:spacing w:after="200" w:line="276" w:lineRule="auto"/>
        <w:ind w:left="1776"/>
        <w:contextualSpacing/>
        <w:jc w:val="both"/>
        <w:textAlignment w:val="auto"/>
        <w:rPr>
          <w:rFonts w:asciiTheme="minorHAnsi" w:hAnsiTheme="minorHAnsi"/>
          <w:sz w:val="24"/>
          <w:szCs w:val="24"/>
        </w:rPr>
      </w:pPr>
    </w:p>
    <w:p w:rsidR="00566168" w:rsidRPr="007411EE" w:rsidRDefault="00566168" w:rsidP="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rsidR="00566168" w:rsidRPr="00AE185D" w:rsidRDefault="00566168" w:rsidP="00256BE3">
      <w:pPr>
        <w:pStyle w:val="Prrafodelista"/>
        <w:autoSpaceDN/>
        <w:spacing w:after="200" w:line="276" w:lineRule="auto"/>
        <w:contextualSpacing/>
        <w:jc w:val="both"/>
        <w:textAlignment w:val="auto"/>
        <w:rPr>
          <w:rFonts w:asciiTheme="minorHAnsi" w:hAnsiTheme="minorHAnsi"/>
          <w:b/>
          <w:sz w:val="24"/>
          <w:szCs w:val="24"/>
        </w:rPr>
      </w:pPr>
    </w:p>
    <w:p w:rsidR="00566168" w:rsidRPr="007411EE" w:rsidRDefault="00566168" w:rsidP="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Para dar cumplimiento al derecho de acceso de los interesados a las grabaciones del sistema de videovigilancia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rsidR="00566168" w:rsidRDefault="00566168" w:rsidP="00256BE3">
      <w:pPr>
        <w:jc w:val="both"/>
        <w:rPr>
          <w:rFonts w:asciiTheme="minorHAnsi" w:hAnsiTheme="minorHAnsi"/>
          <w:sz w:val="24"/>
          <w:szCs w:val="24"/>
        </w:rPr>
      </w:pPr>
      <w:r w:rsidRPr="00346227">
        <w:rPr>
          <w:rFonts w:asciiTheme="minorHAnsi" w:hAnsiTheme="minorHAnsi"/>
          <w:sz w:val="24"/>
          <w:szCs w:val="24"/>
        </w:rPr>
        <w:t>Para más información puede consultar las guía</w:t>
      </w:r>
      <w:r>
        <w:rPr>
          <w:rFonts w:asciiTheme="minorHAnsi" w:hAnsiTheme="minorHAnsi"/>
          <w:sz w:val="24"/>
          <w:szCs w:val="24"/>
        </w:rPr>
        <w:t xml:space="preserve"> y las fichas </w:t>
      </w:r>
      <w:r w:rsidRPr="00346227">
        <w:rPr>
          <w:rFonts w:asciiTheme="minorHAnsi" w:hAnsiTheme="minorHAnsi"/>
          <w:sz w:val="24"/>
          <w:szCs w:val="24"/>
        </w:rPr>
        <w:t xml:space="preserve">de videovigilancia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37" w:history="1">
        <w:r w:rsidRPr="00F859D2">
          <w:rPr>
            <w:rStyle w:val="Hipervnculo"/>
            <w:rFonts w:asciiTheme="minorHAnsi" w:hAnsiTheme="minorHAnsi"/>
            <w:sz w:val="24"/>
            <w:szCs w:val="24"/>
          </w:rPr>
          <w:t>Videovigilancia</w:t>
        </w:r>
      </w:hyperlink>
      <w:r>
        <w:rPr>
          <w:rFonts w:asciiTheme="minorHAnsi" w:hAnsiTheme="minorHAnsi"/>
          <w:sz w:val="24"/>
          <w:szCs w:val="24"/>
        </w:rPr>
        <w:t>.</w:t>
      </w:r>
      <w:r w:rsidRPr="00346227">
        <w:rPr>
          <w:rFonts w:asciiTheme="minorHAnsi" w:hAnsiTheme="minorHAnsi"/>
          <w:sz w:val="24"/>
          <w:szCs w:val="24"/>
        </w:rPr>
        <w:t xml:space="preserve"> </w:t>
      </w:r>
      <w:bookmarkEnd w:id="1"/>
    </w:p>
    <w:sectPr w:rsidR="00566168" w:rsidSect="00922043">
      <w:footerReference w:type="default" r:id="rId38"/>
      <w:pgSz w:w="11906" w:h="16838"/>
      <w:pgMar w:top="1417" w:right="1700"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64F" w:rsidRDefault="0086264F">
      <w:pPr>
        <w:spacing w:after="0"/>
      </w:pPr>
      <w:r>
        <w:separator/>
      </w:r>
    </w:p>
  </w:endnote>
  <w:endnote w:type="continuationSeparator" w:id="0">
    <w:p w:rsidR="0086264F" w:rsidRDefault="00862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rsidR="003E3661" w:rsidRDefault="00675417" w:rsidP="00675417">
    <w:pPr>
      <w:pStyle w:val="Piedepgina"/>
      <w:tabs>
        <w:tab w:val="clear" w:pos="4252"/>
        <w:tab w:val="clear" w:pos="8504"/>
        <w:tab w:val="left" w:pos="510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043" w:rsidRDefault="00922043" w:rsidP="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val="4F81BD" w:themeColor="accent1"/>
      </w:rPr>
      <w:t>Facilita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64F" w:rsidRDefault="0086264F">
      <w:pPr>
        <w:spacing w:after="0"/>
      </w:pPr>
      <w:r>
        <w:rPr>
          <w:color w:val="000000"/>
        </w:rPr>
        <w:separator/>
      </w:r>
    </w:p>
  </w:footnote>
  <w:footnote w:type="continuationSeparator" w:id="0">
    <w:p w:rsidR="0086264F" w:rsidRDefault="008626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6D"/>
    <w:multiLevelType w:val="multilevel"/>
    <w:tmpl w:val="1C7C3EF2"/>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 w15:restartNumberingAfterBreak="0">
    <w:nsid w:val="04317066"/>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442776B"/>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53442F5"/>
    <w:multiLevelType w:val="hybridMultilevel"/>
    <w:tmpl w:val="27844CC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C7B6C4A"/>
    <w:multiLevelType w:val="hybridMultilevel"/>
    <w:tmpl w:val="61C2AC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67615F"/>
    <w:multiLevelType w:val="hybridMultilevel"/>
    <w:tmpl w:val="BA88AAB8"/>
    <w:lvl w:ilvl="0" w:tplc="C4EE838E">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EA5CF8"/>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00E187C"/>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19737B"/>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3E97EB2"/>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7F1AB4"/>
    <w:multiLevelType w:val="multilevel"/>
    <w:tmpl w:val="46A80422"/>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ECD439E"/>
    <w:multiLevelType w:val="multilevel"/>
    <w:tmpl w:val="A71EB992"/>
    <w:lvl w:ilvl="0">
      <w:numFmt w:val="bullet"/>
      <w:lvlText w:val=""/>
      <w:lvlJc w:val="left"/>
      <w:pPr>
        <w:ind w:left="360" w:hanging="360"/>
      </w:pPr>
      <w:rPr>
        <w:rFonts w:ascii="Wingdings" w:hAnsi="Wingdings"/>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F263D83"/>
    <w:multiLevelType w:val="hybridMultilevel"/>
    <w:tmpl w:val="2AF68780"/>
    <w:lvl w:ilvl="0" w:tplc="53A8BB3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DF186F"/>
    <w:multiLevelType w:val="hybridMultilevel"/>
    <w:tmpl w:val="DE0E431C"/>
    <w:lvl w:ilvl="0" w:tplc="0C0A0017">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4" w15:restartNumberingAfterBreak="0">
    <w:nsid w:val="22C344F1"/>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4D66AED"/>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15:restartNumberingAfterBreak="0">
    <w:nsid w:val="277C7F65"/>
    <w:multiLevelType w:val="multilevel"/>
    <w:tmpl w:val="3F7CD5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2CBD0FCA"/>
    <w:multiLevelType w:val="hybridMultilevel"/>
    <w:tmpl w:val="F9D2A934"/>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1">
      <w:start w:val="1"/>
      <w:numFmt w:val="bullet"/>
      <w:lvlText w:val=""/>
      <w:lvlJc w:val="left"/>
      <w:pPr>
        <w:ind w:left="2508" w:hanging="360"/>
      </w:pPr>
      <w:rPr>
        <w:rFonts w:ascii="Symbol" w:hAnsi="Symbo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2D0718CF"/>
    <w:multiLevelType w:val="hybridMultilevel"/>
    <w:tmpl w:val="8FA2A85E"/>
    <w:lvl w:ilvl="0" w:tplc="8CE48D98">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566617"/>
    <w:multiLevelType w:val="hybridMultilevel"/>
    <w:tmpl w:val="EED40138"/>
    <w:lvl w:ilvl="0" w:tplc="53A8BB3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7F6AE4"/>
    <w:multiLevelType w:val="hybridMultilevel"/>
    <w:tmpl w:val="DE0E431C"/>
    <w:lvl w:ilvl="0" w:tplc="0C0A0017">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1" w15:restartNumberingAfterBreak="0">
    <w:nsid w:val="2EB46C5B"/>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2A64CBF"/>
    <w:multiLevelType w:val="multilevel"/>
    <w:tmpl w:val="1C7C3EF2"/>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3" w15:restartNumberingAfterBreak="0">
    <w:nsid w:val="34C404AD"/>
    <w:multiLevelType w:val="hybridMultilevel"/>
    <w:tmpl w:val="BA88AAB8"/>
    <w:lvl w:ilvl="0" w:tplc="C4EE838E">
      <w:start w:val="1"/>
      <w:numFmt w:val="decimal"/>
      <w:lvlText w:val="%1"/>
      <w:lvlJc w:val="left"/>
      <w:pPr>
        <w:ind w:left="720" w:hanging="360"/>
      </w:pPr>
      <w:rPr>
        <w:rFonts w:cs="Calibri" w:hint="default"/>
        <w:color w:val="2B3949"/>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EDA6006"/>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409027F0"/>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2AD1E5B"/>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46626B17"/>
    <w:multiLevelType w:val="hybridMultilevel"/>
    <w:tmpl w:val="1CECD5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72D494D"/>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9" w15:restartNumberingAfterBreak="0">
    <w:nsid w:val="47F83097"/>
    <w:multiLevelType w:val="hybridMultilevel"/>
    <w:tmpl w:val="DE0E431C"/>
    <w:lvl w:ilvl="0" w:tplc="0C0A0017">
      <w:start w:val="1"/>
      <w:numFmt w:val="lowerLetter"/>
      <w:lvlText w:val="%1)"/>
      <w:lvlJc w:val="left"/>
      <w:pPr>
        <w:ind w:left="717" w:hanging="360"/>
      </w:p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0" w15:restartNumberingAfterBreak="0">
    <w:nsid w:val="48B219DC"/>
    <w:multiLevelType w:val="hybridMultilevel"/>
    <w:tmpl w:val="28CA47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15:restartNumberingAfterBreak="0">
    <w:nsid w:val="4A211EF2"/>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2" w15:restartNumberingAfterBreak="0">
    <w:nsid w:val="4B4549B8"/>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D1145AB"/>
    <w:multiLevelType w:val="hybridMultilevel"/>
    <w:tmpl w:val="1CECD5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4E9E56DD"/>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5" w15:restartNumberingAfterBreak="0">
    <w:nsid w:val="506E4F14"/>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AEB3EAA"/>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5B3412F0"/>
    <w:multiLevelType w:val="hybridMultilevel"/>
    <w:tmpl w:val="52748B06"/>
    <w:lvl w:ilvl="0" w:tplc="0C0A0003">
      <w:start w:val="1"/>
      <w:numFmt w:val="bullet"/>
      <w:lvlText w:val="o"/>
      <w:lvlJc w:val="left"/>
      <w:pPr>
        <w:ind w:left="1434" w:hanging="360"/>
      </w:pPr>
      <w:rPr>
        <w:rFonts w:ascii="Courier New" w:hAnsi="Courier New" w:cs="Courier New" w:hint="default"/>
      </w:rPr>
    </w:lvl>
    <w:lvl w:ilvl="1" w:tplc="0C0A0003">
      <w:start w:val="1"/>
      <w:numFmt w:val="bullet"/>
      <w:lvlText w:val="o"/>
      <w:lvlJc w:val="left"/>
      <w:pPr>
        <w:ind w:left="2154" w:hanging="360"/>
      </w:pPr>
      <w:rPr>
        <w:rFonts w:ascii="Courier New" w:hAnsi="Courier New" w:cs="Courier New" w:hint="default"/>
      </w:rPr>
    </w:lvl>
    <w:lvl w:ilvl="2" w:tplc="0C0A0001">
      <w:start w:val="1"/>
      <w:numFmt w:val="bullet"/>
      <w:lvlText w:val=""/>
      <w:lvlJc w:val="left"/>
      <w:pPr>
        <w:ind w:left="2874" w:hanging="360"/>
      </w:pPr>
      <w:rPr>
        <w:rFonts w:ascii="Symbol" w:hAnsi="Symbol"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8" w15:restartNumberingAfterBreak="0">
    <w:nsid w:val="5E26253A"/>
    <w:multiLevelType w:val="multilevel"/>
    <w:tmpl w:val="C276A44A"/>
    <w:lvl w:ilvl="0">
      <w:numFmt w:val="bullet"/>
      <w:lvlText w:val=""/>
      <w:lvlJc w:val="left"/>
      <w:pPr>
        <w:ind w:left="360" w:hanging="360"/>
      </w:pPr>
      <w:rPr>
        <w:rFonts w:ascii="Wingdings" w:hAnsi="Wingding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2B44D80"/>
    <w:multiLevelType w:val="hybridMultilevel"/>
    <w:tmpl w:val="CA8E5F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6B6D1B"/>
    <w:multiLevelType w:val="multilevel"/>
    <w:tmpl w:val="3EFCA49C"/>
    <w:lvl w:ilvl="0">
      <w:start w:val="1"/>
      <w:numFmt w:val="lowerLetter"/>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1" w15:restartNumberingAfterBreak="0">
    <w:nsid w:val="679D4C30"/>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2" w15:restartNumberingAfterBreak="0">
    <w:nsid w:val="6C8C76A1"/>
    <w:multiLevelType w:val="hybridMultilevel"/>
    <w:tmpl w:val="27844CC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15:restartNumberingAfterBreak="0">
    <w:nsid w:val="6CD20753"/>
    <w:multiLevelType w:val="hybridMultilevel"/>
    <w:tmpl w:val="27844CC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6D7852C6"/>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40003A9"/>
    <w:multiLevelType w:val="multilevel"/>
    <w:tmpl w:val="01A0D936"/>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64D35E7"/>
    <w:multiLevelType w:val="multilevel"/>
    <w:tmpl w:val="63D0B74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8330996"/>
    <w:multiLevelType w:val="multilevel"/>
    <w:tmpl w:val="1C7C3EF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8" w15:restartNumberingAfterBreak="0">
    <w:nsid w:val="7ACF36BC"/>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D5B6712"/>
    <w:multiLevelType w:val="hybridMultilevel"/>
    <w:tmpl w:val="C5480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F0C33CA"/>
    <w:multiLevelType w:val="multilevel"/>
    <w:tmpl w:val="A71EB992"/>
    <w:lvl w:ilvl="0">
      <w:numFmt w:val="bullet"/>
      <w:lvlText w:val=""/>
      <w:lvlJc w:val="left"/>
      <w:pPr>
        <w:ind w:left="360" w:hanging="360"/>
      </w:pPr>
      <w:rPr>
        <w:rFonts w:ascii="Wingdings" w:hAnsi="Wingdings"/>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5C93"/>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D4CAA"/>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6264F"/>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262BB"/>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Normal"/>
    <w:next w:val="Normal"/>
    <w:pPr>
      <w:keepNext/>
      <w:keepLines/>
      <w:suppressAutoHyphens w:val="0"/>
      <w:spacing w:before="480" w:after="0"/>
      <w:jc w:val="both"/>
      <w:textAlignment w:val="auto"/>
      <w:outlineLvl w:val="0"/>
    </w:pPr>
    <w:rPr>
      <w:rFonts w:ascii="Cambria" w:eastAsia="Times New Roman" w:hAnsi="Cambria"/>
      <w:b/>
      <w:bCs/>
      <w:color w:val="365F91"/>
      <w:sz w:val="28"/>
      <w:szCs w:val="28"/>
    </w:rPr>
  </w:style>
  <w:style w:type="paragraph" w:styleId="Ttulo2">
    <w:name w:val="heading 2"/>
    <w:basedOn w:val="Normal"/>
    <w:next w:val="Normal"/>
    <w:pPr>
      <w:keepNext/>
      <w:keepLines/>
      <w:suppressAutoHyphens w:val="0"/>
      <w:spacing w:before="200" w:after="0"/>
      <w:jc w:val="both"/>
      <w:textAlignment w:val="auto"/>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p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styleId="Textodeglobo">
    <w:name w:val="Balloon Text"/>
    <w:basedOn w:val="Normal"/>
    <w:pPr>
      <w:spacing w:after="0"/>
    </w:pPr>
    <w:rPr>
      <w:rFonts w:ascii="Tahoma" w:hAnsi="Tahoma" w:cs="Tahoma"/>
      <w:sz w:val="16"/>
      <w:szCs w:val="16"/>
    </w:rPr>
  </w:style>
  <w:style w:type="character" w:customStyle="1" w:styleId="TextodegloboCar">
    <w:name w:val="Texto de globo Car"/>
    <w:basedOn w:val="Fuentedeprrafopredeter"/>
    <w:rPr>
      <w:rFonts w:ascii="Tahoma" w:hAnsi="Tahoma" w:cs="Tahoma"/>
      <w:sz w:val="16"/>
      <w:szCs w:val="16"/>
    </w:rPr>
  </w:style>
  <w:style w:type="paragraph" w:styleId="Encabezado">
    <w:name w:val="header"/>
    <w:basedOn w:val="Normal"/>
    <w:pPr>
      <w:tabs>
        <w:tab w:val="center" w:pos="4252"/>
        <w:tab w:val="right" w:pos="8504"/>
      </w:tabs>
      <w:spacing w:after="0"/>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pPr>
  </w:style>
  <w:style w:type="character" w:customStyle="1" w:styleId="PiedepginaCar">
    <w:name w:val="Pie de página Car"/>
    <w:basedOn w:val="Fuentedeprrafopredeter"/>
  </w:style>
  <w:style w:type="character" w:customStyle="1" w:styleId="Ttulo1Car">
    <w:name w:val="Título 1 Car"/>
    <w:basedOn w:val="Fuentedeprrafopredeter"/>
    <w:rPr>
      <w:rFonts w:ascii="Cambria" w:eastAsia="Times New Roman" w:hAnsi="Cambria" w:cs="Times New Roman"/>
      <w:b/>
      <w:bCs/>
      <w:color w:val="365F91"/>
      <w:sz w:val="28"/>
      <w:szCs w:val="28"/>
    </w:rPr>
  </w:style>
  <w:style w:type="character" w:customStyle="1" w:styleId="Ttulo2Car">
    <w:name w:val="Título 2 C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uiPriority w:val="99"/>
    <w:unhideWhenUsed/>
    <w:rsid w:val="00287B04"/>
    <w:rPr>
      <w:color w:val="0000FF" w:themeColor="hyperlink"/>
      <w:u w:val="single"/>
    </w:rPr>
  </w:style>
  <w:style w:type="character" w:styleId="Textoennegrita">
    <w:name w:val="Strong"/>
    <w:basedOn w:val="Fuentedeprrafopredeter"/>
    <w:uiPriority w:val="22"/>
    <w:qFormat/>
    <w:rsid w:val="00873D0F"/>
    <w:rPr>
      <w:b/>
      <w:bCs/>
    </w:rPr>
  </w:style>
  <w:style w:type="character" w:styleId="Hipervnculovisitado">
    <w:name w:val="FollowedHyperlink"/>
    <w:basedOn w:val="Fuentedeprrafopredeter"/>
    <w:uiPriority w:val="99"/>
    <w:semiHidden/>
    <w:unhideWhenUsed/>
    <w:rsid w:val="00D433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epd.es/media/formularios/formulario-derecho-de-rectificacion.pdf" TargetMode="External"/><Relationship Id="rId18" Type="http://schemas.openxmlformats.org/officeDocument/2006/relationships/hyperlink" Target="https://sedeagpd.gob.es/sede-electronica-web/" TargetMode="External"/><Relationship Id="rId26" Type="http://schemas.openxmlformats.org/officeDocument/2006/relationships/hyperlink" Target="https://www.incibe.es/protege-tu-empresa/kit-concienciaci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cibe.es/protege-tu-empresa/" TargetMode="External"/><Relationship Id="rId34" Type="http://schemas.openxmlformats.org/officeDocument/2006/relationships/hyperlink" Target="https://www.osi.es/es/herramientas" TargetMode="External"/><Relationship Id="rId7" Type="http://schemas.openxmlformats.org/officeDocument/2006/relationships/endnotes" Target="endnotes.xml"/><Relationship Id="rId12" Type="http://schemas.openxmlformats.org/officeDocument/2006/relationships/hyperlink" Target="https://www.aepd.es/media/formularios/formulario-derecho-de-acceso.pdf" TargetMode="External"/><Relationship Id="rId17" Type="http://schemas.openxmlformats.org/officeDocument/2006/relationships/hyperlink" Target="https://www.aepd.es/media/formularios/formulario-derecho-de-limitacion.pdf" TargetMode="External"/><Relationship Id="rId25" Type="http://schemas.openxmlformats.org/officeDocument/2006/relationships/hyperlink" Target="https://itinerarios.incibe.es/" TargetMode="External"/><Relationship Id="rId33" Type="http://schemas.openxmlformats.org/officeDocument/2006/relationships/hyperlink" Target="http://www.osi.e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epd.es/media/formularios/formulario-derecho-de-portabilidad.pdf" TargetMode="External"/><Relationship Id="rId20" Type="http://schemas.openxmlformats.org/officeDocument/2006/relationships/hyperlink" Target="http://www.incibe.es" TargetMode="External"/><Relationship Id="rId29" Type="http://schemas.openxmlformats.org/officeDocument/2006/relationships/hyperlink" Target="https://www.incibe.es/protege-tu-empresa/catalogo-de-ciberseguridad/buscador-soluciones?term_node_tid_depth_join=339&amp;combine=&amp;term_node_tid_depth_join_1=All&amp;field_sol_dimension_tid=All&amp;field_sol_gratuito_value=1&amp;submit=Bus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cibe.es/protege-tu-empresa/juego-rol-pyme-seguridad" TargetMode="External"/><Relationship Id="rId32" Type="http://schemas.openxmlformats.org/officeDocument/2006/relationships/hyperlink" Target="https://www.incibe.es/protege-tu-empresa/guias" TargetMode="External"/><Relationship Id="rId37" Type="http://schemas.openxmlformats.org/officeDocument/2006/relationships/hyperlink" Target="https://www.aepd.es/areas/videovigilancia/index.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epd.es/media/formularios/formulario-derecho-de-oposicion.pdf" TargetMode="External"/><Relationship Id="rId23" Type="http://schemas.openxmlformats.org/officeDocument/2006/relationships/hyperlink" Target="https://www.incibe.es/protege-tu-empresa/hackend" TargetMode="External"/><Relationship Id="rId28" Type="http://schemas.openxmlformats.org/officeDocument/2006/relationships/hyperlink" Target="https://www.incibe.es/protege-tu-empresa/herramientas/politicas" TargetMode="External"/><Relationship Id="rId36" Type="http://schemas.openxmlformats.org/officeDocument/2006/relationships/hyperlink" Target="https://www.aepd.es/media/fichas/cartel-videovigilancia.pdf" TargetMode="External"/><Relationship Id="rId10" Type="http://schemas.openxmlformats.org/officeDocument/2006/relationships/image" Target="media/image3.png"/><Relationship Id="rId19" Type="http://schemas.openxmlformats.org/officeDocument/2006/relationships/hyperlink" Target="https://www.aepd.es/media/guias/guia-privacidad-y-seguridad-en-internet.pdf" TargetMode="External"/><Relationship Id="rId31" Type="http://schemas.openxmlformats.org/officeDocument/2006/relationships/hyperlink" Target="https://www.incibe.es/protege-tu-empresa/que-te-intere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epd.es/media/formularios/formulario-derecho-de-supresion.pdf" TargetMode="External"/><Relationship Id="rId22" Type="http://schemas.openxmlformats.org/officeDocument/2006/relationships/hyperlink" Target="https://www.incibe.es/protege-tu-empresa/formacion" TargetMode="External"/><Relationship Id="rId27" Type="http://schemas.openxmlformats.org/officeDocument/2006/relationships/hyperlink" Target="https://www.incibe.es/protege-tu-empresa/herramientas" TargetMode="External"/><Relationship Id="rId30" Type="http://schemas.openxmlformats.org/officeDocument/2006/relationships/hyperlink" Target="https://www.incibe.es/protege-tu-empresa/conoces-tus-riesgos" TargetMode="External"/><Relationship Id="rId35" Type="http://schemas.openxmlformats.org/officeDocument/2006/relationships/hyperlink" Target="https://www.aepd.es/media/guias/guia-videovigilanc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C5ADE-35B9-42FD-BBDA-372EDC66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3534</Words>
  <Characters>19439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alvaro p</cp:lastModifiedBy>
  <cp:revision>2</cp:revision>
  <cp:lastPrinted>2017-05-22T07:39:00Z</cp:lastPrinted>
  <dcterms:created xsi:type="dcterms:W3CDTF">2019-05-27T17:30:00Z</dcterms:created>
  <dcterms:modified xsi:type="dcterms:W3CDTF">2019-05-27T17:30:00Z</dcterms:modified>
</cp:coreProperties>
</file>