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9247" w14:textId="77777777" w:rsidR="00D56A36" w:rsidRPr="00D56A36" w:rsidRDefault="00D56A36" w:rsidP="00D56A36">
      <w:pPr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 w:rsidRPr="00D56A36">
        <w:rPr>
          <w:rFonts w:ascii="Times New Roman" w:hAnsi="Times New Roman" w:cs="Times New Roman"/>
          <w:b/>
          <w:bCs/>
          <w:sz w:val="36"/>
          <w:u w:val="single"/>
        </w:rPr>
        <w:t>Enunciado práctica tema 8 (Propiedad Intelectual)</w:t>
      </w:r>
    </w:p>
    <w:p w14:paraId="45CEC134" w14:textId="74BFBA90" w:rsidR="00B21DE6" w:rsidRDefault="00B21DE6" w:rsidP="00B21DE6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7A651D98" w14:textId="77777777" w:rsidR="00B21DE6" w:rsidRPr="00B21DE6" w:rsidRDefault="00B21DE6" w:rsidP="00B21DE6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9D872" w14:textId="665E2C1A" w:rsidR="00B21DE6" w:rsidRPr="00B21DE6" w:rsidRDefault="00B21DE6" w:rsidP="00B21D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DE6">
        <w:rPr>
          <w:rFonts w:ascii="Times New Roman" w:hAnsi="Times New Roman" w:cs="Times New Roman"/>
          <w:b/>
          <w:bCs/>
          <w:sz w:val="24"/>
          <w:szCs w:val="24"/>
        </w:rPr>
        <w:t xml:space="preserve">Explica la diferencia entre registrar software mediante patente y mediante derechos de autor. </w:t>
      </w:r>
    </w:p>
    <w:p w14:paraId="1B87254E" w14:textId="77777777" w:rsidR="00B21DE6" w:rsidRPr="00B21DE6" w:rsidRDefault="00B21DE6" w:rsidP="00B21DE6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14:paraId="345A6BFC" w14:textId="77777777" w:rsidR="00F92738" w:rsidRDefault="00C4518D" w:rsidP="00B21D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gran diferencia entre </w:t>
      </w:r>
      <w:r w:rsidR="00D950AD">
        <w:rPr>
          <w:rFonts w:ascii="Times New Roman" w:hAnsi="Times New Roman" w:cs="Times New Roman"/>
        </w:rPr>
        <w:t xml:space="preserve">registrar software </w:t>
      </w:r>
      <w:r w:rsidR="00643D85">
        <w:rPr>
          <w:rFonts w:ascii="Times New Roman" w:hAnsi="Times New Roman" w:cs="Times New Roman"/>
        </w:rPr>
        <w:t xml:space="preserve">mediante patente respecto a </w:t>
      </w:r>
      <w:r w:rsidR="004860E8">
        <w:rPr>
          <w:rFonts w:ascii="Times New Roman" w:hAnsi="Times New Roman" w:cs="Times New Roman"/>
        </w:rPr>
        <w:t>derechos de autor es principalmente que estos últimos protegen al software en la medida en que se asemejan a una obra liter</w:t>
      </w:r>
      <w:r w:rsidR="0020541C">
        <w:rPr>
          <w:rFonts w:ascii="Times New Roman" w:hAnsi="Times New Roman" w:cs="Times New Roman"/>
        </w:rPr>
        <w:t>aria. El carácter literario de este software lo determinan los lenguajes de programación</w:t>
      </w:r>
      <w:r w:rsidR="00476182">
        <w:rPr>
          <w:rFonts w:ascii="Times New Roman" w:hAnsi="Times New Roman" w:cs="Times New Roman"/>
        </w:rPr>
        <w:t xml:space="preserve">. Estos derechos de autor aparecen en el momento en el que se crea el programa y parar cerciorarnos de que se cumple es recomendable depositarlo ante la Dirección nacional de Derechos de Autor. </w:t>
      </w:r>
    </w:p>
    <w:p w14:paraId="08AB1F63" w14:textId="1D35CF32" w:rsidR="00DF50C6" w:rsidRDefault="00476182" w:rsidP="00B21D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hablamos de registrar software como patente</w:t>
      </w:r>
      <w:r w:rsidR="00F00D92">
        <w:rPr>
          <w:rFonts w:ascii="Times New Roman" w:hAnsi="Times New Roman" w:cs="Times New Roman"/>
        </w:rPr>
        <w:t xml:space="preserve"> solo puede ser incluido como</w:t>
      </w:r>
      <w:r w:rsidR="000174D4">
        <w:rPr>
          <w:rFonts w:ascii="Times New Roman" w:hAnsi="Times New Roman" w:cs="Times New Roman"/>
        </w:rPr>
        <w:t xml:space="preserve"> patente siempre que se ponga en práctica a través de un computador con la intención de solucionar un problema técnico que el inventor ha </w:t>
      </w:r>
      <w:r w:rsidR="00FF7E86">
        <w:rPr>
          <w:rFonts w:ascii="Times New Roman" w:hAnsi="Times New Roman" w:cs="Times New Roman"/>
        </w:rPr>
        <w:t>planteado con anterio</w:t>
      </w:r>
      <w:r w:rsidR="006C6B2F">
        <w:rPr>
          <w:rFonts w:ascii="Times New Roman" w:hAnsi="Times New Roman" w:cs="Times New Roman"/>
        </w:rPr>
        <w:t>ri</w:t>
      </w:r>
      <w:r w:rsidR="00FF7E86">
        <w:rPr>
          <w:rFonts w:ascii="Times New Roman" w:hAnsi="Times New Roman" w:cs="Times New Roman"/>
        </w:rPr>
        <w:t>dad. Este software por si mismo n</w:t>
      </w:r>
      <w:r w:rsidR="00032162">
        <w:rPr>
          <w:rFonts w:ascii="Times New Roman" w:hAnsi="Times New Roman" w:cs="Times New Roman"/>
        </w:rPr>
        <w:t xml:space="preserve">o puede </w:t>
      </w:r>
      <w:r w:rsidR="00AA371B">
        <w:rPr>
          <w:rFonts w:ascii="Times New Roman" w:hAnsi="Times New Roman" w:cs="Times New Roman"/>
        </w:rPr>
        <w:t>ser patentado, debe de estar siempre implementado en un computador y formar parte de una invención para</w:t>
      </w:r>
      <w:r w:rsidR="00F92738">
        <w:rPr>
          <w:rFonts w:ascii="Times New Roman" w:hAnsi="Times New Roman" w:cs="Times New Roman"/>
        </w:rPr>
        <w:t xml:space="preserve"> ser susceptible de ello.</w:t>
      </w:r>
    </w:p>
    <w:p w14:paraId="6C0FF1AA" w14:textId="26C63C94" w:rsidR="00DE0894" w:rsidRDefault="00F92738" w:rsidP="00B21D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pesar de la dificultad de </w:t>
      </w:r>
      <w:r w:rsidR="00E223B4">
        <w:rPr>
          <w:rFonts w:ascii="Times New Roman" w:hAnsi="Times New Roman" w:cs="Times New Roman"/>
        </w:rPr>
        <w:t xml:space="preserve">ser registrado como patente, gracias a los derechos de autor el software </w:t>
      </w:r>
      <w:r w:rsidR="00DA1BDE">
        <w:rPr>
          <w:rFonts w:ascii="Times New Roman" w:hAnsi="Times New Roman" w:cs="Times New Roman"/>
        </w:rPr>
        <w:t xml:space="preserve">cuenta con un sistema robusto de seguridad, siempre que esté forme parte de </w:t>
      </w:r>
      <w:r w:rsidR="00DE0894">
        <w:rPr>
          <w:rFonts w:ascii="Times New Roman" w:hAnsi="Times New Roman" w:cs="Times New Roman"/>
        </w:rPr>
        <w:t>exclusiva de una expresión original.</w:t>
      </w:r>
    </w:p>
    <w:p w14:paraId="1E0ED34F" w14:textId="58B5AA6D" w:rsidR="00DE0894" w:rsidRDefault="00DE0894" w:rsidP="00B21DE6">
      <w:pPr>
        <w:jc w:val="both"/>
        <w:rPr>
          <w:rFonts w:ascii="Times New Roman" w:hAnsi="Times New Roman" w:cs="Times New Roman"/>
        </w:rPr>
      </w:pPr>
    </w:p>
    <w:p w14:paraId="4C5809B7" w14:textId="77777777" w:rsidR="00574FEE" w:rsidRDefault="00574FEE" w:rsidP="00B21DE6">
      <w:pPr>
        <w:jc w:val="both"/>
        <w:rPr>
          <w:rFonts w:ascii="Times New Roman" w:hAnsi="Times New Roman" w:cs="Times New Roman"/>
        </w:rPr>
      </w:pPr>
    </w:p>
    <w:p w14:paraId="261F0C11" w14:textId="77777777" w:rsidR="00574FEE" w:rsidRPr="00574FEE" w:rsidRDefault="00574FEE" w:rsidP="00574FEE">
      <w:pPr>
        <w:jc w:val="both"/>
        <w:rPr>
          <w:rFonts w:ascii="Times New Roman" w:hAnsi="Times New Roman" w:cs="Times New Roman"/>
          <w:b/>
          <w:bCs/>
        </w:rPr>
      </w:pPr>
      <w:r w:rsidRPr="00574FEE">
        <w:rPr>
          <w:rFonts w:ascii="Times New Roman" w:hAnsi="Times New Roman" w:cs="Times New Roman"/>
          <w:b/>
          <w:bCs/>
        </w:rPr>
        <w:t xml:space="preserve">2) Entra en la página del ministerio de cultura, educación y deporte relacionada con la propiedad intelectual: </w:t>
      </w:r>
    </w:p>
    <w:p w14:paraId="101EABD7" w14:textId="776969A8" w:rsidR="00574FEE" w:rsidRDefault="00574FEE" w:rsidP="00574FEE">
      <w:pPr>
        <w:jc w:val="both"/>
        <w:rPr>
          <w:rFonts w:ascii="Times New Roman" w:hAnsi="Times New Roman" w:cs="Times New Roman"/>
          <w:b/>
          <w:bCs/>
        </w:rPr>
      </w:pPr>
      <w:r w:rsidRPr="00574FEE">
        <w:rPr>
          <w:rFonts w:ascii="Times New Roman" w:hAnsi="Times New Roman" w:cs="Times New Roman"/>
          <w:b/>
          <w:bCs/>
        </w:rPr>
        <w:t xml:space="preserve"> a. Explica que pasos se deben seguir y que documentos se deben rellenar, explicando las diferencias existentes entre los distintos formularios y detallando las tasas a pagar. </w:t>
      </w:r>
    </w:p>
    <w:p w14:paraId="22074ABE" w14:textId="5CF531D1" w:rsidR="00574FEE" w:rsidRPr="007A4C5C" w:rsidRDefault="00574FEE" w:rsidP="00574FEE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45850C79" w14:textId="315D2D95" w:rsidR="007A4C5C" w:rsidRDefault="007A4C5C" w:rsidP="00574FEE">
      <w:pPr>
        <w:jc w:val="both"/>
        <w:rPr>
          <w:rFonts w:ascii="Times New Roman" w:hAnsi="Times New Roman" w:cs="Times New Roman"/>
          <w:bCs/>
          <w:sz w:val="24"/>
        </w:rPr>
      </w:pPr>
      <w:r w:rsidRPr="007A4C5C">
        <w:rPr>
          <w:rFonts w:ascii="Times New Roman" w:hAnsi="Times New Roman" w:cs="Times New Roman"/>
          <w:bCs/>
          <w:sz w:val="24"/>
        </w:rPr>
        <w:t>La primera inscripción podrá practicarse por la simple solicitud de su autor o de los titulares de los derechos reconocidos en la ley de propiedad intelectual</w:t>
      </w:r>
      <w:r w:rsidR="00857CD4">
        <w:rPr>
          <w:rFonts w:ascii="Times New Roman" w:hAnsi="Times New Roman" w:cs="Times New Roman"/>
          <w:bCs/>
          <w:sz w:val="24"/>
        </w:rPr>
        <w:t>.</w:t>
      </w:r>
    </w:p>
    <w:p w14:paraId="5C5E1E10" w14:textId="737E6BD8" w:rsidR="00E90D3C" w:rsidRDefault="00E90D3C" w:rsidP="00574FE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Los diferentes documentos a rellenar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son los siguientes:</w:t>
      </w:r>
    </w:p>
    <w:p w14:paraId="53FC3C9D" w14:textId="2D91B4FC" w:rsidR="00E90D3C" w:rsidRDefault="00E90D3C" w:rsidP="00574FEE">
      <w:pPr>
        <w:jc w:val="both"/>
        <w:rPr>
          <w:rFonts w:ascii="Times New Roman" w:hAnsi="Times New Roman" w:cs="Times New Roman"/>
          <w:bCs/>
          <w:sz w:val="24"/>
        </w:rPr>
      </w:pPr>
      <w:r w:rsidRPr="00E90D3C">
        <w:rPr>
          <w:rFonts w:ascii="Times New Roman" w:hAnsi="Times New Roman" w:cs="Times New Roman"/>
          <w:b/>
          <w:bCs/>
          <w:sz w:val="24"/>
        </w:rPr>
        <w:t>Autores 1 A-T</w:t>
      </w:r>
      <w:r w:rsidRPr="00E90D3C">
        <w:rPr>
          <w:rFonts w:ascii="Times New Roman" w:hAnsi="Times New Roman" w:cs="Times New Roman"/>
          <w:bCs/>
          <w:sz w:val="24"/>
        </w:rPr>
        <w:t xml:space="preserve">: a cumplimentar por los titulares de derechos de propiedad intelectual que sean autores y titulares de una obra. </w:t>
      </w:r>
      <w:r w:rsidRPr="00E90D3C">
        <w:rPr>
          <w:rFonts w:ascii="Times New Roman" w:hAnsi="Times New Roman" w:cs="Times New Roman"/>
          <w:b/>
          <w:bCs/>
          <w:sz w:val="24"/>
        </w:rPr>
        <w:t>Autores 1 TIV</w:t>
      </w:r>
      <w:r w:rsidRPr="00E90D3C">
        <w:rPr>
          <w:rFonts w:ascii="Times New Roman" w:hAnsi="Times New Roman" w:cs="Times New Roman"/>
          <w:bCs/>
          <w:sz w:val="24"/>
        </w:rPr>
        <w:t xml:space="preserve">: a cumplimentar por los titulares que hubieran adquirido los derechos por transmisión inter vivos, ya sea por contrato de cesión o por relación laboral, y siempre que se trate de una primera inscripción de derechos. </w:t>
      </w:r>
      <w:r w:rsidRPr="00E90D3C">
        <w:rPr>
          <w:rFonts w:ascii="Times New Roman" w:hAnsi="Times New Roman" w:cs="Times New Roman"/>
          <w:b/>
          <w:bCs/>
          <w:sz w:val="24"/>
        </w:rPr>
        <w:t>Autores 1 TMC</w:t>
      </w:r>
      <w:r w:rsidRPr="00E90D3C">
        <w:rPr>
          <w:rFonts w:ascii="Times New Roman" w:hAnsi="Times New Roman" w:cs="Times New Roman"/>
          <w:bCs/>
          <w:sz w:val="24"/>
        </w:rPr>
        <w:t xml:space="preserve">: a </w:t>
      </w:r>
      <w:proofErr w:type="gramStart"/>
      <w:r w:rsidRPr="00E90D3C">
        <w:rPr>
          <w:rFonts w:ascii="Times New Roman" w:hAnsi="Times New Roman" w:cs="Times New Roman"/>
          <w:bCs/>
          <w:sz w:val="24"/>
        </w:rPr>
        <w:t>cumplimentar  por</w:t>
      </w:r>
      <w:proofErr w:type="gramEnd"/>
      <w:r w:rsidRPr="00E90D3C">
        <w:rPr>
          <w:rFonts w:ascii="Times New Roman" w:hAnsi="Times New Roman" w:cs="Times New Roman"/>
          <w:bCs/>
          <w:sz w:val="24"/>
        </w:rPr>
        <w:t xml:space="preserve"> los herederos que hubieran adquirido los derechos por transmisión mortis causa del autor, siempre que se trate de una primera inscripción de derechos. Junto al impreso Autores 1 que corresponda según el caso, se presentará el impreso Autores 2 correspondiente según la clase de obra.</w:t>
      </w:r>
    </w:p>
    <w:p w14:paraId="19E9A8C1" w14:textId="77777777" w:rsidR="00E90D3C" w:rsidRDefault="00E90D3C" w:rsidP="00574FEE">
      <w:pPr>
        <w:jc w:val="both"/>
        <w:rPr>
          <w:rFonts w:ascii="Times New Roman" w:hAnsi="Times New Roman" w:cs="Times New Roman"/>
          <w:bCs/>
          <w:sz w:val="24"/>
        </w:rPr>
      </w:pPr>
    </w:p>
    <w:p w14:paraId="5EAA883D" w14:textId="21B43889" w:rsidR="00857CD4" w:rsidRDefault="006B1188" w:rsidP="00574FEE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Hay 2 métodos por los cuales se puede presentar una solicitud</w:t>
      </w:r>
      <w:r w:rsidR="00CE1720">
        <w:rPr>
          <w:rFonts w:ascii="Times New Roman" w:hAnsi="Times New Roman" w:cs="Times New Roman"/>
          <w:bCs/>
          <w:sz w:val="24"/>
        </w:rPr>
        <w:t xml:space="preserve">. </w:t>
      </w:r>
    </w:p>
    <w:p w14:paraId="734E81E8" w14:textId="49BCEC3E" w:rsidR="00CE1720" w:rsidRDefault="00CE1720" w:rsidP="00574FEE">
      <w:pPr>
        <w:jc w:val="both"/>
        <w:rPr>
          <w:rFonts w:ascii="Times New Roman" w:hAnsi="Times New Roman" w:cs="Times New Roman"/>
          <w:bCs/>
          <w:sz w:val="24"/>
          <w:u w:val="single"/>
        </w:rPr>
      </w:pPr>
      <w:r w:rsidRPr="00CE1720">
        <w:rPr>
          <w:rFonts w:ascii="Times New Roman" w:hAnsi="Times New Roman" w:cs="Times New Roman"/>
          <w:bCs/>
          <w:sz w:val="24"/>
          <w:u w:val="single"/>
        </w:rPr>
        <w:lastRenderedPageBreak/>
        <w:t>Presentación por internet:</w:t>
      </w:r>
    </w:p>
    <w:p w14:paraId="1E1C9641" w14:textId="3EF824BD" w:rsidR="00CE1720" w:rsidRDefault="00476893" w:rsidP="003E0F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</w:rPr>
      </w:pPr>
      <w:r w:rsidRPr="003E0F0D">
        <w:rPr>
          <w:rFonts w:ascii="Times New Roman" w:hAnsi="Times New Roman" w:cs="Times New Roman"/>
          <w:bCs/>
          <w:sz w:val="24"/>
        </w:rPr>
        <w:t>E</w:t>
      </w:r>
      <w:r w:rsidRPr="003E0F0D">
        <w:rPr>
          <w:rFonts w:ascii="Times New Roman" w:hAnsi="Times New Roman" w:cs="Times New Roman"/>
          <w:bCs/>
          <w:sz w:val="24"/>
        </w:rPr>
        <w:t>s necesario disponer de DNI electrónico o de uno de los </w:t>
      </w:r>
      <w:r w:rsidRPr="0013110B">
        <w:rPr>
          <w:rFonts w:ascii="Times New Roman" w:hAnsi="Times New Roman" w:cs="Times New Roman"/>
          <w:bCs/>
          <w:sz w:val="24"/>
        </w:rPr>
        <w:t>Certificados electrónicos reconocidos por la Comunidad de Madrid</w:t>
      </w:r>
      <w:r w:rsidR="0013110B">
        <w:rPr>
          <w:rFonts w:ascii="Times New Roman" w:hAnsi="Times New Roman" w:cs="Times New Roman"/>
          <w:bCs/>
          <w:sz w:val="24"/>
        </w:rPr>
        <w:t>.</w:t>
      </w:r>
    </w:p>
    <w:p w14:paraId="5048CCC2" w14:textId="64ADBFAB" w:rsidR="003E0F0D" w:rsidRDefault="0051556A" w:rsidP="003E0F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Cumplimentar </w:t>
      </w:r>
      <w:r w:rsidR="0013110B">
        <w:rPr>
          <w:rFonts w:ascii="Times New Roman" w:hAnsi="Times New Roman" w:cs="Times New Roman"/>
          <w:bCs/>
          <w:sz w:val="24"/>
        </w:rPr>
        <w:t>la solicitud y los impresos y presentarlos mediante el registro electrónico.</w:t>
      </w:r>
    </w:p>
    <w:p w14:paraId="789EF7DB" w14:textId="0EF35B60" w:rsidR="0013110B" w:rsidRDefault="00ED66DD" w:rsidP="003E0F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Una vez hecho esto y pagadas las tasas </w:t>
      </w:r>
      <w:r w:rsidR="00316087">
        <w:rPr>
          <w:rFonts w:ascii="Times New Roman" w:hAnsi="Times New Roman" w:cs="Times New Roman"/>
          <w:bCs/>
          <w:sz w:val="24"/>
        </w:rPr>
        <w:t>se habilita el servicio de consulta de expedientes para aportar documentos o enviar comunicaciones.</w:t>
      </w:r>
    </w:p>
    <w:p w14:paraId="1817CBAA" w14:textId="38EC601C" w:rsidR="00316087" w:rsidRPr="00012ED1" w:rsidRDefault="00316087" w:rsidP="00316087">
      <w:pPr>
        <w:jc w:val="both"/>
        <w:rPr>
          <w:rFonts w:ascii="Times New Roman" w:hAnsi="Times New Roman" w:cs="Times New Roman"/>
          <w:bCs/>
          <w:sz w:val="24"/>
          <w:u w:val="single"/>
        </w:rPr>
      </w:pPr>
      <w:r w:rsidRPr="00316087">
        <w:rPr>
          <w:rFonts w:ascii="Times New Roman" w:hAnsi="Times New Roman" w:cs="Times New Roman"/>
          <w:bCs/>
          <w:sz w:val="24"/>
          <w:u w:val="single"/>
        </w:rPr>
        <w:t xml:space="preserve">Presentación </w:t>
      </w:r>
      <w:r w:rsidR="00D50B69" w:rsidRPr="00D50B69">
        <w:rPr>
          <w:rFonts w:ascii="Times New Roman" w:hAnsi="Times New Roman" w:cs="Times New Roman"/>
          <w:bCs/>
          <w:sz w:val="24"/>
          <w:u w:val="single"/>
        </w:rPr>
        <w:t>en oficinas de asistencia en materia de registro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35E31754" w14:textId="05F1A318" w:rsidR="00012ED1" w:rsidRDefault="00E85095" w:rsidP="00012ED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Se puede hacer el proceso nombrado anteriormente en cualquiera de las oficinas de asistencia en materia de registro </w:t>
      </w:r>
      <w:r w:rsidR="00B70FD5">
        <w:rPr>
          <w:rFonts w:ascii="Times New Roman" w:hAnsi="Times New Roman" w:cs="Times New Roman"/>
          <w:bCs/>
          <w:sz w:val="24"/>
        </w:rPr>
        <w:t xml:space="preserve">de Madrid o Administración General del estado de otras Comunidades </w:t>
      </w:r>
      <w:r w:rsidR="00D50B69">
        <w:rPr>
          <w:rFonts w:ascii="Times New Roman" w:hAnsi="Times New Roman" w:cs="Times New Roman"/>
          <w:bCs/>
          <w:sz w:val="24"/>
        </w:rPr>
        <w:t>Autónomas</w:t>
      </w:r>
      <w:r w:rsidR="00B70FD5">
        <w:rPr>
          <w:rFonts w:ascii="Times New Roman" w:hAnsi="Times New Roman" w:cs="Times New Roman"/>
          <w:bCs/>
          <w:sz w:val="24"/>
        </w:rPr>
        <w:t>.</w:t>
      </w:r>
    </w:p>
    <w:p w14:paraId="0FF5D187" w14:textId="4C8476EF" w:rsidR="00012ED1" w:rsidRDefault="00012ED1" w:rsidP="00012ED1">
      <w:pPr>
        <w:pStyle w:val="Prrafodelista"/>
        <w:jc w:val="both"/>
        <w:rPr>
          <w:rFonts w:ascii="Times New Roman" w:hAnsi="Times New Roman" w:cs="Times New Roman"/>
          <w:bCs/>
          <w:sz w:val="24"/>
        </w:rPr>
      </w:pPr>
    </w:p>
    <w:p w14:paraId="04550760" w14:textId="15D42093" w:rsidR="00012ED1" w:rsidRDefault="00012ED1" w:rsidP="00012ED1">
      <w:pPr>
        <w:pStyle w:val="Prrafodelista"/>
        <w:ind w:left="0"/>
        <w:jc w:val="both"/>
        <w:rPr>
          <w:rFonts w:ascii="Times New Roman" w:hAnsi="Times New Roman" w:cs="Times New Roman"/>
          <w:bCs/>
          <w:sz w:val="24"/>
        </w:rPr>
      </w:pPr>
    </w:p>
    <w:p w14:paraId="05F25603" w14:textId="68675458" w:rsidR="00012ED1" w:rsidRDefault="00012ED1" w:rsidP="00012ED1">
      <w:pPr>
        <w:pStyle w:val="Prrafodelista"/>
        <w:ind w:left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Las </w:t>
      </w:r>
      <w:r w:rsidR="005475F6">
        <w:rPr>
          <w:rFonts w:ascii="Times New Roman" w:hAnsi="Times New Roman" w:cs="Times New Roman"/>
          <w:bCs/>
          <w:sz w:val="24"/>
        </w:rPr>
        <w:t>tasas correspondientes</w:t>
      </w:r>
      <w:r>
        <w:rPr>
          <w:rFonts w:ascii="Times New Roman" w:hAnsi="Times New Roman" w:cs="Times New Roman"/>
          <w:bCs/>
          <w:sz w:val="24"/>
        </w:rPr>
        <w:t xml:space="preserve"> al año 2019 son las siguientes:</w:t>
      </w:r>
    </w:p>
    <w:p w14:paraId="40973D52" w14:textId="77777777" w:rsidR="00012ED1" w:rsidRPr="00012ED1" w:rsidRDefault="00012ED1" w:rsidP="00012ED1">
      <w:pPr>
        <w:pStyle w:val="Prrafodelista"/>
        <w:jc w:val="both"/>
        <w:rPr>
          <w:rFonts w:ascii="Times New Roman" w:hAnsi="Times New Roman" w:cs="Times New Roman"/>
          <w:bCs/>
          <w:sz w:val="24"/>
        </w:rPr>
      </w:pPr>
    </w:p>
    <w:p w14:paraId="2E05525F" w14:textId="313D2F45" w:rsidR="00F92738" w:rsidRDefault="00012ED1" w:rsidP="00012ED1">
      <w:pPr>
        <w:jc w:val="center"/>
        <w:rPr>
          <w:rFonts w:ascii="Times New Roman" w:hAnsi="Times New Roman" w:cs="Times New Roman"/>
          <w:bCs/>
          <w:noProof/>
          <w:sz w:val="24"/>
          <w:u w:val="single"/>
        </w:rPr>
      </w:pPr>
      <w:r>
        <w:rPr>
          <w:rFonts w:ascii="Times New Roman" w:hAnsi="Times New Roman" w:cs="Times New Roman"/>
          <w:bCs/>
          <w:noProof/>
          <w:sz w:val="24"/>
          <w:u w:val="single"/>
        </w:rPr>
        <w:drawing>
          <wp:inline distT="0" distB="0" distL="0" distR="0" wp14:anchorId="0D25D8E6" wp14:editId="5B57EB98">
            <wp:extent cx="5986884" cy="2697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39" cy="270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659" w14:textId="4770A45C" w:rsidR="004F51E3" w:rsidRDefault="004F51E3" w:rsidP="004F51E3">
      <w:pPr>
        <w:rPr>
          <w:rFonts w:ascii="Times New Roman" w:hAnsi="Times New Roman" w:cs="Times New Roman"/>
          <w:bCs/>
          <w:noProof/>
          <w:sz w:val="24"/>
          <w:u w:val="single"/>
        </w:rPr>
      </w:pPr>
    </w:p>
    <w:p w14:paraId="32FC145B" w14:textId="655D66D9" w:rsidR="004F51E3" w:rsidRDefault="004F51E3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  <w:r w:rsidRPr="004F51E3">
        <w:rPr>
          <w:rFonts w:ascii="Times New Roman" w:hAnsi="Times New Roman" w:cs="Times New Roman"/>
          <w:b/>
          <w:bCs/>
          <w:sz w:val="24"/>
        </w:rPr>
        <w:t>b. Rellena los documentos necesarios para registrar el programa de autónomos de la práctica</w:t>
      </w:r>
    </w:p>
    <w:p w14:paraId="4B3F8B77" w14:textId="5FD63F00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</w:p>
    <w:p w14:paraId="393BDCFC" w14:textId="48997E4C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</w:p>
    <w:p w14:paraId="438EFFC7" w14:textId="5FF74AC9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</w:p>
    <w:p w14:paraId="2CFCE487" w14:textId="7CD7CAE8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</w:p>
    <w:p w14:paraId="7D902B80" w14:textId="1EE1CC35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</w:p>
    <w:p w14:paraId="5763C6B9" w14:textId="77777777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/>
          <w:bCs/>
          <w:sz w:val="24"/>
        </w:rPr>
      </w:pPr>
    </w:p>
    <w:p w14:paraId="00F705F5" w14:textId="77777777" w:rsidR="00971F15" w:rsidRDefault="00971F15" w:rsidP="004F51E3">
      <w:pPr>
        <w:tabs>
          <w:tab w:val="left" w:pos="6324"/>
        </w:tabs>
        <w:rPr>
          <w:rFonts w:ascii="Times New Roman" w:hAnsi="Times New Roman" w:cs="Times New Roman"/>
          <w:bCs/>
          <w:sz w:val="24"/>
        </w:rPr>
      </w:pPr>
    </w:p>
    <w:p w14:paraId="7CC2DF87" w14:textId="4692ED8B" w:rsidR="00553274" w:rsidRPr="00971F15" w:rsidRDefault="00971F15" w:rsidP="00971F15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Cs/>
          <w:sz w:val="24"/>
        </w:rPr>
        <w:lastRenderedPageBreak/>
        <w:t>D</w:t>
      </w:r>
      <w:r w:rsidR="004F51E3">
        <w:rPr>
          <w:rFonts w:ascii="Times New Roman" w:hAnsi="Times New Roman" w:cs="Times New Roman"/>
          <w:bCs/>
          <w:sz w:val="24"/>
        </w:rPr>
        <w:t>ocumento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F15">
        <w:rPr>
          <w:rFonts w:ascii="Times New Roman" w:hAnsi="Times New Roman" w:cs="Times New Roman"/>
          <w:b/>
          <w:sz w:val="24"/>
        </w:rPr>
        <w:t>Autores 2:</w:t>
      </w:r>
    </w:p>
    <w:p w14:paraId="475E47D2" w14:textId="4CA4B70E" w:rsidR="004F51E3" w:rsidRDefault="00731389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647D970" wp14:editId="286F3082">
            <wp:extent cx="6195407" cy="7216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82" cy="72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1E3">
        <w:rPr>
          <w:rFonts w:ascii="Times New Roman" w:hAnsi="Times New Roman" w:cs="Times New Roman"/>
          <w:sz w:val="24"/>
        </w:rPr>
        <w:tab/>
      </w:r>
    </w:p>
    <w:p w14:paraId="660F6708" w14:textId="1FAC277A" w:rsidR="007124E0" w:rsidRDefault="007124E0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</w:p>
    <w:p w14:paraId="2A7331E3" w14:textId="204DAA25" w:rsidR="00971F15" w:rsidRDefault="00971F15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</w:p>
    <w:p w14:paraId="5E851303" w14:textId="77777777" w:rsidR="00971F15" w:rsidRDefault="00971F15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</w:p>
    <w:p w14:paraId="5F9EC703" w14:textId="6945B6A6" w:rsidR="007124E0" w:rsidRDefault="007124E0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</w:p>
    <w:p w14:paraId="10E60AEC" w14:textId="445C4AFC" w:rsidR="00971F15" w:rsidRDefault="00971F15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Documento</w:t>
      </w:r>
      <w:r w:rsidR="007124E0">
        <w:rPr>
          <w:rFonts w:ascii="Times New Roman" w:hAnsi="Times New Roman" w:cs="Times New Roman"/>
          <w:sz w:val="24"/>
        </w:rPr>
        <w:t xml:space="preserve"> </w:t>
      </w:r>
      <w:r w:rsidRPr="00971F15">
        <w:rPr>
          <w:rFonts w:ascii="Times New Roman" w:hAnsi="Times New Roman" w:cs="Times New Roman"/>
          <w:b/>
          <w:bCs/>
          <w:sz w:val="24"/>
        </w:rPr>
        <w:t>Autores 1 A-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327CE21C" w14:textId="0DEB3104" w:rsidR="007124E0" w:rsidRDefault="00971F15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AB91DA" wp14:editId="2AC51257">
            <wp:extent cx="6141720" cy="8323647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86" cy="83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D52E" w14:textId="77777777" w:rsidR="00BF6D18" w:rsidRPr="00BF6D18" w:rsidRDefault="00BF6D18" w:rsidP="00BF6D18">
      <w:pPr>
        <w:tabs>
          <w:tab w:val="left" w:pos="6324"/>
        </w:tabs>
        <w:jc w:val="both"/>
        <w:rPr>
          <w:rFonts w:ascii="Times New Roman" w:hAnsi="Times New Roman" w:cs="Times New Roman"/>
          <w:b/>
          <w:bCs/>
          <w:sz w:val="24"/>
        </w:rPr>
      </w:pPr>
      <w:r w:rsidRPr="00BF6D18">
        <w:rPr>
          <w:rFonts w:ascii="Times New Roman" w:hAnsi="Times New Roman" w:cs="Times New Roman"/>
          <w:b/>
          <w:bCs/>
          <w:sz w:val="24"/>
        </w:rPr>
        <w:lastRenderedPageBreak/>
        <w:t>3)  Supongamos que como empresa de desarrollo del programa de gestión de autónomos os vierais obligados a contratar a alguien para ayudaros en el desarrollo de dicho software. Entonces, ¿este trabajador sería también titular de los derechos de explotación del programa? ¿Tendría que rellenar algún impreso oficial relativo a esta cuestión? ¿Por qué?</w:t>
      </w:r>
    </w:p>
    <w:p w14:paraId="56E8B1CE" w14:textId="42A77BD3" w:rsidR="00971F15" w:rsidRDefault="00971F15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</w:p>
    <w:p w14:paraId="2E463654" w14:textId="22572B5A" w:rsidR="00EE229B" w:rsidRPr="004F51E3" w:rsidRDefault="004640A4" w:rsidP="007124E0">
      <w:pPr>
        <w:tabs>
          <w:tab w:val="left" w:pos="632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primera instancia </w:t>
      </w:r>
      <w:r w:rsidR="003E6EAC">
        <w:rPr>
          <w:rFonts w:ascii="Times New Roman" w:hAnsi="Times New Roman" w:cs="Times New Roman"/>
          <w:sz w:val="24"/>
        </w:rPr>
        <w:t>el empleado sería titular de los derechos del software que crease</w:t>
      </w:r>
      <w:r>
        <w:rPr>
          <w:rFonts w:ascii="Times New Roman" w:hAnsi="Times New Roman" w:cs="Times New Roman"/>
          <w:sz w:val="24"/>
        </w:rPr>
        <w:t xml:space="preserve">, si un cliente contrata un programador para </w:t>
      </w:r>
      <w:r w:rsidR="00BE0717">
        <w:rPr>
          <w:rFonts w:ascii="Times New Roman" w:hAnsi="Times New Roman" w:cs="Times New Roman"/>
          <w:sz w:val="24"/>
        </w:rPr>
        <w:t>crear un programa</w:t>
      </w:r>
      <w:r w:rsidR="003E6EAC">
        <w:rPr>
          <w:rFonts w:ascii="Times New Roman" w:hAnsi="Times New Roman" w:cs="Times New Roman"/>
          <w:sz w:val="24"/>
        </w:rPr>
        <w:t>,</w:t>
      </w:r>
      <w:r w:rsidR="00BE0717">
        <w:rPr>
          <w:rFonts w:ascii="Times New Roman" w:hAnsi="Times New Roman" w:cs="Times New Roman"/>
          <w:sz w:val="24"/>
        </w:rPr>
        <w:t xml:space="preserve"> esté puede ceder libremente los derechos mediante un contrato. En el contrato se realizará un registro en el que se dejará constancia de que </w:t>
      </w:r>
      <w:r w:rsidR="00D42A1A">
        <w:rPr>
          <w:rFonts w:ascii="Times New Roman" w:hAnsi="Times New Roman" w:cs="Times New Roman"/>
          <w:sz w:val="24"/>
        </w:rPr>
        <w:t>parte se va a ceder</w:t>
      </w:r>
      <w:r w:rsidR="00AD2CAF">
        <w:rPr>
          <w:rFonts w:ascii="Times New Roman" w:hAnsi="Times New Roman" w:cs="Times New Roman"/>
          <w:sz w:val="24"/>
        </w:rPr>
        <w:t xml:space="preserve"> y en qué condiciones</w:t>
      </w:r>
      <w:bookmarkStart w:id="0" w:name="_GoBack"/>
      <w:bookmarkEnd w:id="0"/>
      <w:r w:rsidR="00AD2CAF">
        <w:rPr>
          <w:rFonts w:ascii="Times New Roman" w:hAnsi="Times New Roman" w:cs="Times New Roman"/>
          <w:sz w:val="24"/>
        </w:rPr>
        <w:t>. S</w:t>
      </w:r>
      <w:r w:rsidR="00D42A1A">
        <w:rPr>
          <w:rFonts w:ascii="Times New Roman" w:hAnsi="Times New Roman" w:cs="Times New Roman"/>
          <w:sz w:val="24"/>
        </w:rPr>
        <w:t xml:space="preserve">iempre se realizará con la presencia de un tercero que verifique el proceso. Nada de lo nombrado anteriormente </w:t>
      </w:r>
      <w:r w:rsidR="003F2EFD">
        <w:rPr>
          <w:rFonts w:ascii="Times New Roman" w:hAnsi="Times New Roman" w:cs="Times New Roman"/>
          <w:sz w:val="24"/>
        </w:rPr>
        <w:t>crea una seguridad de que la obra en cuestión sea robada.</w:t>
      </w:r>
    </w:p>
    <w:sectPr w:rsidR="00EE229B" w:rsidRPr="004F5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7BC"/>
    <w:multiLevelType w:val="hybridMultilevel"/>
    <w:tmpl w:val="F7F05F6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BF3D5D"/>
    <w:multiLevelType w:val="hybridMultilevel"/>
    <w:tmpl w:val="A5D67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7246C"/>
    <w:multiLevelType w:val="hybridMultilevel"/>
    <w:tmpl w:val="E4C29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C6"/>
    <w:rsid w:val="00012ED1"/>
    <w:rsid w:val="000174D4"/>
    <w:rsid w:val="00032162"/>
    <w:rsid w:val="0013110B"/>
    <w:rsid w:val="0020541C"/>
    <w:rsid w:val="00316087"/>
    <w:rsid w:val="00317F04"/>
    <w:rsid w:val="003E0F0D"/>
    <w:rsid w:val="003E6EAC"/>
    <w:rsid w:val="003F2EFD"/>
    <w:rsid w:val="004640A4"/>
    <w:rsid w:val="00476182"/>
    <w:rsid w:val="00476893"/>
    <w:rsid w:val="004860E8"/>
    <w:rsid w:val="004F51E3"/>
    <w:rsid w:val="0051556A"/>
    <w:rsid w:val="005475F6"/>
    <w:rsid w:val="00553274"/>
    <w:rsid w:val="00574FEE"/>
    <w:rsid w:val="00643D85"/>
    <w:rsid w:val="00651B89"/>
    <w:rsid w:val="006B1188"/>
    <w:rsid w:val="006C6B2F"/>
    <w:rsid w:val="007124E0"/>
    <w:rsid w:val="00731389"/>
    <w:rsid w:val="007A4C5C"/>
    <w:rsid w:val="00857CD4"/>
    <w:rsid w:val="00971F15"/>
    <w:rsid w:val="00AA371B"/>
    <w:rsid w:val="00AD2CAF"/>
    <w:rsid w:val="00B21DE6"/>
    <w:rsid w:val="00B70FD5"/>
    <w:rsid w:val="00BE0717"/>
    <w:rsid w:val="00BF6D18"/>
    <w:rsid w:val="00C4518D"/>
    <w:rsid w:val="00CE1720"/>
    <w:rsid w:val="00D42A1A"/>
    <w:rsid w:val="00D50B69"/>
    <w:rsid w:val="00D56A36"/>
    <w:rsid w:val="00D950AD"/>
    <w:rsid w:val="00DA1BDE"/>
    <w:rsid w:val="00DE0894"/>
    <w:rsid w:val="00DF50C6"/>
    <w:rsid w:val="00E223B4"/>
    <w:rsid w:val="00E85095"/>
    <w:rsid w:val="00E90D3C"/>
    <w:rsid w:val="00ED66DD"/>
    <w:rsid w:val="00EE229B"/>
    <w:rsid w:val="00F00D92"/>
    <w:rsid w:val="00F92738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161"/>
  <w15:chartTrackingRefBased/>
  <w15:docId w15:val="{A5145D4F-E44A-4C41-AEDE-3B811794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D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8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89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2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647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tomas sanjuan</dc:creator>
  <cp:keywords/>
  <dc:description/>
  <cp:lastModifiedBy>Rafael Tomás Sanjuan</cp:lastModifiedBy>
  <cp:revision>51</cp:revision>
  <dcterms:created xsi:type="dcterms:W3CDTF">2019-05-24T23:35:00Z</dcterms:created>
  <dcterms:modified xsi:type="dcterms:W3CDTF">2019-05-25T00:46:00Z</dcterms:modified>
</cp:coreProperties>
</file>