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ANALISI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LACUNE DEL TESTO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Dove c'é scritto tra parentesi costa il doppio.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Non si capisce quanto debbano costare gli hambuger e le bevande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ANALISI TECNICA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si usa un costrutto switch per la scelta del menu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Ogni lavoro (compreso il menu) ha un proprio metodo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ANALISI FUNZIONALE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Il software mostra il menu con i lavori e chiede all'utente cosa voule fare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confronta la scelta dell'utente con uno switch.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Dentro allo switch si chiamano le funzioni corrispondenti.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Descrizione dei metodi: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Lavoro 1: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Appena chiamato cucina un uovo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Aggiunge il valore di un uovo al totale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Chidede all’utente se vuole cuocere un altro uovo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Ripete il ciclo fino a che l’utente ha finito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Lavoro 2: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Chide all’utente quanti hamburgher vegani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Chide all’utente quanti hamburgher di renna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Chide all’utente quante bevande alcoliche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Chide all’utente quante bevande analcoliche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Calcola il prezzo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Lavoro 3: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Stampa lo scontrino con il totale del primo e del secondo lavoro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DIVISIONE DEI COMPITI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Menu: Gaino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Lavoro1: Boscolo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Lavoro2: Malachin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Lavoro3: Crepaldi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Analisi tecnica  e funzionale: Tosatti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MIGLIORIRE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Mette un do while per fare piú ordini.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