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DFD Explanation - Updated</w:t>
      </w:r>
    </w:p>
    <w:p>
      <w:r>
        <w:t xml:space="preserve">Project: Multi-Tenant School ERP SaaS using .NET 8 Web API</w:t>
      </w:r>
    </w:p>
    <w:p>
      <w:r>
        <w:t xml:space="preserve">Version: 2.1</w:t>
      </w:r>
    </w:p>
    <w:p>
      <w:r>
        <w:t xml:space="preserve">Date: 12 May 2026</w:t>
      </w:r>
    </w:p>
    <w:p>
      <w:pPr>
        <w:pStyle w:val="Heading1"/>
      </w:pPr>
      <w:r>
        <w:t xml:space="preserve">1. Purpose of the DFD Explanation</w:t>
      </w:r>
    </w:p>
    <w:p>
      <w:r>
        <w:t xml:space="preserve">This document improves the textual explanation of the School ERP SaaS data flow model so that the DFD can be interpreted consistently by business, architecture, QA, and implementation teams.</w:t>
      </w:r>
    </w:p>
    <w:p>
      <w:r>
        <w:t xml:space="preserve">The goal is not to redraw the DFD, but to clarify actors, processes, data stores, trust boundaries, and cross-cutting SaaS behavior that are often under-specified in initial diagrams.</w:t>
      </w:r>
    </w:p>
    <w:p>
      <w:r>
        <w:t xml:space="preserve">This revision also clarifies the ordered access-control flow for feature-based subscription and module licensing.</w:t>
      </w:r>
    </w:p>
    <w:p>
      <w:pPr>
        <w:pStyle w:val="Heading1"/>
      </w:pPr>
      <w:r>
        <w:t xml:space="preserve">2. System Boundary and Trust Zones</w:t>
      </w:r>
    </w:p>
    <w:p>
      <w:r>
        <w:t xml:space="preserve">The DFD should distinguish the Platform Zone from the Tenant Zone.</w:t>
      </w:r>
    </w:p>
    <w:p>
      <w:r>
        <w:t xml:space="preserve">The Platform Zone contains tenant onboarding, plan management, subscription lifecycle, platform audit, support operations, and external provider integration.</w:t>
      </w:r>
    </w:p>
    <w:p>
      <w:r>
        <w:t xml:space="preserve">The Tenant Zone contains school-level workflows such as admissions, student records, academics, staff, fees, exams, and communications.</w:t>
      </w:r>
    </w:p>
    <w:p>
      <w:r>
        <w:t xml:space="preserve">External entities should include Platform Super Admin, School Admin, Staff Users, Parent or Student Users, Payment Gateway, Email Provider, SMS Provider, and optionally Cloud Storage.</w:t>
      </w:r>
    </w:p>
    <w:p>
      <w:r>
        <w:t xml:space="preserve">A trust boundary should be made explicit between internal platform services and third-party callbacks such as payment webhook notifications.</w:t>
      </w:r>
    </w:p>
    <w:p>
      <w:pPr>
        <w:pStyle w:val="Heading1"/>
      </w:pPr>
      <w:r>
        <w:t xml:space="preserve">3. Recommended DFD Levels</w:t>
      </w:r>
    </w:p>
    <w:p>
      <w:r>
        <w:t xml:space="preserve">Context diagram or Level 0 should show the platform as a single process interacting with external actors and external systems.</w:t>
      </w:r>
    </w:p>
    <w:p>
      <w:r>
        <w:t xml:space="preserve">Level 1 should decompose the platform into major processes: Tenant Management, Identity and Access, Subscription and Billing, Academic Management, Student Management, Staff Management, Finance, Examination, Communication, Reporting, and Audit.</w:t>
      </w:r>
    </w:p>
    <w:p>
      <w:r>
        <w:t xml:space="preserve">Level 2 should be used only for critical flows where state transitions and security matter, especially authentication and access control, subscription billing, admissions to enrollment, fee invoicing to receipt posting, result publication, and tenant provisioning.</w:t>
      </w:r>
    </w:p>
    <w:p>
      <w:pPr>
        <w:pStyle w:val="Heading1"/>
      </w:pPr>
      <w:r>
        <w:t xml:space="preserve">4. Core Data Stores That Must Be Visible or Implied</w:t>
      </w:r>
    </w:p>
    <w:p>
      <w:r>
        <w:t xml:space="preserve">Tenant Store for tenant profile, domain mapping, plan mapping, and settings.</w:t>
      </w:r>
    </w:p>
    <w:p>
      <w:r>
        <w:t xml:space="preserve">Identity Store for users, roles, permissions, refresh tokens, and security events.</w:t>
      </w:r>
    </w:p>
    <w:p>
      <w:r>
        <w:t xml:space="preserve">Academic Store for sessions, classes, sections, subjects, timetables, exams, and grading configuration.</w:t>
      </w:r>
    </w:p>
    <w:p>
      <w:r>
        <w:t xml:space="preserve">Student Store for applications, students, guardians, enrollments, attendance, and documents.</w:t>
      </w:r>
    </w:p>
    <w:p>
      <w:r>
        <w:t xml:space="preserve">Staff Store for employee profiles, leave, attendance, and teacher assignments.</w:t>
      </w:r>
    </w:p>
    <w:p>
      <w:r>
        <w:t xml:space="preserve">Finance Store for fee structures, invoices, invoice lines, receipts, refunds, and ledger entries.</w:t>
      </w:r>
    </w:p>
    <w:p>
      <w:r>
        <w:t xml:space="preserve">Communication Store for templates, messages, deliveries, and notification status.</w:t>
      </w:r>
    </w:p>
    <w:p>
      <w:r>
        <w:t xml:space="preserve">Audit and Operations Store for audit logs, background jobs, integration events, and support actions.</w:t>
      </w:r>
    </w:p>
    <w:p>
      <w:r>
        <w:t xml:space="preserve">Entitlement Store or Plan Entitlement data for mapping subscription plans to licensed modules and menu behavior.</w:t>
      </w:r>
    </w:p>
    <w:p>
      <w:pPr>
        <w:pStyle w:val="Heading1"/>
      </w:pPr>
      <w:r>
        <w:t xml:space="preserve">5. Critical Flow Clarifications</w:t>
      </w:r>
    </w:p>
    <w:p>
      <w:pPr>
        <w:pStyle w:val="Heading2"/>
      </w:pPr>
      <w:r>
        <w:t xml:space="preserve">5.1 Tenant Onboarding Flow</w:t>
      </w:r>
    </w:p>
    <w:p>
      <w:r>
        <w:t xml:space="preserve">A tenant signup or creation request enters the Tenant Management process.</w:t>
      </w:r>
    </w:p>
    <w:p>
      <w:r>
        <w:t xml:space="preserve">Tenant Management writes to the Tenant Store, creates default configuration, triggers identity bootstrap, creates the default SchoolAdmin account, and associates a subscription or trial record.</w:t>
      </w:r>
    </w:p>
    <w:p>
      <w:r>
        <w:t xml:space="preserve">The flow should show that provisioning is not complete until tenant admin credentials, first-login reset flag, defaults, and subscription state are successfully created.</w:t>
      </w:r>
    </w:p>
    <w:p>
      <w:pPr>
        <w:pStyle w:val="Heading2"/>
      </w:pPr>
      <w:r>
        <w:t xml:space="preserve">5.2 Authentication and Authorization Flow</w:t>
      </w:r>
    </w:p>
    <w:p>
      <w:r>
        <w:t xml:space="preserve">Users send credentials to the Identity and Access process.</w:t>
      </w:r>
    </w:p>
    <w:p>
      <w:r>
        <w:t xml:space="preserve">The process reads Identity Store, validates the tenant context, checks lockout state, verifies credentials, enforces first-login reset policy, issues tokens, and records security events.</w:t>
      </w:r>
    </w:p>
    <w:p>
      <w:r>
        <w:t xml:space="preserve">Every protected request should show a token validation step before any business process is called.</w:t>
      </w:r>
    </w:p>
    <w:p>
      <w:r>
        <w:t xml:space="preserve">The ordered access-control flow should be shown as: 1. Validate token. 2. Check subscription active or allowed grace-period state. 3. Check school plan includes the requested module. 4. Check user permission. 5. Allow access to the business module.</w:t>
      </w:r>
    </w:p>
    <w:p>
      <w:r>
        <w:t xml:space="preserve">Authorization should therefore be represented as a chained control path from Identity and Access to Subscription and Billing to Module Entitlement evaluation to Role and Permission evaluation before data is passed to downstream business processes.</w:t>
      </w:r>
    </w:p>
    <w:p>
      <w:pPr>
        <w:pStyle w:val="Heading2"/>
      </w:pPr>
      <w:r>
        <w:t xml:space="preserve">5.3 Subscription and Billing Flow</w:t>
      </w:r>
    </w:p>
    <w:p>
      <w:r>
        <w:t xml:space="preserve">Subscription actions flow from Tenant Admin or Platform Admin to Subscription and Billing.</w:t>
      </w:r>
    </w:p>
    <w:p>
      <w:r>
        <w:t xml:space="preserve">That process reads plan definitions, entitlement definitions, writes subscription records, creates invoices, and exchanges payment information with the Payment Gateway.</w:t>
      </w:r>
    </w:p>
    <w:p>
      <w:r>
        <w:t xml:space="preserve">Webhook callbacks from the Payment Gateway must be shown as inbound data flow through a verified callback process before updating payment or subscription state.</w:t>
      </w:r>
    </w:p>
    <w:p>
      <w:r>
        <w:t xml:space="preserve">The subscription flow should also show renewal handling and post-expiry restriction decisions, including whether login is allowed for renewal-only actions and whether module access is blocked.</w:t>
      </w:r>
    </w:p>
    <w:p>
      <w:pPr>
        <w:pStyle w:val="Heading2"/>
      </w:pPr>
      <w:r>
        <w:t xml:space="preserve">5.4 Feature-Based Subscription and Module Licensing Flow</w:t>
      </w:r>
    </w:p>
    <w:p>
      <w:r>
        <w:t xml:space="preserve">Menu configuration data may be sent to the client so the UI can display both entitled and non-entitled modules according to product design.</w:t>
      </w:r>
    </w:p>
    <w:p>
      <w:r>
        <w:t xml:space="preserve">Module use must not be granted based on menu visibility alone.</w:t>
      </w:r>
    </w:p>
    <w:p>
      <w:r>
        <w:t xml:space="preserve">When a user selects a module, the DFD should show the request flowing through token validation, subscription validation, plan entitlement validation, and permission validation in sequence.</w:t>
      </w:r>
    </w:p>
    <w:p>
      <w:r>
        <w:t xml:space="preserve">If the school plan does not include the module, the flow should terminate in an access-denied or upgrade-required response and should write an audit or security event.</w:t>
      </w:r>
    </w:p>
    <w:p>
      <w:pPr>
        <w:pStyle w:val="Heading2"/>
      </w:pPr>
      <w:r>
        <w:t xml:space="preserve">5.5 Admissions to Enrollment Flow</w:t>
      </w:r>
    </w:p>
    <w:p>
      <w:r>
        <w:t xml:space="preserve">Admission data enters the Admissions process and is stored as an application.</w:t>
      </w:r>
    </w:p>
    <w:p>
      <w:r>
        <w:t xml:space="preserve">Review decisions update application status, and only approved applications may flow into student creation and class enrollment processes.</w:t>
      </w:r>
    </w:p>
    <w:p>
      <w:r>
        <w:t xml:space="preserve">This flow should explicitly show duplicate-check or review control before final student record creation.</w:t>
      </w:r>
    </w:p>
    <w:p>
      <w:pPr>
        <w:pStyle w:val="Heading2"/>
      </w:pPr>
      <w:r>
        <w:t xml:space="preserve">5.6 Fee Billing and Collection Flow</w:t>
      </w:r>
    </w:p>
    <w:p>
      <w:r>
        <w:t xml:space="preserve">Fee setup data enters Finance configuration processes and is stored as fee structures or assignments.</w:t>
      </w:r>
    </w:p>
    <w:p>
      <w:r>
        <w:t xml:space="preserve">Billing generates student invoices and stores them in the Finance Store.</w:t>
      </w:r>
    </w:p>
    <w:p>
      <w:r>
        <w:t xml:space="preserve">Payments update receipts and ledger entries, while corrections should flow through controlled reversal or adjustment processes rather than direct record overwrite.</w:t>
      </w:r>
    </w:p>
    <w:p>
      <w:pPr>
        <w:pStyle w:val="Heading2"/>
      </w:pPr>
      <w:r>
        <w:t xml:space="preserve">5.7 Examination and Result Publication Flow</w:t>
      </w:r>
    </w:p>
    <w:p>
      <w:r>
        <w:t xml:space="preserve">Mark entry flows into Examination processes, then to moderation or approval, and only then to result publication.</w:t>
      </w:r>
    </w:p>
    <w:p>
      <w:r>
        <w:t xml:space="preserve">The DFD explanation should clearly state that unpublished, draft, and approved results are distinct states and should not be conflated in the same process description.</w:t>
      </w:r>
    </w:p>
    <w:p>
      <w:pPr>
        <w:pStyle w:val="Heading2"/>
      </w:pPr>
      <w:r>
        <w:t xml:space="preserve">5.8 Audit Logging and Activity Tracking Flow</w:t>
      </w:r>
    </w:p>
    <w:p>
      <w:r>
        <w:t xml:space="preserve">Every successful or denied security-sensitive action should emit an audit or activity event to the Audit and Operations Store.</w:t>
      </w:r>
    </w:p>
    <w:p>
      <w:r>
        <w:t xml:space="preserve">The flow should show business modules sending action metadata such as actor, tenant, module, action, entity, timestamp, and outcome to the audit process.</w:t>
      </w:r>
    </w:p>
    <w:p>
      <w:pPr>
        <w:pStyle w:val="Heading2"/>
      </w:pPr>
      <w:r>
        <w:t xml:space="preserve">5.9 Error Handling Flow</w:t>
      </w:r>
    </w:p>
    <w:p>
      <w:r>
        <w:t xml:space="preserve">The DFD should represent a common error-handling path for validation failure, authentication failure, token failure, subscription failure, entitlement failure, permission failure, and downstream processing failure.</w:t>
      </w:r>
    </w:p>
    <w:p>
      <w:r>
        <w:t xml:space="preserve">Error responses should return to the caller through a standardized response process and should optionally emit audit or operational log entries depending on severity and policy.</w:t>
      </w:r>
    </w:p>
    <w:p>
      <w:pPr>
        <w:pStyle w:val="Heading1"/>
      </w:pPr>
      <w:r>
        <w:t xml:space="preserve">6. Multi-Tenancy DFD Improvements</w:t>
      </w:r>
    </w:p>
    <w:p>
      <w:r>
        <w:t xml:space="preserve">Every tenant-scoped process should mention that TenantId is resolved before business data access.</w:t>
      </w:r>
    </w:p>
    <w:p>
      <w:r>
        <w:t xml:space="preserve">Shared stores must be interpreted as logically partitioned stores where tenant-scoped reads and writes are filtered by TenantId.</w:t>
      </w:r>
    </w:p>
    <w:p>
      <w:r>
        <w:t xml:space="preserve">Cross-tenant reporting should not be represented as a normal tenant process. It belongs only to platform-level administration with explicit authorization.</w:t>
      </w:r>
    </w:p>
    <w:p>
      <w:r>
        <w:t xml:space="preserve">Custom domains and subdomains should be represented as inputs into the tenant-resolution step rather than as direct data access controls.</w:t>
      </w:r>
    </w:p>
    <w:p>
      <w:r>
        <w:t xml:space="preserve">SchoolId or TenantId used for authorization should be shown as coming from validated token and server-side tenant resolution, not from client business payloads.</w:t>
      </w:r>
    </w:p>
    <w:p>
      <w:pPr>
        <w:pStyle w:val="Heading1"/>
      </w:pPr>
      <w:r>
        <w:t xml:space="preserve">7. Security and Compliance Clarifications for the DFD</w:t>
      </w:r>
    </w:p>
    <w:p>
      <w:r>
        <w:t xml:space="preserve">The DFD explanation should identify where authentication occurs, where token validation occurs, where subscription validation occurs, where module-entitlement validation occurs, where authorization occurs, and where audit logging occurs.</w:t>
      </w:r>
    </w:p>
    <w:p>
      <w:r>
        <w:t xml:space="preserve">External callback flows such as payment webhooks should be marked as untrusted until verified.</w:t>
      </w:r>
    </w:p>
    <w:p>
      <w:r>
        <w:t xml:space="preserve">Exports, reports, and notifications are data egress points and should be called out as controlled outputs subject to tenant and role restrictions.</w:t>
      </w:r>
    </w:p>
    <w:p>
      <w:r>
        <w:t xml:space="preserve">Sensitive document uploads should pass through validation and storage processes rather than being shown as direct writes to storage.</w:t>
      </w:r>
    </w:p>
    <w:p>
      <w:r>
        <w:t xml:space="preserve">Rate limiting and lockout controls should be shown as protective controls around public authentication-facing endpoints.</w:t>
      </w:r>
    </w:p>
    <w:p>
      <w:pPr>
        <w:pStyle w:val="Heading1"/>
      </w:pPr>
      <w:r>
        <w:t xml:space="preserve">8. Common DFD Issues Fixed by This Explanation</w:t>
      </w:r>
    </w:p>
    <w:p>
      <w:r>
        <w:t xml:space="preserve">Removes ambiguity between platform-level and tenant-level processes.</w:t>
      </w:r>
    </w:p>
    <w:p>
      <w:r>
        <w:t xml:space="preserve">Clarifies that billing and payment callbacks are asynchronous rather than purely synchronous request-response flows.</w:t>
      </w:r>
    </w:p>
    <w:p>
      <w:r>
        <w:t xml:space="preserve">Clarifies that audit, notification delivery status, and job execution are separate operational concerns.</w:t>
      </w:r>
    </w:p>
    <w:p>
      <w:r>
        <w:t xml:space="preserve">Clarifies that lifecycle states such as Trial, Active, GracePeriod, Suspended, Approved, Enrolled, Posted, and Published materially affect the flow behavior.</w:t>
      </w:r>
    </w:p>
    <w:p>
      <w:r>
        <w:t xml:space="preserve">Clarifies the exact feature-based access order so subscription and permission checks are not modeled as interchangeable or parallel decisions.</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style>
  <w:style w:type="paragraph" w:styleId="Title">
    <w:name w:val="Title"/>
    <w:basedOn w:val="Normal"/>
    <w:qFormat/>
    <w:rPr>
      <w:b/>
      <w:sz w:val="32"/>
    </w:rPr>
  </w:style>
  <w:style w:type="paragraph" w:styleId="Heading1">
    <w:name w:val="heading 1"/>
    <w:basedOn w:val="Normal"/>
    <w:qFormat/>
    <w:rPr>
      <w:b/>
      <w:sz w:val="28"/>
    </w:rPr>
  </w:style>
  <w:style w:type="paragraph" w:styleId="Heading2">
    <w:name w:val="heading 2"/>
    <w:basedOn w:val="Normal"/>
    <w:qFormat/>
    <w:rPr>
      <w:b/>
      <w:sz w:val="24"/>
    </w:rPr>
  </w:style>
</w:styles>
</file>

<file path=word/_rels/document.xml.rels><?xml version="1.0" encoding="UTF-8" standalone="yes"?>
<Relationships xmlns="http://schemas.openxmlformats.org/package/2006/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Updated DFD Explanation</dc:title>
  <dc:creator>OpenAI Codex</dc:creator>
  <cp:lastModifiedBy>OpenAI Codex</cp:lastModifiedBy>
  <dcterms:created xsi:type="dcterms:W3CDTF">2026-05-12T00:00:00Z</dcterms:created>
  <dcterms:modified xsi:type="dcterms:W3CDTF">2026-05-12T00:00:00Z</dcterms:modified>
</cp:coreProperties>
</file>