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二级标题</w:t>
      </w:r>
    </w:p>
    <w:p>
      <w:pPr>
        <w:pStyle w:val="Heading2"/>
      </w:pPr>
      <w:r>
        <w:t>二级标题</w:t>
      </w:r>
    </w:p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设置中文字体，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有序列别元素2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aerszvfdgx</w:t>
            </w:r>
          </w:p>
        </w:tc>
        <w:tc>
          <w:tcPr>
            <w:tcW w:type="dxa" w:w="2880"/>
          </w:tcPr>
          <w:p>
            <w:r>
              <w:t>abdzfgxfdf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cafdwvaef</w:t>
            </w:r>
          </w:p>
        </w:tc>
        <w:tc>
          <w:tcPr>
            <w:tcW w:type="dxa" w:w="2880"/>
          </w:tcPr>
          <w:p>
            <w:r>
              <w:t>aabs zfgf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