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t xml:space="preserve">Elijah Raines</w:t>
      </w:r>
      <w:r w:rsidDel="00000000" w:rsidR="00000000" w:rsidRPr="00000000">
        <w:rPr>
          <w:rtl w:val="0"/>
        </w:rPr>
      </w:r>
    </w:p>
    <w:p w:rsidR="00000000" w:rsidDel="00000000" w:rsidP="00000000" w:rsidRDefault="00000000" w:rsidRPr="00000000" w14:paraId="00000002">
      <w:pPr>
        <w:spacing w:after="240" w:before="240" w:line="480" w:lineRule="auto"/>
        <w:rPr/>
      </w:pPr>
      <w:r w:rsidDel="00000000" w:rsidR="00000000" w:rsidRPr="00000000">
        <w:rPr>
          <w:rtl w:val="0"/>
        </w:rPr>
        <w:t xml:space="preserve">The advancements and future trends of AI have rapidly increased in a very short amount of time. Large Language Models (LLMs) and companies like OpenAI have pushed the AI market forward and created major revenue growth. Models such as Meta’s LLaMA, Anthropic’s Claude, and OpenAI’s GPT series continue to expand their datasets and capabilities, especially between July and September 2024. These new models are becoming multimodal, meaning they can work with text, images, audio, and even video.AI also became an essential importance in society because everyday tasks were taking too long for humans to complete manually. Simple tasks like writing reports, analyzing data, answering emails, researching topics, scheduling work, or summarizing information would take hours. AI started speeding these tasks up in seconds instead of hours, which made it valuable for schools, industries, and businesses. At the same time, the market and sales sector fueled AI growth to a big margin because companies realized they could increase productivity and profits by automating workflows, customer service, marketing, and transactions. Open-source models are a major trend right now. They help democratize AI, which means they make advanced AI more available to everyone instead of only big tech companies. The benefit of this approach is that schools, programs, businesses, and industries can use these tools at a lower cost or even for free. This can help industries like healthcare improve patient care through faster diagnosis, better accuracy, and time-saving workflows. Automotive industries benefit too, especially with autonomous driving and robotics. Mobility also matters because people can run these models locally to build new apps, businesses, videos, and other projects. There are also privacy benefits. Running AI locally can help keep data secure and reduce the risk of hacking, leaks, or theft. However, there are also challenges. Some people may use AI with bad intention,s such as scamming, hacking, or illegal marketplaces. No AI system is completely perfect or fair, because datasets can contain bias, which affects outputs. AI also struggles with accountability. For example, self-driving cars may make decisions that lead to accidents, but the AI cannot take full responsibility since the model can never be 100% correct. AI trends have also expanded in audio, image, and text generation, and new laws and policies are being discussed to manage these risks. For example, the EU AI Act and other global regulations are trying to create safe standards for AI usage in the future. Even though AI is advancing fast, society still has to figure out issues like transparency, ethics, and accountability.</w:t>
      </w:r>
    </w:p>
    <w:p w:rsidR="00000000" w:rsidDel="00000000" w:rsidP="00000000" w:rsidRDefault="00000000" w:rsidRPr="00000000" w14:paraId="00000003">
      <w:pPr>
        <w:spacing w:line="480" w:lineRule="auto"/>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