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3AB" w14:textId="77777777" w:rsidR="00953333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CDA2A06" w14:textId="77777777" w:rsidR="00953333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88AE83F" w14:textId="77777777" w:rsidR="00953333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3FC77F9" w14:textId="77777777" w:rsidR="00953333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3793896A" w14:textId="77777777" w:rsidR="00953333" w:rsidRDefault="00000000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437750C1" w14:textId="7054456E" w:rsidR="00390706" w:rsidRDefault="00390706" w:rsidP="00390706">
      <w:pPr>
        <w:pStyle w:val="1"/>
        <w:tabs>
          <w:tab w:val="center" w:pos="2222"/>
        </w:tabs>
        <w:ind w:left="-15" w:firstLine="0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Безпечні</w:t>
      </w:r>
      <w:proofErr w:type="spellEnd"/>
      <w:r>
        <w:t xml:space="preserve"> </w:t>
      </w:r>
      <w:proofErr w:type="spellStart"/>
      <w:r>
        <w:t>перевезення</w:t>
      </w:r>
      <w:proofErr w:type="spellEnd"/>
      <w:r>
        <w:t>»</w:t>
      </w:r>
      <w:r>
        <w:rPr>
          <w:u w:val="none"/>
        </w:rPr>
        <w:t xml:space="preserve"> </w:t>
      </w:r>
    </w:p>
    <w:p w14:paraId="5361D607" w14:textId="77777777" w:rsidR="00390706" w:rsidRDefault="00390706" w:rsidP="0039070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B5CA32E" w14:textId="77777777" w:rsidR="00390706" w:rsidRDefault="00390706" w:rsidP="00390706">
      <w:pPr>
        <w:ind w:left="-5" w:right="11"/>
      </w:pPr>
      <w:r>
        <w:t xml:space="preserve">Маршрут </w:t>
      </w:r>
      <w:proofErr w:type="spellStart"/>
      <w:r>
        <w:t>автомобіля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перевозить в </w:t>
      </w:r>
      <w:proofErr w:type="spellStart"/>
      <w:r>
        <w:t>закритій</w:t>
      </w:r>
      <w:proofErr w:type="spellEnd"/>
      <w:r>
        <w:t xml:space="preserve"> та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заповненій</w:t>
      </w:r>
      <w:proofErr w:type="spellEnd"/>
      <w:r>
        <w:t xml:space="preserve"> </w:t>
      </w:r>
      <w:proofErr w:type="spellStart"/>
      <w:r>
        <w:t>цистерні</w:t>
      </w:r>
      <w:proofErr w:type="spellEnd"/>
      <w:r>
        <w:t xml:space="preserve"> </w:t>
      </w:r>
      <w:proofErr w:type="spellStart"/>
      <w:r>
        <w:t>рідину</w:t>
      </w:r>
      <w:proofErr w:type="spellEnd"/>
      <w:r>
        <w:t xml:space="preserve"> </w:t>
      </w:r>
      <w:proofErr w:type="spellStart"/>
      <w:r>
        <w:t>густиною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, проходить низкою </w:t>
      </w:r>
      <w:proofErr w:type="spellStart"/>
      <w:r>
        <w:t>прямолінійних</w:t>
      </w:r>
      <w:proofErr w:type="spellEnd"/>
      <w:r>
        <w:t xml:space="preserve"> та </w:t>
      </w:r>
      <w:proofErr w:type="spellStart"/>
      <w:r>
        <w:t>криволінійних</w:t>
      </w:r>
      <w:proofErr w:type="spellEnd"/>
      <w:r>
        <w:t xml:space="preserve"> </w:t>
      </w:r>
      <w:proofErr w:type="spellStart"/>
      <w:r>
        <w:t>ділянок</w:t>
      </w:r>
      <w:proofErr w:type="spellEnd"/>
      <w:r>
        <w:t xml:space="preserve">. </w:t>
      </w:r>
      <w:proofErr w:type="spellStart"/>
      <w:r>
        <w:t>Криволінійні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– дуги </w:t>
      </w:r>
      <w:proofErr w:type="spellStart"/>
      <w:r>
        <w:t>кіл</w:t>
      </w:r>
      <w:proofErr w:type="spellEnd"/>
      <w:r>
        <w:t xml:space="preserve">.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криволінійної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max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два рази, </w:t>
      </w:r>
      <w:proofErr w:type="spellStart"/>
      <w:r>
        <w:t>більший</w:t>
      </w:r>
      <w:proofErr w:type="spellEnd"/>
      <w:r>
        <w:t xml:space="preserve"> за </w:t>
      </w:r>
      <w:proofErr w:type="spellStart"/>
      <w:r>
        <w:t>найменший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min</w:t>
      </w:r>
      <w:proofErr w:type="spellEnd"/>
      <w:r>
        <w:rPr>
          <w:b/>
          <w:i/>
        </w:rPr>
        <w:t xml:space="preserve"> </w:t>
      </w:r>
      <w:proofErr w:type="spellStart"/>
      <w:r>
        <w:t>заокруглення</w:t>
      </w:r>
      <w:proofErr w:type="spellEnd"/>
      <w:r>
        <w:t xml:space="preserve"> дороги.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гальмівний</w:t>
      </w:r>
      <w:proofErr w:type="spellEnd"/>
      <w:r>
        <w:t xml:space="preserve"> шлях </w:t>
      </w:r>
      <w:proofErr w:type="spellStart"/>
      <w:r>
        <w:t>автоцистерни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сталої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гальм</w:t>
      </w:r>
      <w:proofErr w:type="spellEnd"/>
      <w:r>
        <w:t xml:space="preserve"> не повинен бути </w:t>
      </w:r>
      <w:proofErr w:type="spellStart"/>
      <w:r>
        <w:t>більшим</w:t>
      </w:r>
      <w:proofErr w:type="spellEnd"/>
      <w:r>
        <w:t xml:space="preserve"> за </w:t>
      </w:r>
      <w:proofErr w:type="spellStart"/>
      <w:r>
        <w:t>піврізницю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 та </w:t>
      </w:r>
      <w:proofErr w:type="spellStart"/>
      <w:r>
        <w:t>найменшим</w:t>
      </w:r>
      <w:proofErr w:type="spellEnd"/>
      <w:r>
        <w:t xml:space="preserve"> </w:t>
      </w:r>
      <w:proofErr w:type="spellStart"/>
      <w:r>
        <w:t>радіусами</w:t>
      </w:r>
      <w:proofErr w:type="spellEnd"/>
      <w:r>
        <w:t xml:space="preserve"> </w:t>
      </w:r>
      <w:proofErr w:type="spellStart"/>
      <w:r>
        <w:t>заокруглень</w:t>
      </w:r>
      <w:proofErr w:type="spellEnd"/>
      <w:r>
        <w:t xml:space="preserve"> дороги.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rPr>
          <w:b/>
        </w:rPr>
        <w:t xml:space="preserve"> руху</w:t>
      </w:r>
      <w:r>
        <w:t xml:space="preserve"> </w:t>
      </w:r>
      <w:proofErr w:type="spellStart"/>
      <w:r>
        <w:t>автоцистерни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маршруті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припустиме</w:t>
      </w:r>
      <w:proofErr w:type="spellEnd"/>
      <w:r>
        <w:t xml:space="preserve"> </w:t>
      </w:r>
      <w:proofErr w:type="spellStart"/>
      <w:r>
        <w:t>граничне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на </w:t>
      </w:r>
      <w:proofErr w:type="spellStart"/>
      <w:r>
        <w:t>стінку</w:t>
      </w:r>
      <w:proofErr w:type="spellEnd"/>
      <w:r>
        <w:t xml:space="preserve"> </w:t>
      </w:r>
      <w:proofErr w:type="spellStart"/>
      <w:r>
        <w:t>цистерни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  <w:i/>
        </w:rPr>
        <w:t>F</w:t>
      </w:r>
      <w:r>
        <w:rPr>
          <w:b/>
          <w:i/>
          <w:vertAlign w:val="subscript"/>
        </w:rPr>
        <w:t>гр</w:t>
      </w:r>
      <w:proofErr w:type="spellEnd"/>
      <w:r>
        <w:t xml:space="preserve">? Цистерна </w:t>
      </w:r>
      <w:proofErr w:type="spellStart"/>
      <w:r>
        <w:t>має</w:t>
      </w:r>
      <w:proofErr w:type="spellEnd"/>
      <w:r>
        <w:t xml:space="preserve"> форму кубу з </w:t>
      </w:r>
      <w:proofErr w:type="spellStart"/>
      <w:r>
        <w:t>довжиною</w:t>
      </w:r>
      <w:proofErr w:type="spellEnd"/>
      <w:r>
        <w:t xml:space="preserve"> ребра </w:t>
      </w:r>
      <w:r>
        <w:rPr>
          <w:b/>
          <w:i/>
        </w:rPr>
        <w:t>h</w:t>
      </w:r>
      <w:r>
        <w:t xml:space="preserve">.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тертя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шинами та дорогою </w:t>
      </w:r>
      <w:proofErr w:type="spellStart"/>
      <w:r>
        <w:t>вважати</w:t>
      </w:r>
      <w:proofErr w:type="spellEnd"/>
      <w:r>
        <w:t xml:space="preserve"> великим, </w:t>
      </w:r>
      <w:proofErr w:type="spellStart"/>
      <w:r>
        <w:t>проковзування</w:t>
      </w:r>
      <w:proofErr w:type="spellEnd"/>
      <w:r>
        <w:t xml:space="preserve"> шин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наступає</w:t>
      </w:r>
      <w:proofErr w:type="spellEnd"/>
      <w:r>
        <w:t xml:space="preserve">.  </w:t>
      </w:r>
      <w:proofErr w:type="spellStart"/>
      <w:r>
        <w:t>Уважати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автомобіль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розганятися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гальмувати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прямолінійних</w:t>
      </w:r>
      <w:proofErr w:type="spellEnd"/>
      <w:r>
        <w:t xml:space="preserve"> </w:t>
      </w:r>
      <w:proofErr w:type="spellStart"/>
      <w:r>
        <w:t>ділянках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14:paraId="5BED1757" w14:textId="77777777" w:rsidR="00390706" w:rsidRDefault="00390706" w:rsidP="00390706">
      <w:pPr>
        <w:spacing w:after="210" w:line="259" w:lineRule="auto"/>
        <w:ind w:left="0" w:right="0" w:firstLine="0"/>
        <w:jc w:val="left"/>
      </w:pPr>
      <w:r>
        <w:t xml:space="preserve"> </w:t>
      </w:r>
    </w:p>
    <w:p w14:paraId="697A76A5" w14:textId="77777777" w:rsidR="00390706" w:rsidRDefault="00390706" w:rsidP="00390706">
      <w:pPr>
        <w:pStyle w:val="1"/>
        <w:tabs>
          <w:tab w:val="center" w:pos="2027"/>
        </w:tabs>
        <w:spacing w:after="167"/>
        <w:ind w:left="-15" w:firstLine="0"/>
      </w:pPr>
    </w:p>
    <w:p w14:paraId="7849D7A2" w14:textId="1A268BA2" w:rsidR="001973C8" w:rsidRDefault="001973C8" w:rsidP="00390706">
      <w:pPr>
        <w:ind w:left="-5" w:right="11"/>
      </w:pPr>
    </w:p>
    <w:sectPr w:rsidR="001973C8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33"/>
    <w:rsid w:val="001973C8"/>
    <w:rsid w:val="00390706"/>
    <w:rsid w:val="00953333"/>
    <w:rsid w:val="00AF4B48"/>
    <w:rsid w:val="00C8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B0CB"/>
  <w15:docId w15:val="{BD32ABED-84BE-40A6-A27A-B8C2B8D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2024-09-06T09:03:00Z</dcterms:created>
  <dcterms:modified xsi:type="dcterms:W3CDTF">2024-09-06T09:03:00Z</dcterms:modified>
</cp:coreProperties>
</file>