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C754B" w:rsidRPr="009E6B6B" w:rsidRDefault="00E46817" w:rsidP="00E46817">
      <w:pPr>
        <w:jc w:val="center"/>
        <w:rPr>
          <w:b/>
          <w:bCs/>
          <w:rtl/>
        </w:rPr>
      </w:pPr>
      <w:r w:rsidRPr="009E6B6B">
        <w:rPr>
          <w:b/>
          <w:bCs/>
        </w:rPr>
        <w:t>Supplementary material #</w:t>
      </w:r>
      <w:r w:rsidR="0052213D">
        <w:rPr>
          <w:b/>
          <w:bCs/>
        </w:rPr>
        <w:t>2</w:t>
      </w:r>
      <w:r w:rsidRPr="009E6B6B">
        <w:rPr>
          <w:b/>
          <w:bCs/>
        </w:rPr>
        <w:t xml:space="preserve"> - Lessons from Literature-Based Case Analysis</w:t>
      </w:r>
    </w:p>
    <w:p w:rsidR="00E46817" w:rsidRDefault="00E46817" w:rsidP="00E46817">
      <w:pPr>
        <w:jc w:val="center"/>
        <w:rPr>
          <w:rtl/>
        </w:rPr>
      </w:pPr>
    </w:p>
    <w:p w:rsidR="009E6B6B" w:rsidRPr="009E6B6B" w:rsidRDefault="009E6B6B" w:rsidP="009E6B6B">
      <w:pPr>
        <w:bidi w:val="0"/>
        <w:spacing w:after="0" w:line="240" w:lineRule="auto"/>
        <w:ind w:firstLine="216"/>
        <w:jc w:val="both"/>
        <w:rPr>
          <w:rFonts w:ascii="Times New Roman" w:eastAsia="SimSun" w:hAnsi="Times New Roman" w:cs="Times New Roman"/>
          <w:kern w:val="0"/>
          <w:sz w:val="20"/>
          <w:szCs w:val="20"/>
          <w14:ligatures w14:val="none"/>
        </w:rPr>
      </w:pPr>
      <w:r w:rsidRPr="009E6B6B">
        <w:rPr>
          <w:rFonts w:ascii="Times New Roman" w:eastAsia="SimSun" w:hAnsi="Times New Roman" w:cs="Times New Roman"/>
          <w:kern w:val="0"/>
          <w:sz w:val="20"/>
          <w:szCs w:val="20"/>
          <w14:ligatures w14:val="none"/>
        </w:rPr>
        <w:t>To contextualize the conflicting system objectives identified in the initial literature review, we analyzed a diverse set of real-world case studies drawn from both academic literature and formal media and industry sources. These examples highlight recurring conflicts between human oversight and competing system goals. Given the limited access to AI solutions in proprietary systems, literature-based and media-documented cases, which are not always peer-reviewed sources, offer valuable insights into the practical challenges encountered during the implementation of these AI solutions. Examining reported real-life cases enables us to examine how different domains implement, adapt, or struggle with human-oversight mechanisms. The insights derived from these cases inform and refine our proposed framework, offering concrete illustrations of oversight dilemmas and potential resolution strategies.</w:t>
      </w:r>
    </w:p>
    <w:p w:rsidR="009E6B6B" w:rsidRPr="009E6B6B" w:rsidRDefault="009E6B6B" w:rsidP="009E6B6B">
      <w:pPr>
        <w:bidi w:val="0"/>
        <w:spacing w:after="0" w:line="240" w:lineRule="auto"/>
        <w:ind w:firstLine="216"/>
        <w:jc w:val="both"/>
        <w:rPr>
          <w:rFonts w:ascii="Times New Roman" w:eastAsia="SimSun" w:hAnsi="Times New Roman" w:cs="Times New Roman"/>
          <w:kern w:val="0"/>
          <w:sz w:val="20"/>
          <w:szCs w:val="20"/>
          <w14:ligatures w14:val="none"/>
        </w:rPr>
      </w:pPr>
      <w:r w:rsidRPr="009E6B6B">
        <w:rPr>
          <w:rFonts w:ascii="Times New Roman" w:eastAsia="SimSun" w:hAnsi="Times New Roman" w:cs="Times New Roman"/>
          <w:i/>
          <w:iCs/>
          <w:kern w:val="0"/>
          <w:sz w:val="20"/>
          <w:szCs w:val="20"/>
          <w14:ligatures w14:val="none"/>
        </w:rPr>
        <w:t>Autonomous Vehicles</w:t>
      </w:r>
      <w:r w:rsidRPr="009E6B6B">
        <w:rPr>
          <w:rFonts w:ascii="Times New Roman" w:eastAsia="SimSun" w:hAnsi="Times New Roman" w:cs="Times New Roman"/>
          <w:kern w:val="0"/>
          <w:sz w:val="20"/>
          <w:szCs w:val="20"/>
          <w14:ligatures w14:val="none"/>
        </w:rPr>
        <w:t xml:space="preserve">: Self-driving technologies developed by Tesla and Uber demonstrate the risk of full automation in safety-critical environments. Accidents involving autonomous vehicles have underscored the need for human-in-the-loop mechanisms, such as driver fallback systems or remote human intervention, to handle complex, unpredictable conditions </w:t>
      </w:r>
      <w:r w:rsidR="0052213D">
        <w:rPr>
          <w:rFonts w:ascii="Times New Roman" w:eastAsia="SimSun" w:hAnsi="Times New Roman" w:cs="Times New Roman"/>
          <w:kern w:val="0"/>
          <w:sz w:val="20"/>
          <w:szCs w:val="20"/>
          <w14:ligatures w14:val="none"/>
        </w:rPr>
        <w:t>(</w:t>
      </w:r>
      <w:r w:rsidRPr="009E6B6B">
        <w:rPr>
          <w:rFonts w:ascii="Times New Roman" w:eastAsia="SimSun" w:hAnsi="Times New Roman" w:cs="Times New Roman"/>
          <w:kern w:val="0"/>
          <w:sz w:val="20"/>
          <w:szCs w:val="20"/>
          <w:lang w:bidi="ar-SA"/>
          <w14:ligatures w14:val="none"/>
        </w:rPr>
        <w:t>National Transportation,</w:t>
      </w:r>
      <w:r w:rsidRPr="009E6B6B">
        <w:rPr>
          <w:rFonts w:ascii="Times New Roman" w:eastAsia="SimSun" w:hAnsi="Times New Roman" w:cs="Times New Roman"/>
          <w:kern w:val="0"/>
          <w:sz w:val="20"/>
          <w:szCs w:val="20"/>
          <w14:ligatures w14:val="none"/>
        </w:rPr>
        <w:t xml:space="preserve"> </w:t>
      </w:r>
      <w:r w:rsidR="0052213D">
        <w:rPr>
          <w:rFonts w:ascii="Times New Roman" w:eastAsia="SimSun" w:hAnsi="Times New Roman" w:cs="Times New Roman"/>
          <w:kern w:val="0"/>
          <w:sz w:val="20"/>
          <w:szCs w:val="20"/>
          <w14:ligatures w14:val="none"/>
        </w:rPr>
        <w:t xml:space="preserve">2019, The </w:t>
      </w:r>
      <w:r w:rsidRPr="009E6B6B">
        <w:rPr>
          <w:rFonts w:ascii="Times New Roman" w:eastAsia="SimSun" w:hAnsi="Times New Roman" w:cs="Times New Roman"/>
          <w:kern w:val="0"/>
          <w:sz w:val="20"/>
          <w:szCs w:val="20"/>
          <w14:ligatures w14:val="none"/>
        </w:rPr>
        <w:t>Tesla</w:t>
      </w:r>
      <w:r w:rsidR="0052213D">
        <w:rPr>
          <w:rFonts w:ascii="Times New Roman" w:eastAsia="SimSun" w:hAnsi="Times New Roman" w:cs="Times New Roman"/>
          <w:kern w:val="0"/>
          <w:sz w:val="20"/>
          <w:szCs w:val="20"/>
          <w14:ligatures w14:val="none"/>
        </w:rPr>
        <w:t xml:space="preserve"> Team, 2024</w:t>
      </w:r>
      <w:r w:rsidRPr="009E6B6B">
        <w:rPr>
          <w:rFonts w:ascii="Times New Roman" w:eastAsia="SimSun" w:hAnsi="Times New Roman" w:cs="Times New Roman"/>
          <w:kern w:val="0"/>
          <w:sz w:val="20"/>
          <w:szCs w:val="20"/>
          <w14:ligatures w14:val="none"/>
        </w:rPr>
        <w:t>, Gautam</w:t>
      </w:r>
      <w:r w:rsidR="0052213D">
        <w:rPr>
          <w:rFonts w:ascii="Times New Roman" w:eastAsia="SimSun" w:hAnsi="Times New Roman" w:cs="Times New Roman"/>
          <w:kern w:val="0"/>
          <w:sz w:val="20"/>
          <w:szCs w:val="20"/>
          <w14:ligatures w14:val="none"/>
        </w:rPr>
        <w:t xml:space="preserve"> et al., 2024)</w:t>
      </w:r>
      <w:r w:rsidRPr="009E6B6B">
        <w:rPr>
          <w:rFonts w:ascii="Times New Roman" w:eastAsia="SimSun" w:hAnsi="Times New Roman" w:cs="Times New Roman"/>
          <w:kern w:val="0"/>
          <w:sz w:val="20"/>
          <w:szCs w:val="20"/>
          <w14:ligatures w14:val="none"/>
        </w:rPr>
        <w:t>.</w:t>
      </w:r>
    </w:p>
    <w:p w:rsidR="009E6B6B" w:rsidRPr="009E6B6B" w:rsidRDefault="009E6B6B" w:rsidP="009E6B6B">
      <w:pPr>
        <w:bidi w:val="0"/>
        <w:spacing w:after="0" w:line="240" w:lineRule="auto"/>
        <w:ind w:firstLine="216"/>
        <w:jc w:val="both"/>
        <w:rPr>
          <w:rFonts w:ascii="Times New Roman" w:eastAsia="SimSun" w:hAnsi="Times New Roman" w:cs="Times New Roman"/>
          <w:kern w:val="0"/>
          <w:sz w:val="20"/>
          <w:szCs w:val="20"/>
          <w14:ligatures w14:val="none"/>
        </w:rPr>
      </w:pPr>
      <w:r w:rsidRPr="009E6B6B">
        <w:rPr>
          <w:rFonts w:ascii="Times New Roman" w:eastAsia="SimSun" w:hAnsi="Times New Roman" w:cs="Times New Roman"/>
          <w:i/>
          <w:iCs/>
          <w:kern w:val="0"/>
          <w:sz w:val="20"/>
          <w:szCs w:val="20"/>
          <w14:ligatures w14:val="none"/>
        </w:rPr>
        <w:t>Fraud Detection in Banking</w:t>
      </w:r>
      <w:r w:rsidRPr="009E6B6B">
        <w:rPr>
          <w:rFonts w:ascii="Times New Roman" w:eastAsia="SimSun" w:hAnsi="Times New Roman" w:cs="Times New Roman"/>
          <w:kern w:val="0"/>
          <w:sz w:val="20"/>
          <w:szCs w:val="20"/>
          <w14:ligatures w14:val="none"/>
        </w:rPr>
        <w:t xml:space="preserve">: AI systems effectively detect fraudulent activity, but may trigger false positives, leading to legitimate transactions being blocked. In these cases, human analysts are needed to verify and override AI decisions, ensuring efficiency without compromising user experience </w:t>
      </w:r>
      <w:r w:rsidR="0052213D">
        <w:rPr>
          <w:rFonts w:ascii="Times New Roman" w:eastAsia="SimSun" w:hAnsi="Times New Roman" w:cs="Times New Roman" w:hint="cs"/>
          <w:kern w:val="0"/>
          <w:sz w:val="20"/>
          <w:szCs w:val="20"/>
          <w:rtl/>
          <w14:ligatures w14:val="none"/>
        </w:rPr>
        <w:t>)</w:t>
      </w:r>
      <w:r w:rsidRPr="009E6B6B">
        <w:rPr>
          <w:rFonts w:ascii="Times New Roman" w:eastAsia="SimSun" w:hAnsi="Times New Roman" w:cs="Times New Roman"/>
          <w:kern w:val="0"/>
          <w:sz w:val="20"/>
          <w:szCs w:val="20"/>
          <w:lang w:bidi="ar-SA"/>
          <w14:ligatures w14:val="none"/>
        </w:rPr>
        <w:t>Teradata</w:t>
      </w:r>
      <w:r w:rsidRPr="009E6B6B">
        <w:rPr>
          <w:rFonts w:ascii="Times New Roman" w:eastAsia="SimSun" w:hAnsi="Times New Roman" w:cs="Times New Roman"/>
          <w:kern w:val="0"/>
          <w:sz w:val="20"/>
          <w:szCs w:val="20"/>
          <w14:ligatures w14:val="none"/>
        </w:rPr>
        <w:t xml:space="preserve">, </w:t>
      </w:r>
      <w:proofErr w:type="spellStart"/>
      <w:r w:rsidRPr="009E6B6B">
        <w:rPr>
          <w:rFonts w:ascii="Times New Roman" w:eastAsia="SimSun" w:hAnsi="Times New Roman" w:cs="Times New Roman"/>
          <w:kern w:val="0"/>
          <w:sz w:val="20"/>
          <w:szCs w:val="20"/>
          <w:lang w:bidi="ar-SA"/>
          <w14:ligatures w14:val="none"/>
        </w:rPr>
        <w:t>Wallny</w:t>
      </w:r>
      <w:proofErr w:type="spellEnd"/>
      <w:r w:rsidR="0052213D">
        <w:rPr>
          <w:rFonts w:ascii="Times New Roman" w:eastAsia="SimSun" w:hAnsi="Times New Roman" w:cs="Times New Roman"/>
          <w:kern w:val="0"/>
          <w:sz w:val="20"/>
          <w:szCs w:val="20"/>
          <w:lang w:bidi="ar-SA"/>
          <w14:ligatures w14:val="none"/>
        </w:rPr>
        <w:t xml:space="preserve"> et al.</w:t>
      </w:r>
      <w:r w:rsidRPr="009E6B6B">
        <w:rPr>
          <w:rFonts w:ascii="Times New Roman" w:eastAsia="SimSun" w:hAnsi="Times New Roman" w:cs="Times New Roman"/>
          <w:kern w:val="0"/>
          <w:sz w:val="20"/>
          <w:szCs w:val="20"/>
          <w14:ligatures w14:val="none"/>
        </w:rPr>
        <w:t>,</w:t>
      </w:r>
      <w:r w:rsidR="0052213D">
        <w:rPr>
          <w:rFonts w:ascii="Times New Roman" w:eastAsia="SimSun" w:hAnsi="Times New Roman" w:cs="Times New Roman"/>
          <w:kern w:val="0"/>
          <w:sz w:val="20"/>
          <w:szCs w:val="20"/>
          <w14:ligatures w14:val="none"/>
        </w:rPr>
        <w:t xml:space="preserve"> 2022,</w:t>
      </w:r>
      <w:r w:rsidRPr="009E6B6B">
        <w:rPr>
          <w:rFonts w:ascii="Times New Roman" w:eastAsia="SimSun" w:hAnsi="Times New Roman" w:cs="Times New Roman"/>
          <w:kern w:val="0"/>
          <w:sz w:val="20"/>
          <w:szCs w:val="20"/>
          <w14:ligatures w14:val="none"/>
        </w:rPr>
        <w:t xml:space="preserve"> </w:t>
      </w:r>
      <w:r w:rsidRPr="009E6B6B">
        <w:rPr>
          <w:rFonts w:ascii="Times New Roman" w:eastAsia="SimSun" w:hAnsi="Times New Roman" w:cs="Times New Roman"/>
          <w:kern w:val="0"/>
          <w:sz w:val="20"/>
          <w:szCs w:val="20"/>
          <w:lang w:bidi="ar-SA"/>
          <w14:ligatures w14:val="none"/>
        </w:rPr>
        <w:t>Fallen</w:t>
      </w:r>
      <w:r w:rsidR="0052213D">
        <w:rPr>
          <w:rFonts w:ascii="Times New Roman" w:eastAsia="SimSun" w:hAnsi="Times New Roman" w:cs="Times New Roman"/>
          <w:kern w:val="0"/>
          <w:sz w:val="20"/>
          <w:szCs w:val="20"/>
          <w:lang w:bidi="ar-SA"/>
          <w14:ligatures w14:val="none"/>
        </w:rPr>
        <w:t xml:space="preserve"> et al., 2025</w:t>
      </w:r>
      <w:r w:rsidR="0052213D">
        <w:rPr>
          <w:rFonts w:ascii="Times New Roman" w:eastAsia="SimSun" w:hAnsi="Times New Roman" w:cs="Times New Roman"/>
          <w:kern w:val="0"/>
          <w:sz w:val="20"/>
          <w:szCs w:val="20"/>
          <w14:ligatures w14:val="none"/>
        </w:rPr>
        <w:t>)</w:t>
      </w:r>
      <w:r w:rsidRPr="009E6B6B">
        <w:rPr>
          <w:rFonts w:ascii="Times New Roman" w:eastAsia="SimSun" w:hAnsi="Times New Roman" w:cs="Times New Roman"/>
          <w:kern w:val="0"/>
          <w:sz w:val="20"/>
          <w:szCs w:val="20"/>
          <w14:ligatures w14:val="none"/>
        </w:rPr>
        <w:t>.</w:t>
      </w:r>
    </w:p>
    <w:p w:rsidR="009E6B6B" w:rsidRPr="009E6B6B" w:rsidRDefault="009E6B6B" w:rsidP="009E6B6B">
      <w:pPr>
        <w:bidi w:val="0"/>
        <w:spacing w:after="0" w:line="240" w:lineRule="auto"/>
        <w:ind w:firstLine="216"/>
        <w:jc w:val="both"/>
        <w:rPr>
          <w:rFonts w:ascii="Times New Roman" w:eastAsia="SimSun" w:hAnsi="Times New Roman" w:cs="Times New Roman"/>
          <w:kern w:val="0"/>
          <w:sz w:val="20"/>
          <w:szCs w:val="20"/>
          <w14:ligatures w14:val="none"/>
        </w:rPr>
      </w:pPr>
      <w:r w:rsidRPr="009E6B6B">
        <w:rPr>
          <w:rFonts w:ascii="Times New Roman" w:eastAsia="SimSun" w:hAnsi="Times New Roman" w:cs="Times New Roman"/>
          <w:i/>
          <w:iCs/>
          <w:kern w:val="0"/>
          <w:sz w:val="20"/>
          <w:szCs w:val="20"/>
          <w14:ligatures w14:val="none"/>
        </w:rPr>
        <w:t>Medical Diagnostics</w:t>
      </w:r>
      <w:r w:rsidRPr="009E6B6B">
        <w:rPr>
          <w:rFonts w:ascii="Times New Roman" w:eastAsia="SimSun" w:hAnsi="Times New Roman" w:cs="Times New Roman"/>
          <w:kern w:val="0"/>
          <w:sz w:val="20"/>
          <w:szCs w:val="20"/>
          <w14:ligatures w14:val="none"/>
        </w:rPr>
        <w:t xml:space="preserve">: AI models have outperformed doctors in several specific tasks, such as cancer detection, but their black-box nature undermines trust. Clinicians require explainable outputs before acting on AI recommendations. This requirement was addressed by integrating explainable AI (XAI) tools, like saliency maps, but these often impose performance costs and still fall short of full transparency </w:t>
      </w:r>
      <w:r w:rsidR="0052213D">
        <w:rPr>
          <w:rFonts w:ascii="Times New Roman" w:eastAsia="SimSun" w:hAnsi="Times New Roman" w:cs="Times New Roman"/>
          <w:kern w:val="0"/>
          <w:sz w:val="20"/>
          <w:szCs w:val="20"/>
          <w14:ligatures w14:val="none"/>
        </w:rPr>
        <w:t>(</w:t>
      </w:r>
      <w:r w:rsidRPr="009E6B6B">
        <w:rPr>
          <w:rFonts w:ascii="Times New Roman" w:eastAsia="SimSun" w:hAnsi="Times New Roman" w:cs="Times New Roman"/>
          <w:kern w:val="0"/>
          <w:sz w:val="20"/>
          <w:szCs w:val="20"/>
          <w14:ligatures w14:val="none"/>
        </w:rPr>
        <w:t>Kolarik</w:t>
      </w:r>
      <w:r w:rsidR="0052213D">
        <w:rPr>
          <w:rFonts w:ascii="Times New Roman" w:eastAsia="SimSun" w:hAnsi="Times New Roman" w:cs="Times New Roman"/>
          <w:kern w:val="0"/>
          <w:sz w:val="20"/>
          <w:szCs w:val="20"/>
          <w14:ligatures w14:val="none"/>
        </w:rPr>
        <w:t xml:space="preserve"> et al.</w:t>
      </w:r>
      <w:r w:rsidRPr="009E6B6B">
        <w:rPr>
          <w:rFonts w:ascii="Times New Roman" w:eastAsia="SimSun" w:hAnsi="Times New Roman" w:cs="Times New Roman"/>
          <w:kern w:val="0"/>
          <w:sz w:val="20"/>
          <w:szCs w:val="20"/>
          <w14:ligatures w14:val="none"/>
        </w:rPr>
        <w:t>,</w:t>
      </w:r>
      <w:r w:rsidR="0052213D">
        <w:rPr>
          <w:rFonts w:ascii="Times New Roman" w:eastAsia="SimSun" w:hAnsi="Times New Roman" w:cs="Times New Roman"/>
          <w:kern w:val="0"/>
          <w:sz w:val="20"/>
          <w:szCs w:val="20"/>
          <w14:ligatures w14:val="none"/>
        </w:rPr>
        <w:t xml:space="preserve"> 2023,</w:t>
      </w:r>
      <w:r w:rsidRPr="009E6B6B">
        <w:rPr>
          <w:rFonts w:ascii="Times New Roman" w:eastAsia="SimSun" w:hAnsi="Times New Roman" w:cs="Times New Roman"/>
          <w:kern w:val="0"/>
          <w:sz w:val="20"/>
          <w:szCs w:val="20"/>
          <w14:ligatures w14:val="none"/>
        </w:rPr>
        <w:t xml:space="preserve"> </w:t>
      </w:r>
      <w:r w:rsidRPr="009E6B6B">
        <w:rPr>
          <w:rFonts w:ascii="Times New Roman" w:eastAsia="SimSun" w:hAnsi="Times New Roman" w:cs="Times New Roman"/>
          <w:kern w:val="0"/>
          <w:sz w:val="20"/>
          <w:szCs w:val="20"/>
          <w:lang w:bidi="ar-SA"/>
          <w14:ligatures w14:val="none"/>
        </w:rPr>
        <w:t>Kelly</w:t>
      </w:r>
      <w:r w:rsidR="0052213D">
        <w:rPr>
          <w:rFonts w:ascii="Times New Roman" w:eastAsia="SimSun" w:hAnsi="Times New Roman" w:cs="Times New Roman"/>
          <w:kern w:val="0"/>
          <w:sz w:val="20"/>
          <w:szCs w:val="20"/>
          <w14:ligatures w14:val="none"/>
        </w:rPr>
        <w:t xml:space="preserve"> et al., 2019)</w:t>
      </w:r>
      <w:r w:rsidRPr="009E6B6B">
        <w:rPr>
          <w:rFonts w:ascii="Times New Roman" w:eastAsia="SimSun" w:hAnsi="Times New Roman" w:cs="Times New Roman"/>
          <w:kern w:val="0"/>
          <w:sz w:val="20"/>
          <w:szCs w:val="20"/>
          <w14:ligatures w14:val="none"/>
        </w:rPr>
        <w:t>.</w:t>
      </w:r>
    </w:p>
    <w:p w:rsidR="009E6B6B" w:rsidRPr="009E6B6B" w:rsidRDefault="009E6B6B" w:rsidP="009E6B6B">
      <w:pPr>
        <w:bidi w:val="0"/>
        <w:spacing w:after="0" w:line="240" w:lineRule="auto"/>
        <w:ind w:firstLine="216"/>
        <w:jc w:val="both"/>
        <w:rPr>
          <w:rFonts w:ascii="Times New Roman" w:eastAsia="SimSun" w:hAnsi="Times New Roman" w:cs="Times New Roman"/>
          <w:kern w:val="0"/>
          <w:sz w:val="20"/>
          <w:szCs w:val="20"/>
          <w14:ligatures w14:val="none"/>
        </w:rPr>
      </w:pPr>
      <w:r w:rsidRPr="009E6B6B">
        <w:rPr>
          <w:rFonts w:ascii="Times New Roman" w:eastAsia="SimSun" w:hAnsi="Times New Roman" w:cs="Times New Roman"/>
          <w:i/>
          <w:iCs/>
          <w:kern w:val="0"/>
          <w:sz w:val="20"/>
          <w:szCs w:val="20"/>
          <w14:ligatures w14:val="none"/>
        </w:rPr>
        <w:t>AI in Hiring</w:t>
      </w:r>
      <w:r w:rsidRPr="009E6B6B">
        <w:rPr>
          <w:rFonts w:ascii="Times New Roman" w:eastAsia="SimSun" w:hAnsi="Times New Roman" w:cs="Times New Roman"/>
          <w:kern w:val="0"/>
          <w:sz w:val="20"/>
          <w:szCs w:val="20"/>
          <w14:ligatures w14:val="none"/>
        </w:rPr>
        <w:t xml:space="preserve">: Many companies including, for example, Amazon and LinkedIn, use AI for resume screening and behavior prediction. However, the AI models used for this purpose have limited transparency, raising fairness and accountability concerns. Organizations are therefore forced to choose between simplifying models for explainability or providing post-hoc rationalizations with limited fidelity </w:t>
      </w:r>
      <w:r w:rsidR="0052213D">
        <w:rPr>
          <w:rFonts w:ascii="Times New Roman" w:eastAsia="SimSun" w:hAnsi="Times New Roman" w:cs="Times New Roman"/>
          <w:kern w:val="0"/>
          <w:sz w:val="20"/>
          <w:szCs w:val="20"/>
          <w14:ligatures w14:val="none"/>
        </w:rPr>
        <w:t>(</w:t>
      </w:r>
      <w:r w:rsidRPr="009E6B6B">
        <w:rPr>
          <w:rFonts w:ascii="Times New Roman" w:eastAsia="SimSun" w:hAnsi="Times New Roman" w:cs="Times New Roman"/>
          <w:kern w:val="0"/>
          <w:sz w:val="20"/>
          <w:szCs w:val="20"/>
          <w:lang w:bidi="ar-SA"/>
          <w14:ligatures w14:val="none"/>
        </w:rPr>
        <w:t>Dastin</w:t>
      </w:r>
      <w:r w:rsidRPr="009E6B6B">
        <w:rPr>
          <w:rFonts w:ascii="Times New Roman" w:eastAsia="SimSun" w:hAnsi="Times New Roman" w:cs="Times New Roman"/>
          <w:kern w:val="0"/>
          <w:sz w:val="20"/>
          <w:szCs w:val="20"/>
          <w14:ligatures w14:val="none"/>
        </w:rPr>
        <w:t xml:space="preserve">, </w:t>
      </w:r>
      <w:r w:rsidR="0052213D">
        <w:rPr>
          <w:rFonts w:ascii="Times New Roman" w:eastAsia="SimSun" w:hAnsi="Times New Roman" w:cs="Times New Roman"/>
          <w:kern w:val="0"/>
          <w:sz w:val="20"/>
          <w:szCs w:val="20"/>
          <w:lang w:bidi="ar-SA"/>
          <w14:ligatures w14:val="none"/>
        </w:rPr>
        <w:t>2018,</w:t>
      </w:r>
      <w:r w:rsidRPr="009E6B6B">
        <w:rPr>
          <w:rFonts w:ascii="Times New Roman" w:eastAsia="SimSun" w:hAnsi="Times New Roman" w:cs="Times New Roman"/>
          <w:kern w:val="0"/>
          <w:sz w:val="20"/>
          <w:szCs w:val="20"/>
          <w:lang w:bidi="ar-SA"/>
          <w14:ligatures w14:val="none"/>
        </w:rPr>
        <w:t xml:space="preserve"> Turvill</w:t>
      </w:r>
      <w:r w:rsidRPr="009E6B6B">
        <w:rPr>
          <w:rFonts w:ascii="Times New Roman" w:eastAsia="SimSun" w:hAnsi="Times New Roman" w:cs="Times New Roman"/>
          <w:kern w:val="0"/>
          <w:sz w:val="20"/>
          <w:szCs w:val="20"/>
          <w14:ligatures w14:val="none"/>
        </w:rPr>
        <w:t xml:space="preserve">, </w:t>
      </w:r>
      <w:r w:rsidR="0052213D">
        <w:rPr>
          <w:rFonts w:ascii="Times New Roman" w:eastAsia="SimSun" w:hAnsi="Times New Roman" w:cs="Times New Roman"/>
          <w:kern w:val="0"/>
          <w:sz w:val="20"/>
          <w:szCs w:val="20"/>
          <w14:ligatures w14:val="none"/>
        </w:rPr>
        <w:t xml:space="preserve">2025, </w:t>
      </w:r>
      <w:r w:rsidRPr="009E6B6B">
        <w:rPr>
          <w:rFonts w:ascii="Times New Roman" w:eastAsia="SimSun" w:hAnsi="Times New Roman" w:cs="Times New Roman"/>
          <w:kern w:val="0"/>
          <w:sz w:val="20"/>
          <w:szCs w:val="20"/>
          <w:lang w:bidi="ar-SA"/>
          <w14:ligatures w14:val="none"/>
        </w:rPr>
        <w:t>Zappulla</w:t>
      </w:r>
      <w:r w:rsidR="0052213D">
        <w:rPr>
          <w:rFonts w:ascii="Times New Roman" w:eastAsia="SimSun" w:hAnsi="Times New Roman" w:cs="Times New Roman"/>
          <w:kern w:val="0"/>
          <w:sz w:val="20"/>
          <w:szCs w:val="20"/>
          <w:lang w:bidi="ar-SA"/>
          <w14:ligatures w14:val="none"/>
        </w:rPr>
        <w:t>, 2024</w:t>
      </w:r>
      <w:r w:rsidR="0052213D">
        <w:rPr>
          <w:rFonts w:ascii="Times New Roman" w:eastAsia="SimSun" w:hAnsi="Times New Roman" w:cs="Times New Roman"/>
          <w:kern w:val="0"/>
          <w:sz w:val="20"/>
          <w:szCs w:val="20"/>
          <w14:ligatures w14:val="none"/>
        </w:rPr>
        <w:t>)</w:t>
      </w:r>
      <w:r w:rsidRPr="009E6B6B">
        <w:rPr>
          <w:rFonts w:ascii="Times New Roman" w:eastAsia="SimSun" w:hAnsi="Times New Roman" w:cs="Times New Roman"/>
          <w:kern w:val="0"/>
          <w:sz w:val="20"/>
          <w:szCs w:val="20"/>
          <w14:ligatures w14:val="none"/>
        </w:rPr>
        <w:t>.</w:t>
      </w:r>
    </w:p>
    <w:p w:rsidR="009E6B6B" w:rsidRPr="009E6B6B" w:rsidRDefault="009E6B6B" w:rsidP="009E6B6B">
      <w:pPr>
        <w:bidi w:val="0"/>
        <w:spacing w:after="0" w:line="240" w:lineRule="auto"/>
        <w:ind w:firstLine="216"/>
        <w:jc w:val="both"/>
        <w:rPr>
          <w:rFonts w:ascii="Times New Roman" w:eastAsia="SimSun" w:hAnsi="Times New Roman" w:cs="Times New Roman"/>
          <w:kern w:val="0"/>
          <w:sz w:val="20"/>
          <w:szCs w:val="20"/>
          <w14:ligatures w14:val="none"/>
        </w:rPr>
      </w:pPr>
      <w:r w:rsidRPr="009E6B6B">
        <w:rPr>
          <w:rFonts w:ascii="Times New Roman" w:eastAsia="SimSun" w:hAnsi="Times New Roman" w:cs="Times New Roman"/>
          <w:i/>
          <w:iCs/>
          <w:kern w:val="0"/>
          <w:sz w:val="20"/>
          <w:szCs w:val="20"/>
          <w14:ligatures w14:val="none"/>
        </w:rPr>
        <w:t>Mortgage Approvals</w:t>
      </w:r>
      <w:r w:rsidRPr="009E6B6B">
        <w:rPr>
          <w:rFonts w:ascii="Times New Roman" w:eastAsia="SimSun" w:hAnsi="Times New Roman" w:cs="Times New Roman"/>
          <w:kern w:val="0"/>
          <w:sz w:val="20"/>
          <w:szCs w:val="20"/>
          <w14:ligatures w14:val="none"/>
        </w:rPr>
        <w:t xml:space="preserve">: Fairness-efficiency trade-offs are apparent in AI-assisted lending. Implementing fairness measures, such as demographic parity or equal opportunity, can help reduce systemic biases and promote equitable access to credit, especially for historically disadvantaged groups. However, such measures may lead to the approval of applicants who do not meet financial risk criteria, potentially increasing default rates and resulting in financial losses for lenders, or reject applicants who are financially qualified but fall outside the fairness criteria. This highlights the tension between fairness goals and financial optimization </w:t>
      </w:r>
      <w:r w:rsidR="0052213D">
        <w:rPr>
          <w:rFonts w:ascii="Times New Roman" w:eastAsia="SimSun" w:hAnsi="Times New Roman" w:cs="Times New Roman"/>
          <w:kern w:val="0"/>
          <w:sz w:val="20"/>
          <w:szCs w:val="20"/>
          <w14:ligatures w14:val="none"/>
        </w:rPr>
        <w:t>(</w:t>
      </w:r>
      <w:proofErr w:type="spellStart"/>
      <w:r w:rsidRPr="009E6B6B">
        <w:rPr>
          <w:rFonts w:ascii="Times New Roman" w:eastAsia="SimSun" w:hAnsi="Times New Roman" w:cs="Times New Roman"/>
          <w:kern w:val="0"/>
          <w:sz w:val="20"/>
          <w:szCs w:val="20"/>
          <w:lang w:bidi="ar-SA"/>
          <w14:ligatures w14:val="none"/>
        </w:rPr>
        <w:t>Buijsman</w:t>
      </w:r>
      <w:proofErr w:type="spellEnd"/>
      <w:r w:rsidR="0052213D">
        <w:rPr>
          <w:rFonts w:ascii="Times New Roman" w:eastAsia="SimSun" w:hAnsi="Times New Roman" w:cs="Times New Roman"/>
          <w:kern w:val="0"/>
          <w:sz w:val="20"/>
          <w:szCs w:val="20"/>
          <w:lang w:bidi="ar-SA"/>
          <w14:ligatures w14:val="none"/>
        </w:rPr>
        <w:t>, 2024)</w:t>
      </w:r>
      <w:r w:rsidRPr="009E6B6B">
        <w:rPr>
          <w:rFonts w:ascii="Times New Roman" w:eastAsia="SimSun" w:hAnsi="Times New Roman" w:cs="Times New Roman"/>
          <w:kern w:val="0"/>
          <w:sz w:val="20"/>
          <w:szCs w:val="20"/>
          <w14:ligatures w14:val="none"/>
        </w:rPr>
        <w:t>.</w:t>
      </w:r>
    </w:p>
    <w:p w:rsidR="009E6B6B" w:rsidRPr="009E6B6B" w:rsidRDefault="009E6B6B" w:rsidP="009E6B6B">
      <w:pPr>
        <w:bidi w:val="0"/>
        <w:spacing w:after="0" w:line="240" w:lineRule="auto"/>
        <w:ind w:firstLine="216"/>
        <w:jc w:val="both"/>
        <w:rPr>
          <w:rFonts w:ascii="Times New Roman" w:eastAsia="SimSun" w:hAnsi="Times New Roman" w:cs="Times New Roman"/>
          <w:kern w:val="0"/>
          <w:sz w:val="20"/>
          <w:szCs w:val="20"/>
          <w14:ligatures w14:val="none"/>
        </w:rPr>
      </w:pPr>
      <w:r w:rsidRPr="009E6B6B">
        <w:rPr>
          <w:rFonts w:ascii="Times New Roman" w:eastAsia="SimSun" w:hAnsi="Times New Roman" w:cs="Times New Roman"/>
          <w:i/>
          <w:iCs/>
          <w:kern w:val="0"/>
          <w:sz w:val="20"/>
          <w:szCs w:val="20"/>
          <w14:ligatures w14:val="none"/>
        </w:rPr>
        <w:t>Predictive Policing</w:t>
      </w:r>
      <w:r w:rsidRPr="009E6B6B">
        <w:rPr>
          <w:rFonts w:ascii="Times New Roman" w:eastAsia="SimSun" w:hAnsi="Times New Roman" w:cs="Times New Roman"/>
          <w:kern w:val="0"/>
          <w:sz w:val="20"/>
          <w:szCs w:val="20"/>
          <w14:ligatures w14:val="none"/>
        </w:rPr>
        <w:t xml:space="preserve">: Policing systems, such as </w:t>
      </w:r>
      <w:proofErr w:type="spellStart"/>
      <w:r w:rsidRPr="009E6B6B">
        <w:rPr>
          <w:rFonts w:ascii="Times New Roman" w:eastAsia="SimSun" w:hAnsi="Times New Roman" w:cs="Times New Roman"/>
          <w:kern w:val="0"/>
          <w:sz w:val="20"/>
          <w:szCs w:val="20"/>
          <w14:ligatures w14:val="none"/>
        </w:rPr>
        <w:t>PredPol</w:t>
      </w:r>
      <w:proofErr w:type="spellEnd"/>
      <w:r w:rsidRPr="009E6B6B">
        <w:rPr>
          <w:rFonts w:ascii="Times New Roman" w:eastAsia="SimSun" w:hAnsi="Times New Roman" w:cs="Times New Roman"/>
          <w:kern w:val="0"/>
          <w:sz w:val="20"/>
          <w:szCs w:val="20"/>
          <w14:ligatures w14:val="none"/>
        </w:rPr>
        <w:t xml:space="preserve"> (Predictive Policing), identify high-risk areas using historical crime data. These tools can reinforce racial biases and lead to over-policing. Cities government authorities have responded with human oversight mechanisms and community input, but this measure slows AI responsiveness and adds operational complexity </w:t>
      </w:r>
      <w:r w:rsidR="00684B32">
        <w:rPr>
          <w:rFonts w:ascii="Times New Roman" w:eastAsia="SimSun" w:hAnsi="Times New Roman" w:cs="Times New Roman"/>
          <w:kern w:val="0"/>
          <w:sz w:val="20"/>
          <w:szCs w:val="20"/>
          <w14:ligatures w14:val="none"/>
        </w:rPr>
        <w:t>(</w:t>
      </w:r>
      <w:r w:rsidRPr="009E6B6B">
        <w:rPr>
          <w:rFonts w:ascii="Times New Roman" w:eastAsia="SimSun" w:hAnsi="Times New Roman" w:cs="Times New Roman"/>
          <w:kern w:val="0"/>
          <w:sz w:val="20"/>
          <w:szCs w:val="20"/>
          <w:lang w:bidi="ar-SA"/>
          <w14:ligatures w14:val="none"/>
        </w:rPr>
        <w:t>Lau</w:t>
      </w:r>
      <w:r w:rsidRPr="009E6B6B">
        <w:rPr>
          <w:rFonts w:ascii="Times New Roman" w:eastAsia="SimSun" w:hAnsi="Times New Roman" w:cs="Times New Roman"/>
          <w:kern w:val="0"/>
          <w:sz w:val="20"/>
          <w:szCs w:val="20"/>
          <w14:ligatures w14:val="none"/>
        </w:rPr>
        <w:t>,</w:t>
      </w:r>
      <w:r w:rsidR="00684B32">
        <w:rPr>
          <w:rFonts w:ascii="Times New Roman" w:eastAsia="SimSun" w:hAnsi="Times New Roman" w:cs="Times New Roman"/>
          <w:kern w:val="0"/>
          <w:sz w:val="20"/>
          <w:szCs w:val="20"/>
          <w14:ligatures w14:val="none"/>
        </w:rPr>
        <w:t xml:space="preserve"> 2020,</w:t>
      </w:r>
      <w:r w:rsidRPr="009E6B6B">
        <w:rPr>
          <w:rFonts w:ascii="Times New Roman" w:eastAsia="SimSun" w:hAnsi="Times New Roman" w:cs="Times New Roman"/>
          <w:kern w:val="0"/>
          <w:sz w:val="20"/>
          <w:szCs w:val="20"/>
          <w14:ligatures w14:val="none"/>
        </w:rPr>
        <w:t xml:space="preserve"> </w:t>
      </w:r>
      <w:r w:rsidRPr="009E6B6B">
        <w:rPr>
          <w:rFonts w:ascii="Times New Roman" w:eastAsia="SimSun" w:hAnsi="Times New Roman" w:cs="Times New Roman"/>
          <w:kern w:val="0"/>
          <w:sz w:val="20"/>
          <w:szCs w:val="20"/>
          <w:lang w:bidi="ar-SA"/>
          <w14:ligatures w14:val="none"/>
        </w:rPr>
        <w:t>Richardson</w:t>
      </w:r>
      <w:r w:rsidR="00684B32">
        <w:rPr>
          <w:rFonts w:ascii="Times New Roman" w:eastAsia="SimSun" w:hAnsi="Times New Roman" w:cs="Times New Roman"/>
          <w:kern w:val="0"/>
          <w:sz w:val="20"/>
          <w:szCs w:val="20"/>
          <w:lang w:bidi="ar-SA"/>
          <w14:ligatures w14:val="none"/>
        </w:rPr>
        <w:t xml:space="preserve"> et al., 2019</w:t>
      </w:r>
      <w:r w:rsidRPr="009E6B6B">
        <w:rPr>
          <w:rFonts w:ascii="Times New Roman" w:eastAsia="SimSun" w:hAnsi="Times New Roman" w:cs="Times New Roman"/>
          <w:kern w:val="0"/>
          <w:sz w:val="20"/>
          <w:szCs w:val="20"/>
          <w:lang w:bidi="ar-SA"/>
          <w14:ligatures w14:val="none"/>
        </w:rPr>
        <w:t>, Deloitte</w:t>
      </w:r>
      <w:r w:rsidRPr="009E6B6B">
        <w:rPr>
          <w:rFonts w:ascii="Times New Roman" w:eastAsia="SimSun" w:hAnsi="Times New Roman" w:cs="Times New Roman"/>
          <w:kern w:val="0"/>
          <w:sz w:val="20"/>
          <w:szCs w:val="20"/>
          <w14:ligatures w14:val="none"/>
        </w:rPr>
        <w:t xml:space="preserve">, </w:t>
      </w:r>
      <w:r w:rsidRPr="009E6B6B">
        <w:rPr>
          <w:rFonts w:ascii="Times New Roman" w:eastAsia="SimSun" w:hAnsi="Times New Roman" w:cs="Times New Roman"/>
          <w:kern w:val="0"/>
          <w:sz w:val="20"/>
          <w:szCs w:val="20"/>
          <w:lang w:bidi="ar-SA"/>
          <w14:ligatures w14:val="none"/>
        </w:rPr>
        <w:t>Clara</w:t>
      </w:r>
      <w:r w:rsidR="00684B32">
        <w:rPr>
          <w:rFonts w:ascii="Times New Roman" w:eastAsia="SimSun" w:hAnsi="Times New Roman" w:cs="Times New Roman"/>
          <w:kern w:val="0"/>
          <w:sz w:val="20"/>
          <w:szCs w:val="20"/>
          <w14:ligatures w14:val="none"/>
        </w:rPr>
        <w:t>, 2025)</w:t>
      </w:r>
      <w:r w:rsidRPr="009E6B6B">
        <w:rPr>
          <w:rFonts w:ascii="Times New Roman" w:eastAsia="SimSun" w:hAnsi="Times New Roman" w:cs="Times New Roman"/>
          <w:kern w:val="0"/>
          <w:sz w:val="20"/>
          <w:szCs w:val="20"/>
          <w14:ligatures w14:val="none"/>
        </w:rPr>
        <w:t>.</w:t>
      </w:r>
    </w:p>
    <w:p w:rsidR="009E6B6B" w:rsidRPr="009E6B6B" w:rsidRDefault="009E6B6B" w:rsidP="009E6B6B">
      <w:pPr>
        <w:bidi w:val="0"/>
        <w:spacing w:after="0" w:line="240" w:lineRule="auto"/>
        <w:ind w:firstLine="216"/>
        <w:jc w:val="both"/>
        <w:rPr>
          <w:rFonts w:ascii="Times New Roman" w:eastAsia="SimSun" w:hAnsi="Times New Roman" w:cs="Times New Roman"/>
          <w:kern w:val="0"/>
          <w:sz w:val="20"/>
          <w:szCs w:val="20"/>
          <w14:ligatures w14:val="none"/>
        </w:rPr>
      </w:pPr>
      <w:r w:rsidRPr="009E6B6B">
        <w:rPr>
          <w:rFonts w:ascii="Times New Roman" w:eastAsia="SimSun" w:hAnsi="Times New Roman" w:cs="Times New Roman"/>
          <w:i/>
          <w:iCs/>
          <w:kern w:val="0"/>
          <w:sz w:val="20"/>
          <w:szCs w:val="20"/>
          <w14:ligatures w14:val="none"/>
        </w:rPr>
        <w:t>AI for Pandemic Triage</w:t>
      </w:r>
      <w:r w:rsidRPr="009E6B6B">
        <w:rPr>
          <w:rFonts w:ascii="Times New Roman" w:eastAsia="SimSun" w:hAnsi="Times New Roman" w:cs="Times New Roman"/>
          <w:kern w:val="0"/>
          <w:sz w:val="20"/>
          <w:szCs w:val="20"/>
          <w14:ligatures w14:val="none"/>
        </w:rPr>
        <w:t xml:space="preserve">: During the COVID-19 pandemic, hospitals deployed AI models to support triage and resource allocation. Although these tools improved efficiency, most of them were trained on narrow datasets and risked biased outcomes. Experts emphasized the need for clinician oversight, contextual judgment, and ethical review to ensure fairness and accountability </w:t>
      </w:r>
      <w:r w:rsidR="00684B32">
        <w:rPr>
          <w:rFonts w:ascii="Times New Roman" w:eastAsia="SimSun" w:hAnsi="Times New Roman" w:cs="Times New Roman"/>
          <w:kern w:val="0"/>
          <w:sz w:val="20"/>
          <w:szCs w:val="20"/>
          <w14:ligatures w14:val="none"/>
        </w:rPr>
        <w:t>(</w:t>
      </w:r>
      <w:r w:rsidRPr="009E6B6B">
        <w:rPr>
          <w:rFonts w:ascii="Times New Roman" w:eastAsia="SimSun" w:hAnsi="Times New Roman" w:cs="Times New Roman"/>
          <w:kern w:val="0"/>
          <w:sz w:val="20"/>
          <w:szCs w:val="20"/>
          <w:lang w:bidi="ar-SA"/>
          <w14:ligatures w14:val="none"/>
        </w:rPr>
        <w:t>Magnus</w:t>
      </w:r>
      <w:r w:rsidR="00684B32">
        <w:rPr>
          <w:rFonts w:ascii="Times New Roman" w:eastAsia="SimSun" w:hAnsi="Times New Roman" w:cs="Times New Roman"/>
          <w:kern w:val="0"/>
          <w:sz w:val="20"/>
          <w:szCs w:val="20"/>
          <w:lang w:bidi="ar-SA"/>
          <w14:ligatures w14:val="none"/>
        </w:rPr>
        <w:t xml:space="preserve"> et al.</w:t>
      </w:r>
      <w:r w:rsidR="00684B32">
        <w:rPr>
          <w:rFonts w:ascii="Times New Roman" w:eastAsia="SimSun" w:hAnsi="Times New Roman" w:cs="Times New Roman"/>
          <w:kern w:val="0"/>
          <w:sz w:val="20"/>
          <w:szCs w:val="20"/>
          <w14:ligatures w14:val="none"/>
        </w:rPr>
        <w:t>)</w:t>
      </w:r>
      <w:r w:rsidRPr="009E6B6B">
        <w:rPr>
          <w:rFonts w:ascii="Times New Roman" w:eastAsia="SimSun" w:hAnsi="Times New Roman" w:cs="Times New Roman"/>
          <w:kern w:val="0"/>
          <w:sz w:val="20"/>
          <w:szCs w:val="20"/>
          <w14:ligatures w14:val="none"/>
        </w:rPr>
        <w:t>.</w:t>
      </w:r>
    </w:p>
    <w:p w:rsidR="009E6B6B" w:rsidRPr="009E6B6B" w:rsidRDefault="009E6B6B" w:rsidP="009E6B6B">
      <w:pPr>
        <w:bidi w:val="0"/>
        <w:spacing w:after="0" w:line="240" w:lineRule="auto"/>
        <w:ind w:firstLine="216"/>
        <w:jc w:val="both"/>
        <w:rPr>
          <w:rFonts w:ascii="Times New Roman" w:eastAsia="SimSun" w:hAnsi="Times New Roman" w:cs="Times New Roman"/>
          <w:kern w:val="0"/>
          <w:sz w:val="20"/>
          <w:szCs w:val="20"/>
          <w14:ligatures w14:val="none"/>
        </w:rPr>
      </w:pPr>
      <w:r w:rsidRPr="009E6B6B">
        <w:rPr>
          <w:rFonts w:ascii="Times New Roman" w:eastAsia="SimSun" w:hAnsi="Times New Roman" w:cs="Times New Roman"/>
          <w:i/>
          <w:iCs/>
          <w:kern w:val="0"/>
          <w:sz w:val="20"/>
          <w:szCs w:val="20"/>
          <w14:ligatures w14:val="none"/>
        </w:rPr>
        <w:t>Aerospace Predictive Maintenance</w:t>
      </w:r>
      <w:r w:rsidRPr="009E6B6B">
        <w:rPr>
          <w:rFonts w:ascii="Times New Roman" w:eastAsia="SimSun" w:hAnsi="Times New Roman" w:cs="Times New Roman"/>
          <w:kern w:val="0"/>
          <w:sz w:val="20"/>
          <w:szCs w:val="20"/>
          <w14:ligatures w14:val="none"/>
        </w:rPr>
        <w:t xml:space="preserve">: AI enhances operational efficiency through predictive maintenance, reducing downtime and costs. However, human validation remains critical. Technicians reviewing AI-generated alerts reduce false positives and ensure safety in high-risk environments, reinforcing the value of structured oversight </w:t>
      </w:r>
      <w:r w:rsidR="00684B32">
        <w:rPr>
          <w:rFonts w:ascii="Times New Roman" w:eastAsia="SimSun" w:hAnsi="Times New Roman" w:cs="Times New Roman"/>
          <w:kern w:val="0"/>
          <w:sz w:val="20"/>
          <w:szCs w:val="20"/>
          <w14:ligatures w14:val="none"/>
        </w:rPr>
        <w:t>(</w:t>
      </w:r>
      <w:r w:rsidRPr="009E6B6B">
        <w:rPr>
          <w:rFonts w:ascii="Times New Roman" w:eastAsia="SimSun" w:hAnsi="Times New Roman" w:cs="Times New Roman"/>
          <w:kern w:val="0"/>
          <w:sz w:val="20"/>
          <w:szCs w:val="20"/>
          <w:lang w:bidi="ar-SA"/>
          <w14:ligatures w14:val="none"/>
        </w:rPr>
        <w:t>Gautam</w:t>
      </w:r>
      <w:r w:rsidRPr="009E6B6B">
        <w:rPr>
          <w:rFonts w:ascii="Times New Roman" w:eastAsia="SimSun" w:hAnsi="Times New Roman" w:cs="Times New Roman"/>
          <w:kern w:val="0"/>
          <w:sz w:val="20"/>
          <w:szCs w:val="20"/>
          <w14:ligatures w14:val="none"/>
        </w:rPr>
        <w:t xml:space="preserve">, </w:t>
      </w:r>
      <w:r w:rsidRPr="009E6B6B">
        <w:rPr>
          <w:rFonts w:ascii="Times New Roman" w:eastAsia="SimSun" w:hAnsi="Times New Roman" w:cs="Times New Roman"/>
          <w:kern w:val="0"/>
          <w:sz w:val="20"/>
          <w:szCs w:val="20"/>
          <w:lang w:bidi="ar-SA"/>
          <w14:ligatures w14:val="none"/>
        </w:rPr>
        <w:t>Patil</w:t>
      </w:r>
      <w:r w:rsidR="00684B32">
        <w:rPr>
          <w:rFonts w:ascii="Times New Roman" w:eastAsia="SimSun" w:hAnsi="Times New Roman" w:cs="Times New Roman"/>
          <w:kern w:val="0"/>
          <w:sz w:val="20"/>
          <w:szCs w:val="20"/>
          <w:lang w:bidi="ar-SA"/>
          <w14:ligatures w14:val="none"/>
        </w:rPr>
        <w:t>, 2023)</w:t>
      </w:r>
      <w:r w:rsidRPr="009E6B6B">
        <w:rPr>
          <w:rFonts w:ascii="Times New Roman" w:eastAsia="SimSun" w:hAnsi="Times New Roman" w:cs="Times New Roman"/>
          <w:kern w:val="0"/>
          <w:sz w:val="20"/>
          <w:szCs w:val="20"/>
          <w14:ligatures w14:val="none"/>
        </w:rPr>
        <w:t xml:space="preserve">. </w:t>
      </w:r>
    </w:p>
    <w:p w:rsidR="009E6B6B" w:rsidRPr="009E6B6B" w:rsidRDefault="009E6B6B" w:rsidP="009E6B6B">
      <w:pPr>
        <w:bidi w:val="0"/>
        <w:spacing w:after="0" w:line="240" w:lineRule="auto"/>
        <w:ind w:firstLine="216"/>
        <w:jc w:val="both"/>
        <w:rPr>
          <w:rFonts w:ascii="Times New Roman" w:eastAsia="SimSun" w:hAnsi="Times New Roman" w:cs="Times New Roman"/>
          <w:kern w:val="0"/>
          <w:sz w:val="20"/>
          <w:szCs w:val="20"/>
          <w14:ligatures w14:val="none"/>
        </w:rPr>
      </w:pPr>
      <w:r w:rsidRPr="009E6B6B">
        <w:rPr>
          <w:rFonts w:ascii="Times New Roman" w:eastAsia="SimSun" w:hAnsi="Times New Roman" w:cs="Times New Roman"/>
          <w:kern w:val="0"/>
          <w:sz w:val="20"/>
          <w:szCs w:val="20"/>
          <w14:ligatures w14:val="none"/>
        </w:rPr>
        <w:t>Across sectors, common contradictions emerge: high-performance models struggle with explainability; fairness often demands manual intervention; and real-time systems face trade-offs between responsiveness and oversight. Human-in-the-loop mechanisms improve trust and accountability but introduce operational costs and design complexity, and at times potential human errors. These case studies reaffirm the need for domain-specific, ethically grounded oversight strategies that support both performance and legitimacy.</w:t>
      </w:r>
    </w:p>
    <w:p w:rsidR="00E46817" w:rsidRDefault="00E46817" w:rsidP="009E6B6B">
      <w:pPr>
        <w:jc w:val="right"/>
      </w:pPr>
    </w:p>
    <w:p w:rsidR="0052213D" w:rsidRDefault="0052213D" w:rsidP="009E6B6B">
      <w:pPr>
        <w:jc w:val="right"/>
      </w:pPr>
      <w:r>
        <w:lastRenderedPageBreak/>
        <w:t>References:</w:t>
      </w:r>
    </w:p>
    <w:p w:rsidR="0052213D" w:rsidRDefault="0052213D" w:rsidP="0052213D">
      <w:pPr>
        <w:pStyle w:val="references"/>
      </w:pPr>
      <w:r w:rsidRPr="00F61075">
        <w:t>Gautam, A., &amp; Thapaliya, S. (2024). A Chronology of AI Failures in Safety and Cybersecurity. NPRC Journal of Multidisciplinary Research, 1(6), 1-12.</w:t>
      </w:r>
    </w:p>
    <w:p w:rsidR="0052213D" w:rsidRDefault="0052213D" w:rsidP="0052213D">
      <w:pPr>
        <w:pStyle w:val="references"/>
      </w:pPr>
      <w:r w:rsidRPr="00BF0FBC">
        <w:t>National Transportation Safety Board, Collision Between Vehicle Controlled by Developmental Automated Driving System and Pedestrian, Highway Accident Report NTSB/HAR-19/03, Washington, DC, Nov. 2019. [Online]. Available: https://www.ntsb.gov/investigations/accidentreports/reports/har1903.pdf</w:t>
      </w:r>
    </w:p>
    <w:p w:rsidR="0052213D" w:rsidRDefault="0052213D" w:rsidP="0052213D">
      <w:pPr>
        <w:pStyle w:val="references"/>
      </w:pPr>
      <w:r w:rsidRPr="00BF0FBC">
        <w:t>The Tesla Team, "The Bigger Picture on Autopilot Safety," Tesla Blog, Jan. 9, 2024. [Online]. Available: https://www.tesla.com/blog/bigger-picture-autopilot-safety</w:t>
      </w:r>
      <w:r w:rsidRPr="00C66CB8">
        <w:t>.</w:t>
      </w:r>
      <w:r w:rsidRPr="00856368">
        <w:t>​</w:t>
      </w:r>
    </w:p>
    <w:p w:rsidR="0052213D" w:rsidRDefault="0052213D" w:rsidP="0052213D">
      <w:pPr>
        <w:pStyle w:val="references"/>
      </w:pPr>
      <w:r w:rsidRPr="00BF0FBC">
        <w:t>Teradata, "Danske Bank Fights Fraud with Deep Learning and AI," Teradata Case Study. [Online]. Available: https://assets.teradata.com/resourceCenter/downloads/CaseStudies/CaseStudy_EB9821_Danske_Bank_Saves_Millions_Fighting_Fraud_With_Deep_Learning_and_AI.pdf</w:t>
      </w:r>
      <w:r w:rsidRPr="00C66CB8">
        <w:t>.</w:t>
      </w:r>
    </w:p>
    <w:p w:rsidR="0052213D" w:rsidRDefault="0052213D" w:rsidP="0052213D">
      <w:pPr>
        <w:pStyle w:val="references"/>
      </w:pPr>
      <w:r w:rsidRPr="00BF0FBC">
        <w:t xml:space="preserve">F. Wallny, "False Positives in Credit Card Fraud Detection: Measurement and Mitigation," in Proc. 55th Hawaii Int. Conf. Syst. Sci., 2022. </w:t>
      </w:r>
    </w:p>
    <w:p w:rsidR="0052213D" w:rsidRDefault="0052213D" w:rsidP="0052213D">
      <w:pPr>
        <w:pStyle w:val="references"/>
      </w:pPr>
      <w:r w:rsidRPr="00BF0FBC">
        <w:t xml:space="preserve">A. Fallen, R. Lippion, and B. Elly, Exploring the Synergy Between AI and Human Oversight in Fraud Detection, 2025. </w:t>
      </w:r>
    </w:p>
    <w:p w:rsidR="0052213D" w:rsidRDefault="0052213D" w:rsidP="0052213D">
      <w:pPr>
        <w:pStyle w:val="references"/>
      </w:pPr>
      <w:r w:rsidRPr="00FE7AAD">
        <w:t>Kolarik, M., Sarnovsky, M., Paralic, J., &amp; Babic, F. (2023). Explainability of deep learning models in medical video analysis: a survey. PeerJ Computer Science, 9, e1253.</w:t>
      </w:r>
    </w:p>
    <w:p w:rsidR="0052213D" w:rsidRDefault="0052213D" w:rsidP="0052213D">
      <w:pPr>
        <w:pStyle w:val="references"/>
      </w:pPr>
      <w:r w:rsidRPr="00BF0FBC">
        <w:t>C. J. Kelly, A. Karthikesalingam, M. Suleyman, G. Corrado, and D. King, “Key challenges for delivering clinical impact with artificial intelligence,” BMC Medicine, vol. 17, no. 1, pp. 1–9, 2019.</w:t>
      </w:r>
    </w:p>
    <w:p w:rsidR="0052213D" w:rsidRDefault="0052213D" w:rsidP="0052213D">
      <w:pPr>
        <w:pStyle w:val="references"/>
      </w:pPr>
      <w:r w:rsidRPr="00E84E89">
        <w:t xml:space="preserve">J. Dastin, "Amazon scraps secret AI recruiting tool that showed bias against women," Reuters, Oct. 11, 2018. [Online]. Available: </w:t>
      </w:r>
      <w:hyperlink w:history="1">
        <w:r w:rsidRPr="00B95FA8">
          <w:rPr>
            <w:rStyle w:val="Hyperlink"/>
          </w:rPr>
          <w:t>https://www.reuters.com/article/world/insight-amazon-scraps-secret-ai-recruiting-tool-that-showed-bias-against-women-idUSKCN1MK0AG/</w:t>
        </w:r>
      </w:hyperlink>
      <w:r w:rsidRPr="00E84E89">
        <w:t>.</w:t>
      </w:r>
    </w:p>
    <w:p w:rsidR="0052213D" w:rsidRDefault="0052213D" w:rsidP="0052213D">
      <w:pPr>
        <w:pStyle w:val="references"/>
      </w:pPr>
      <w:r w:rsidRPr="00BD3CDD">
        <w:t xml:space="preserve">W. Turvill, "How LinkedIn's AI 'hiring assistant' finds candidates for jobs," The Sunday Times, Mar. 22, 2025. [Online]. Available: </w:t>
      </w:r>
      <w:hyperlink w:history="1">
        <w:r w:rsidRPr="00B95FA8">
          <w:rPr>
            <w:rStyle w:val="Hyperlink"/>
          </w:rPr>
          <w:t>https://www.thetimes.com/business-money/companies/article/how-linkedins-ai-hiring-assistant-finds-candidates-for-jobs-xh0gb8wvl</w:t>
        </w:r>
      </w:hyperlink>
      <w:r w:rsidRPr="00BD3CDD">
        <w:t>.</w:t>
      </w:r>
    </w:p>
    <w:p w:rsidR="0052213D" w:rsidRDefault="0052213D" w:rsidP="0052213D">
      <w:pPr>
        <w:pStyle w:val="references"/>
      </w:pPr>
      <w:r w:rsidRPr="00BD3CDD">
        <w:t xml:space="preserve">A. Zappulla, "Comment: Business leaders risk sleepwalking towards AI misuse," Reuters, Nov. 19, 2024. [Online]. Available: </w:t>
      </w:r>
      <w:hyperlink w:history="1">
        <w:r w:rsidRPr="00B95FA8">
          <w:rPr>
            <w:rStyle w:val="Hyperlink"/>
          </w:rPr>
          <w:t>https://www.reuters.com/sustainability/society-equity/comment-business-leaders-risk-sleepwalking-towards-ai-misuse-2024-11-19/</w:t>
        </w:r>
      </w:hyperlink>
      <w:r w:rsidRPr="00BD3CDD">
        <w:t>.</w:t>
      </w:r>
    </w:p>
    <w:p w:rsidR="0052213D" w:rsidRDefault="0052213D" w:rsidP="0052213D">
      <w:pPr>
        <w:pStyle w:val="references"/>
      </w:pPr>
      <w:r w:rsidRPr="009F4CAD">
        <w:t>Buijsman, S. (2024). Navigating fairness measures and trade-offs. AI and Ethics, 4(4), 1323-1334.</w:t>
      </w:r>
    </w:p>
    <w:p w:rsidR="00684B32" w:rsidRDefault="00684B32" w:rsidP="00684B32">
      <w:pPr>
        <w:pStyle w:val="references"/>
      </w:pPr>
      <w:r w:rsidRPr="00A32EAE">
        <w:t xml:space="preserve">T. Lau, "Predictive Policing Explained," Brennan Center for Justice, Apr. 1, 2020. [Online]. Available: </w:t>
      </w:r>
      <w:r w:rsidRPr="00AF0EF3">
        <w:t>https://www.brennancenter.org/our-work/research-reports/predictive-policing-explained</w:t>
      </w:r>
      <w:r w:rsidRPr="00A32EAE">
        <w:t>.</w:t>
      </w:r>
    </w:p>
    <w:p w:rsidR="00684B32" w:rsidRDefault="00684B32" w:rsidP="00684B32">
      <w:pPr>
        <w:pStyle w:val="references"/>
      </w:pPr>
      <w:r w:rsidRPr="00AF0EF3">
        <w:t>Richardson, R., Schultz, J. M., &amp; Crawford, K. (2019). Dirty data, bad predictions: How civil rights violations impact police data, predictive policing systems, and justice. NYUL Rev. Online, 94, 15.</w:t>
      </w:r>
    </w:p>
    <w:p w:rsidR="00684B32" w:rsidRDefault="00684B32" w:rsidP="00684B32">
      <w:pPr>
        <w:pStyle w:val="references"/>
      </w:pPr>
      <w:r w:rsidRPr="00842348">
        <w:t xml:space="preserve">Deloitte, "Surveillance and Predictive Policing Through AI," Deloitte Insights, [Online]. </w:t>
      </w:r>
      <w:r>
        <w:br/>
      </w:r>
      <w:r w:rsidRPr="00842348">
        <w:t xml:space="preserve">Available: </w:t>
      </w:r>
      <w:hyperlink w:history="1">
        <w:r w:rsidRPr="0018719C">
          <w:rPr>
            <w:rStyle w:val="Hyperlink"/>
          </w:rPr>
          <w:t>https://www.deloitte.com/global/en/Industries/government-public/perspectives/urban-future-with-a-purpose/surveillance-and-predictive-policing-through-ai.html</w:t>
        </w:r>
      </w:hyperlink>
      <w:r w:rsidRPr="00842348">
        <w:t>.</w:t>
      </w:r>
    </w:p>
    <w:p w:rsidR="00684B32" w:rsidRDefault="00684B32" w:rsidP="00684B32">
      <w:pPr>
        <w:pStyle w:val="references"/>
      </w:pPr>
      <w:r w:rsidRPr="00842348">
        <w:t>C</w:t>
      </w:r>
      <w:r>
        <w:t>lara</w:t>
      </w:r>
      <w:r w:rsidRPr="00842348">
        <w:t xml:space="preserve">. L., "Predictive Policing: Can AI Make Law Enforcement Fairer?," Medium, Mar. 28, 2025. [Online]. Available: </w:t>
      </w:r>
      <w:hyperlink w:history="1">
        <w:r w:rsidRPr="00EE7B22">
          <w:rPr>
            <w:rStyle w:val="Hyperlink"/>
          </w:rPr>
          <w:t>https://data-storyteller-clara.medium.com/predictive-policing-451f82170168</w:t>
        </w:r>
      </w:hyperlink>
      <w:r w:rsidRPr="00842348">
        <w:t>.</w:t>
      </w:r>
    </w:p>
    <w:p w:rsidR="00684B32" w:rsidRDefault="00684B32" w:rsidP="00684B32">
      <w:pPr>
        <w:pStyle w:val="references"/>
      </w:pPr>
      <w:r w:rsidRPr="00496679">
        <w:t xml:space="preserve">Magnus, D., Singh, K., &amp; Wyndham, J. (n.d.). Responsible AI: Medical triage during COVID-19 and beyond [Interview]. American Association for the Advancement of Science (AAAS). </w:t>
      </w:r>
      <w:hyperlink w:history="1">
        <w:r w:rsidRPr="00EE7B22">
          <w:rPr>
            <w:rStyle w:val="Hyperlink"/>
          </w:rPr>
          <w:t>https://www.aaas.org/events/responsible-ai-medical-triage-during-covid-19-and-beyond</w:t>
        </w:r>
      </w:hyperlink>
    </w:p>
    <w:p w:rsidR="00684B32" w:rsidRDefault="00684B32" w:rsidP="00684B32">
      <w:pPr>
        <w:pStyle w:val="references"/>
      </w:pPr>
      <w:r>
        <w:rPr>
          <w:rStyle w:val="relative"/>
        </w:rPr>
        <w:t xml:space="preserve">Patil, A. (2023, September 7). </w:t>
      </w:r>
      <w:r>
        <w:rPr>
          <w:rStyle w:val="a3"/>
        </w:rPr>
        <w:t>The good, the bad, and the awful of AI in aerospace</w:t>
      </w:r>
      <w:r>
        <w:rPr>
          <w:rStyle w:val="relative"/>
        </w:rPr>
        <w:t xml:space="preserve">. Aerospace Manufacturing and Design. </w:t>
      </w:r>
      <w:hyperlink w:history="1">
        <w:r>
          <w:rPr>
            <w:rStyle w:val="Hyperlink"/>
          </w:rPr>
          <w:t>https://www.aerospacemanufacturinganddesign.com/article/the-good-the-bad-and-the-awful-of-ai-in-aerospace/</w:t>
        </w:r>
      </w:hyperlink>
      <w:r w:rsidRPr="003928D8">
        <w:t>A. Caplin, Cognitive Capital and Human-AI Interactions, in An Introduction to Cognitive Economics: The Science of Mistakes, Cham, Switzerland: Springer Nature, pp. 69–81</w:t>
      </w:r>
      <w:r>
        <w:t>, 2024</w:t>
      </w:r>
      <w:r w:rsidRPr="00365545">
        <w:t>.</w:t>
      </w:r>
    </w:p>
    <w:p w:rsidR="00684B32" w:rsidRDefault="00684B32" w:rsidP="00684B32">
      <w:pPr>
        <w:pStyle w:val="references"/>
      </w:pPr>
      <w:r w:rsidRPr="00F61075">
        <w:t>Gautam, A., &amp; Thapaliya, S. (2024). A Chronology of AI Failures in Safety and Cybersecurity. NPRC Journal of Multidisciplinary Research, 1(6), 1-12.</w:t>
      </w:r>
    </w:p>
    <w:p w:rsidR="0052213D" w:rsidRDefault="0052213D" w:rsidP="00684B32">
      <w:pPr>
        <w:pStyle w:val="references"/>
        <w:numPr>
          <w:ilvl w:val="0"/>
          <w:numId w:val="0"/>
        </w:numPr>
        <w:ind w:left="360"/>
      </w:pPr>
    </w:p>
    <w:p w:rsidR="0052213D" w:rsidRPr="0052213D" w:rsidRDefault="0052213D" w:rsidP="009E6B6B">
      <w:pPr>
        <w:jc w:val="right"/>
        <w:rPr>
          <w:rFonts w:hint="cs"/>
          <w:rtl/>
        </w:rPr>
      </w:pPr>
    </w:p>
    <w:sectPr w:rsidR="0052213D" w:rsidRPr="0052213D" w:rsidSect="00AC2BE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143812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zNjW3NDA1Mjc0M7dQ0lEKTi0uzszPAykwrAUAVZ5WVCwAAAA="/>
  </w:docVars>
  <w:rsids>
    <w:rsidRoot w:val="00E46817"/>
    <w:rsid w:val="0016131B"/>
    <w:rsid w:val="004A163C"/>
    <w:rsid w:val="0052213D"/>
    <w:rsid w:val="00532FAC"/>
    <w:rsid w:val="00684B32"/>
    <w:rsid w:val="009E6B6B"/>
    <w:rsid w:val="00A86B72"/>
    <w:rsid w:val="00AC2BE4"/>
    <w:rsid w:val="00B46524"/>
    <w:rsid w:val="00CC754B"/>
    <w:rsid w:val="00E46817"/>
    <w:rsid w:val="00ED4F6C"/>
    <w:rsid w:val="00FA67E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341EA"/>
  <w15:chartTrackingRefBased/>
  <w15:docId w15:val="{4669AD09-BF04-470A-BEAE-32F4043B0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rsid w:val="0052213D"/>
    <w:pPr>
      <w:numPr>
        <w:numId w:val="1"/>
      </w:numPr>
      <w:spacing w:after="50" w:line="180" w:lineRule="exact"/>
      <w:jc w:val="both"/>
    </w:pPr>
    <w:rPr>
      <w:rFonts w:ascii="Times New Roman" w:eastAsia="MS Mincho" w:hAnsi="Times New Roman" w:cs="Times New Roman"/>
      <w:noProof/>
      <w:kern w:val="0"/>
      <w:sz w:val="16"/>
      <w:szCs w:val="16"/>
      <w:lang w:bidi="ar-SA"/>
      <w14:ligatures w14:val="none"/>
    </w:rPr>
  </w:style>
  <w:style w:type="character" w:styleId="Hyperlink">
    <w:name w:val="Hyperlink"/>
    <w:basedOn w:val="a0"/>
    <w:rsid w:val="0052213D"/>
    <w:rPr>
      <w:color w:val="0563C1" w:themeColor="hyperlink"/>
      <w:u w:val="single"/>
    </w:rPr>
  </w:style>
  <w:style w:type="character" w:styleId="a3">
    <w:name w:val="Emphasis"/>
    <w:basedOn w:val="a0"/>
    <w:uiPriority w:val="20"/>
    <w:qFormat/>
    <w:rsid w:val="00684B32"/>
    <w:rPr>
      <w:i/>
      <w:iCs/>
    </w:rPr>
  </w:style>
  <w:style w:type="character" w:customStyle="1" w:styleId="relative">
    <w:name w:val="relative"/>
    <w:basedOn w:val="a0"/>
    <w:rsid w:val="00684B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1522</Words>
  <Characters>7615</Characters>
  <Application>Microsoft Office Word</Application>
  <DocSecurity>0</DocSecurity>
  <Lines>63</Lines>
  <Paragraphs>18</Paragraphs>
  <ScaleCrop>false</ScaleCrop>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Sadovski</dc:creator>
  <cp:keywords/>
  <dc:description/>
  <cp:lastModifiedBy>Eran Sadovski</cp:lastModifiedBy>
  <cp:revision>5</cp:revision>
  <dcterms:created xsi:type="dcterms:W3CDTF">2025-11-25T14:48:00Z</dcterms:created>
  <dcterms:modified xsi:type="dcterms:W3CDTF">2025-11-26T13:14:00Z</dcterms:modified>
</cp:coreProperties>
</file>