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Sample Policy</w:t>
      </w:r>
    </w:p>
    <w:p>
      <w:r>
        <w:t>This is the introductory paragraph with Unicode: café, naïve, 中文.</w:t>
      </w:r>
    </w:p>
    <w:p>
      <w:pPr>
        <w:pStyle w:val="Heading2"/>
      </w:pPr>
      <w:r>
        <w:t>Details Section</w:t>
      </w:r>
    </w:p>
    <w:p>
      <w:r>
        <w:t>A paragraph under the details section.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Header A</w:t>
            </w:r>
          </w:p>
        </w:tc>
        <w:tc>
          <w:tcPr>
            <w:tcW w:type="dxa" w:w="4320"/>
          </w:tcPr>
          <w:p>
            <w:r>
              <w:t>Header B</w:t>
            </w:r>
          </w:p>
        </w:tc>
      </w:tr>
      <w:tr>
        <w:tc>
          <w:tcPr>
            <w:tcW w:type="dxa" w:w="4320"/>
          </w:tcPr>
          <w:p>
            <w:r>
              <w:t>Value 1</w:t>
            </w:r>
          </w:p>
        </w:tc>
        <w:tc>
          <w:tcPr>
            <w:tcW w:type="dxa" w:w="4320"/>
          </w:tcPr>
          <w:p>
            <w:r>
              <w:t>Value 2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